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F0" w:rsidRPr="001E0866" w:rsidRDefault="00A914F0" w:rsidP="00A914F0">
      <w:pPr>
        <w:outlineLvl w:val="0"/>
        <w:rPr>
          <w:rFonts w:ascii="Times New Roman" w:eastAsia="Times New Roman" w:hAnsi="Times New Roman" w:cs="Times New Roman"/>
          <w:b/>
          <w:bCs/>
          <w:kern w:val="36"/>
          <w:sz w:val="20"/>
          <w:szCs w:val="20"/>
          <w:lang w:val="uk-UA" w:eastAsia="ru-RU"/>
        </w:rPr>
      </w:pPr>
      <w:r w:rsidRPr="001E0866">
        <w:rPr>
          <w:rFonts w:ascii="Times New Roman" w:eastAsia="Times New Roman" w:hAnsi="Times New Roman" w:cs="Times New Roman"/>
          <w:b/>
          <w:bCs/>
          <w:kern w:val="36"/>
          <w:sz w:val="20"/>
          <w:szCs w:val="20"/>
          <w:lang w:val="uk-UA" w:eastAsia="ru-RU"/>
        </w:rPr>
        <w:t xml:space="preserve">Закон України № 466: відшкодування моральної шкоди та ПДФО </w:t>
      </w:r>
    </w:p>
    <w:p w:rsidR="00A914F0" w:rsidRPr="001E0866" w:rsidRDefault="00A914F0" w:rsidP="00A914F0">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Законом України від 16 січня 2020 року № 466-ІХ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зокрема внесено зміни до </w:t>
      </w:r>
      <w:proofErr w:type="spellStart"/>
      <w:r w:rsidRPr="001E0866">
        <w:rPr>
          <w:rFonts w:ascii="Times New Roman" w:eastAsia="Times New Roman" w:hAnsi="Times New Roman" w:cs="Times New Roman"/>
          <w:sz w:val="20"/>
          <w:szCs w:val="20"/>
          <w:lang w:val="uk-UA" w:eastAsia="ru-RU"/>
        </w:rPr>
        <w:t>п.п</w:t>
      </w:r>
      <w:proofErr w:type="spellEnd"/>
      <w:r w:rsidRPr="001E0866">
        <w:rPr>
          <w:rFonts w:ascii="Times New Roman" w:eastAsia="Times New Roman" w:hAnsi="Times New Roman" w:cs="Times New Roman"/>
          <w:sz w:val="20"/>
          <w:szCs w:val="20"/>
          <w:lang w:val="uk-UA" w:eastAsia="ru-RU"/>
        </w:rPr>
        <w:t xml:space="preserve">. 164.2.14 ст. 164 Податкового кодексу України щодо оподаткування податком на доходи фізичних осіб (далі – ПДФО) сум відшкодування моральної шкоди (норма набрала чинності з 23.05.2020). </w:t>
      </w:r>
    </w:p>
    <w:p w:rsidR="00A914F0" w:rsidRPr="001E0866" w:rsidRDefault="00A914F0" w:rsidP="00A914F0">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Так, до загального місячного (річного) оподатковуваного доходу платника податку включається дохід у вигляді неустойки (штрафів, пені), відшкодування матеріальної або немайнової (моральної) шкоди, </w:t>
      </w:r>
      <w:r w:rsidRPr="006F0C6B">
        <w:rPr>
          <w:rFonts w:ascii="Times New Roman" w:eastAsia="Times New Roman" w:hAnsi="Times New Roman" w:cs="Times New Roman"/>
          <w:i/>
          <w:iCs/>
          <w:sz w:val="20"/>
          <w:szCs w:val="20"/>
          <w:lang w:val="uk-UA" w:eastAsia="ru-RU"/>
        </w:rPr>
        <w:t>крім</w:t>
      </w:r>
      <w:r w:rsidRPr="001E0866">
        <w:rPr>
          <w:rFonts w:ascii="Times New Roman" w:eastAsia="Times New Roman" w:hAnsi="Times New Roman" w:cs="Times New Roman"/>
          <w:sz w:val="20"/>
          <w:szCs w:val="20"/>
          <w:lang w:val="uk-UA" w:eastAsia="ru-RU"/>
        </w:rPr>
        <w:t xml:space="preserve">: </w:t>
      </w:r>
    </w:p>
    <w:p w:rsidR="00A914F0" w:rsidRPr="001E0866" w:rsidRDefault="00A914F0" w:rsidP="00A914F0">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сум, що за рішенням суду спрямовуються на відшкодування збитків, завданих платнику податку внаслідок заподіяння йому матеріальної шкоди, а також шкоди життю та здоров’ю, а також відшкодувань моральної шкоди в розмірі, визначеному рішенням суду, але не вище чотирикратного розміру мінімальної заробітної плати, встановленої законом на 01 січня звітного (податкового) року, або в розмірі, визначеному законом. </w:t>
      </w:r>
    </w:p>
    <w:p w:rsidR="00A914F0" w:rsidRDefault="00A914F0" w:rsidP="00A914F0">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Отже, </w:t>
      </w:r>
      <w:r w:rsidRPr="006F0C6B">
        <w:rPr>
          <w:rFonts w:ascii="Times New Roman" w:eastAsia="Times New Roman" w:hAnsi="Times New Roman" w:cs="Times New Roman"/>
          <w:b/>
          <w:bCs/>
          <w:sz w:val="20"/>
          <w:szCs w:val="20"/>
          <w:lang w:val="uk-UA" w:eastAsia="ru-RU"/>
        </w:rPr>
        <w:t>з 23.05.2020</w:t>
      </w:r>
      <w:r w:rsidRPr="001E0866">
        <w:rPr>
          <w:rFonts w:ascii="Times New Roman" w:eastAsia="Times New Roman" w:hAnsi="Times New Roman" w:cs="Times New Roman"/>
          <w:sz w:val="20"/>
          <w:szCs w:val="20"/>
          <w:lang w:val="uk-UA" w:eastAsia="ru-RU"/>
        </w:rPr>
        <w:t xml:space="preserve"> звільняється від оподаткування ПДФО відшкодування моральної шкоди в розмірі, визначеному рішенням суду, але не вище чотирикратного розміру мінімальної заробітної плати, встановленої на 01 січня звітного (податкового) року, або у розмірі, визначеному законом. </w:t>
      </w:r>
    </w:p>
    <w:p w:rsidR="00A914F0" w:rsidRDefault="00A914F0" w:rsidP="006F0C6B">
      <w:pPr>
        <w:outlineLvl w:val="0"/>
        <w:rPr>
          <w:rFonts w:ascii="Times New Roman" w:eastAsia="Times New Roman" w:hAnsi="Times New Roman" w:cs="Times New Roman"/>
          <w:b/>
          <w:bCs/>
          <w:kern w:val="36"/>
          <w:sz w:val="20"/>
          <w:szCs w:val="20"/>
          <w:lang w:val="uk-UA" w:eastAsia="ru-RU"/>
        </w:rPr>
      </w:pPr>
    </w:p>
    <w:p w:rsidR="00A914F0" w:rsidRPr="006F0C6B" w:rsidRDefault="00A914F0" w:rsidP="00A914F0">
      <w:pPr>
        <w:outlineLvl w:val="0"/>
        <w:rPr>
          <w:rFonts w:ascii="Times New Roman" w:eastAsia="Times New Roman" w:hAnsi="Times New Roman" w:cs="Times New Roman"/>
          <w:b/>
          <w:bCs/>
          <w:kern w:val="36"/>
          <w:sz w:val="20"/>
          <w:szCs w:val="20"/>
          <w:lang w:val="uk-UA" w:eastAsia="ru-RU"/>
        </w:rPr>
      </w:pPr>
      <w:r w:rsidRPr="006F0C6B">
        <w:rPr>
          <w:rFonts w:ascii="Times New Roman" w:eastAsia="Times New Roman" w:hAnsi="Times New Roman" w:cs="Times New Roman"/>
          <w:b/>
          <w:bCs/>
          <w:kern w:val="36"/>
          <w:sz w:val="20"/>
          <w:szCs w:val="20"/>
          <w:lang w:val="uk-UA" w:eastAsia="ru-RU"/>
        </w:rPr>
        <w:t xml:space="preserve">Податкова знижка за витратами на надання медичної допомоги з метою запобігання поширенню </w:t>
      </w:r>
      <w:proofErr w:type="spellStart"/>
      <w:r w:rsidRPr="006F0C6B">
        <w:rPr>
          <w:rFonts w:ascii="Times New Roman" w:eastAsia="Times New Roman" w:hAnsi="Times New Roman" w:cs="Times New Roman"/>
          <w:b/>
          <w:bCs/>
          <w:kern w:val="36"/>
          <w:sz w:val="20"/>
          <w:szCs w:val="20"/>
          <w:lang w:val="uk-UA" w:eastAsia="ru-RU"/>
        </w:rPr>
        <w:t>коронавірусної</w:t>
      </w:r>
      <w:proofErr w:type="spellEnd"/>
      <w:r w:rsidRPr="006F0C6B">
        <w:rPr>
          <w:rFonts w:ascii="Times New Roman" w:eastAsia="Times New Roman" w:hAnsi="Times New Roman" w:cs="Times New Roman"/>
          <w:b/>
          <w:bCs/>
          <w:kern w:val="36"/>
          <w:sz w:val="20"/>
          <w:szCs w:val="20"/>
          <w:lang w:val="uk-UA" w:eastAsia="ru-RU"/>
        </w:rPr>
        <w:t xml:space="preserve"> хвороби (COVID-19) </w:t>
      </w:r>
    </w:p>
    <w:p w:rsidR="00A914F0" w:rsidRPr="006F0C6B" w:rsidRDefault="00A914F0" w:rsidP="00A914F0">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w:t>
      </w:r>
      <w:r w:rsidRPr="006F0C6B">
        <w:rPr>
          <w:rFonts w:ascii="Times New Roman" w:eastAsia="Times New Roman" w:hAnsi="Times New Roman" w:cs="Times New Roman"/>
          <w:sz w:val="20"/>
          <w:szCs w:val="20"/>
          <w:lang w:val="uk-UA" w:eastAsia="ru-RU"/>
        </w:rPr>
        <w:t>нформує</w:t>
      </w:r>
      <w:r>
        <w:rPr>
          <w:rFonts w:ascii="Times New Roman" w:eastAsia="Times New Roman" w:hAnsi="Times New Roman" w:cs="Times New Roman"/>
          <w:sz w:val="20"/>
          <w:szCs w:val="20"/>
          <w:lang w:val="uk-UA" w:eastAsia="ru-RU"/>
        </w:rPr>
        <w:t>мо</w:t>
      </w:r>
      <w:r w:rsidRPr="006F0C6B">
        <w:rPr>
          <w:rFonts w:ascii="Times New Roman" w:eastAsia="Times New Roman" w:hAnsi="Times New Roman" w:cs="Times New Roman"/>
          <w:sz w:val="20"/>
          <w:szCs w:val="20"/>
          <w:lang w:val="uk-UA" w:eastAsia="ru-RU"/>
        </w:rPr>
        <w:t xml:space="preserve">, що платник податку на доходи фізичних осіб (далі – ПДФО) має право включити до податкової знижки у зменшення оподатковуваного доходу платника ПДФО за наслідками звітного податкового року, визначеного з урахуванням положень п. 164.6 ст. 164 Податкового кодексу України (далі – ПКУ), суму коштів або вартість майна, переданих платником податку у вигляді пожертвувань або благодійних внесків неприбутковим організаціям, зареєстрованим в Україні та внесеним до Реєстру неприбуткових організацій та установ на дату передачі таких коштів та майна, у розмірі, що не перевищує 4 </w:t>
      </w:r>
      <w:proofErr w:type="spellStart"/>
      <w:r w:rsidRPr="006F0C6B">
        <w:rPr>
          <w:rFonts w:ascii="Times New Roman" w:eastAsia="Times New Roman" w:hAnsi="Times New Roman" w:cs="Times New Roman"/>
          <w:sz w:val="20"/>
          <w:szCs w:val="20"/>
          <w:lang w:val="uk-UA" w:eastAsia="ru-RU"/>
        </w:rPr>
        <w:t>відс</w:t>
      </w:r>
      <w:proofErr w:type="spellEnd"/>
      <w:r w:rsidRPr="006F0C6B">
        <w:rPr>
          <w:rFonts w:ascii="Times New Roman" w:eastAsia="Times New Roman" w:hAnsi="Times New Roman" w:cs="Times New Roman"/>
          <w:sz w:val="20"/>
          <w:szCs w:val="20"/>
          <w:lang w:val="uk-UA" w:eastAsia="ru-RU"/>
        </w:rPr>
        <w:t xml:space="preserve">. суми його загального оподатковуваного доходу такого звітного року. </w:t>
      </w:r>
    </w:p>
    <w:p w:rsidR="00A914F0" w:rsidRPr="006F0C6B" w:rsidRDefault="00A914F0" w:rsidP="00A914F0">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Норми встановлені </w:t>
      </w:r>
      <w:proofErr w:type="spellStart"/>
      <w:r w:rsidRPr="006F0C6B">
        <w:rPr>
          <w:rFonts w:ascii="Times New Roman" w:eastAsia="Times New Roman" w:hAnsi="Times New Roman" w:cs="Times New Roman"/>
          <w:sz w:val="20"/>
          <w:szCs w:val="20"/>
          <w:lang w:val="uk-UA" w:eastAsia="ru-RU"/>
        </w:rPr>
        <w:t>п.п</w:t>
      </w:r>
      <w:proofErr w:type="spellEnd"/>
      <w:r w:rsidRPr="006F0C6B">
        <w:rPr>
          <w:rFonts w:ascii="Times New Roman" w:eastAsia="Times New Roman" w:hAnsi="Times New Roman" w:cs="Times New Roman"/>
          <w:sz w:val="20"/>
          <w:szCs w:val="20"/>
          <w:lang w:val="uk-UA" w:eastAsia="ru-RU"/>
        </w:rPr>
        <w:t xml:space="preserve">. 166.3.2 п. 166.3 ст. 166 ПКУ. </w:t>
      </w:r>
    </w:p>
    <w:p w:rsidR="00A914F0" w:rsidRPr="006F0C6B" w:rsidRDefault="00A914F0" w:rsidP="00A914F0">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Законом України від 17 березня 2020 року № 533-ІХ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виникнення і поширення </w:t>
      </w:r>
      <w:proofErr w:type="spellStart"/>
      <w:r w:rsidRPr="006F0C6B">
        <w:rPr>
          <w:rFonts w:ascii="Times New Roman" w:eastAsia="Times New Roman" w:hAnsi="Times New Roman" w:cs="Times New Roman"/>
          <w:sz w:val="20"/>
          <w:szCs w:val="20"/>
          <w:lang w:val="uk-UA" w:eastAsia="ru-RU"/>
        </w:rPr>
        <w:t>коронавірусної</w:t>
      </w:r>
      <w:proofErr w:type="spellEnd"/>
      <w:r w:rsidRPr="006F0C6B">
        <w:rPr>
          <w:rFonts w:ascii="Times New Roman" w:eastAsia="Times New Roman" w:hAnsi="Times New Roman" w:cs="Times New Roman"/>
          <w:sz w:val="20"/>
          <w:szCs w:val="20"/>
          <w:lang w:val="uk-UA" w:eastAsia="ru-RU"/>
        </w:rPr>
        <w:t xml:space="preserve"> хвороби (COVID-19)», який набрав чинності 18.03.2020, внесено зміни, зокрема, до п. 11 підрозділу 1 розділу XX «Інші перехідні положення» ПКУ, згідно з якими </w:t>
      </w:r>
      <w:r w:rsidRPr="006F0C6B">
        <w:rPr>
          <w:rFonts w:ascii="Times New Roman" w:eastAsia="Times New Roman" w:hAnsi="Times New Roman" w:cs="Times New Roman"/>
          <w:b/>
          <w:bCs/>
          <w:sz w:val="20"/>
          <w:szCs w:val="20"/>
          <w:lang w:val="uk-UA" w:eastAsia="ru-RU"/>
        </w:rPr>
        <w:t>за результатами 2020 року</w:t>
      </w:r>
      <w:r w:rsidRPr="006F0C6B">
        <w:rPr>
          <w:rFonts w:ascii="Times New Roman" w:eastAsia="Times New Roman" w:hAnsi="Times New Roman" w:cs="Times New Roman"/>
          <w:sz w:val="20"/>
          <w:szCs w:val="20"/>
          <w:lang w:val="uk-UA" w:eastAsia="ru-RU"/>
        </w:rPr>
        <w:t xml:space="preserve">, при реалізації права на податкову знижку відповідно до положень ст. 166 ПКУ, сума коштів або вартість лікарських засобів для надання медичної допомоги хворим, дезінфекційних засобів і антисептиків, медичного обладнання, засобів індивідуального захисту, медичних виробів для </w:t>
      </w:r>
      <w:proofErr w:type="spellStart"/>
      <w:r w:rsidRPr="006F0C6B">
        <w:rPr>
          <w:rFonts w:ascii="Times New Roman" w:eastAsia="Times New Roman" w:hAnsi="Times New Roman" w:cs="Times New Roman"/>
          <w:sz w:val="20"/>
          <w:szCs w:val="20"/>
          <w:lang w:val="uk-UA" w:eastAsia="ru-RU"/>
        </w:rPr>
        <w:t>скринінгу</w:t>
      </w:r>
      <w:proofErr w:type="spellEnd"/>
      <w:r w:rsidRPr="006F0C6B">
        <w:rPr>
          <w:rFonts w:ascii="Times New Roman" w:eastAsia="Times New Roman" w:hAnsi="Times New Roman" w:cs="Times New Roman"/>
          <w:sz w:val="20"/>
          <w:szCs w:val="20"/>
          <w:lang w:val="uk-UA" w:eastAsia="ru-RU"/>
        </w:rPr>
        <w:t xml:space="preserve"> хворих, розхідних матеріалів для надання медичної допомоги, медичних виробів, лабораторного обладнання, розхідних матеріалів, реагентів для лабораторних досліджень; медичних виробів, лабораторного обладнання, розхідних матеріалів для інфекційних відділень, патологоанатомічних відділень тощо, засобів особистої гігієни, продуктів харчування та/або товарів за переліком, що визначається Кабінетом Міністрів України, які добровільно перераховані (передані) громадським об’єднанням та/або благодійним організаціям та/або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w:t>
      </w:r>
      <w:proofErr w:type="spellStart"/>
      <w:r w:rsidRPr="006F0C6B">
        <w:rPr>
          <w:rFonts w:ascii="Times New Roman" w:eastAsia="Times New Roman" w:hAnsi="Times New Roman" w:cs="Times New Roman"/>
          <w:sz w:val="20"/>
          <w:szCs w:val="20"/>
          <w:lang w:val="uk-UA" w:eastAsia="ru-RU"/>
        </w:rPr>
        <w:t>СНІДу</w:t>
      </w:r>
      <w:proofErr w:type="spellEnd"/>
      <w:r w:rsidRPr="006F0C6B">
        <w:rPr>
          <w:rFonts w:ascii="Times New Roman" w:eastAsia="Times New Roman" w:hAnsi="Times New Roman" w:cs="Times New Roman"/>
          <w:sz w:val="20"/>
          <w:szCs w:val="20"/>
          <w:lang w:val="uk-UA" w:eastAsia="ru-RU"/>
        </w:rPr>
        <w:t xml:space="preserve"> та іншим соціально небезпечним захворюванням, та/або особі, уповноваженій на здійснення закупівель у сфері охорони здоров’я, та/або закладам охорони здоров’я державної та/або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протягом карантину, що запроваджений Кабінетом Міністрів України у порядку, встановленому законом, на всій території України з метою запобігання поширенню на території України </w:t>
      </w:r>
      <w:proofErr w:type="spellStart"/>
      <w:r w:rsidRPr="006F0C6B">
        <w:rPr>
          <w:rFonts w:ascii="Times New Roman" w:eastAsia="Times New Roman" w:hAnsi="Times New Roman" w:cs="Times New Roman"/>
          <w:sz w:val="20"/>
          <w:szCs w:val="20"/>
          <w:lang w:val="uk-UA" w:eastAsia="ru-RU"/>
        </w:rPr>
        <w:t>коронавірусної</w:t>
      </w:r>
      <w:proofErr w:type="spellEnd"/>
      <w:r w:rsidRPr="006F0C6B">
        <w:rPr>
          <w:rFonts w:ascii="Times New Roman" w:eastAsia="Times New Roman" w:hAnsi="Times New Roman" w:cs="Times New Roman"/>
          <w:sz w:val="20"/>
          <w:szCs w:val="20"/>
          <w:lang w:val="uk-UA" w:eastAsia="ru-RU"/>
        </w:rPr>
        <w:t xml:space="preserve"> хвороби (COVID-19), включається до податкової знижки у повному обсязі без урахування обмежень, визначених </w:t>
      </w:r>
      <w:proofErr w:type="spellStart"/>
      <w:r w:rsidRPr="006F0C6B">
        <w:rPr>
          <w:rFonts w:ascii="Times New Roman" w:eastAsia="Times New Roman" w:hAnsi="Times New Roman" w:cs="Times New Roman"/>
          <w:sz w:val="20"/>
          <w:szCs w:val="20"/>
          <w:lang w:val="uk-UA" w:eastAsia="ru-RU"/>
        </w:rPr>
        <w:t>п.п</w:t>
      </w:r>
      <w:proofErr w:type="spellEnd"/>
      <w:r w:rsidRPr="006F0C6B">
        <w:rPr>
          <w:rFonts w:ascii="Times New Roman" w:eastAsia="Times New Roman" w:hAnsi="Times New Roman" w:cs="Times New Roman"/>
          <w:sz w:val="20"/>
          <w:szCs w:val="20"/>
          <w:lang w:val="uk-UA" w:eastAsia="ru-RU"/>
        </w:rPr>
        <w:t xml:space="preserve">. 166.3.2 п. 166.3 ст. 166 ПКУ. </w:t>
      </w:r>
    </w:p>
    <w:p w:rsidR="00A914F0" w:rsidRDefault="00A914F0" w:rsidP="00A914F0">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Нагадуємо, що платники скористатись правом на податкову знижку за результатами 2019 року можуть до кінця поточного року. Для цього таким платникам необхідно подати податкову декларацію про майновий стан і доходи по 31 грудня 2020 року включно. </w:t>
      </w:r>
    </w:p>
    <w:p w:rsidR="00A914F0" w:rsidRDefault="00A914F0" w:rsidP="006F0C6B">
      <w:pPr>
        <w:outlineLvl w:val="0"/>
        <w:rPr>
          <w:rFonts w:ascii="Times New Roman" w:eastAsia="Times New Roman" w:hAnsi="Times New Roman" w:cs="Times New Roman"/>
          <w:b/>
          <w:bCs/>
          <w:kern w:val="36"/>
          <w:sz w:val="20"/>
          <w:szCs w:val="20"/>
          <w:lang w:val="uk-UA" w:eastAsia="ru-RU"/>
        </w:rPr>
      </w:pPr>
    </w:p>
    <w:p w:rsidR="0053113F" w:rsidRPr="006F0C6B" w:rsidRDefault="0053113F" w:rsidP="006F0C6B">
      <w:pPr>
        <w:outlineLvl w:val="0"/>
        <w:rPr>
          <w:rFonts w:ascii="Times New Roman" w:eastAsia="Times New Roman" w:hAnsi="Times New Roman" w:cs="Times New Roman"/>
          <w:b/>
          <w:bCs/>
          <w:kern w:val="36"/>
          <w:sz w:val="20"/>
          <w:szCs w:val="20"/>
          <w:lang w:val="uk-UA" w:eastAsia="ru-RU"/>
        </w:rPr>
      </w:pPr>
      <w:r w:rsidRPr="006F0C6B">
        <w:rPr>
          <w:rFonts w:ascii="Times New Roman" w:eastAsia="Times New Roman" w:hAnsi="Times New Roman" w:cs="Times New Roman"/>
          <w:b/>
          <w:bCs/>
          <w:kern w:val="36"/>
          <w:sz w:val="20"/>
          <w:szCs w:val="20"/>
          <w:lang w:val="uk-UA" w:eastAsia="ru-RU"/>
        </w:rPr>
        <w:t xml:space="preserve">До об’єкта житлової нерухомості, за адресою якого зареєстрована </w:t>
      </w:r>
      <w:proofErr w:type="spellStart"/>
      <w:r w:rsidRPr="006F0C6B">
        <w:rPr>
          <w:rFonts w:ascii="Times New Roman" w:eastAsia="Times New Roman" w:hAnsi="Times New Roman" w:cs="Times New Roman"/>
          <w:b/>
          <w:bCs/>
          <w:kern w:val="36"/>
          <w:sz w:val="20"/>
          <w:szCs w:val="20"/>
          <w:lang w:val="uk-UA" w:eastAsia="ru-RU"/>
        </w:rPr>
        <w:t>юрособа</w:t>
      </w:r>
      <w:proofErr w:type="spellEnd"/>
      <w:r w:rsidRPr="006F0C6B">
        <w:rPr>
          <w:rFonts w:ascii="Times New Roman" w:eastAsia="Times New Roman" w:hAnsi="Times New Roman" w:cs="Times New Roman"/>
          <w:b/>
          <w:bCs/>
          <w:kern w:val="36"/>
          <w:sz w:val="20"/>
          <w:szCs w:val="20"/>
          <w:lang w:val="uk-UA" w:eastAsia="ru-RU"/>
        </w:rPr>
        <w:t xml:space="preserve">, пільга із сплати податку на нерухомість не застосовується </w:t>
      </w:r>
    </w:p>
    <w:p w:rsidR="0053113F" w:rsidRPr="006F0C6B" w:rsidRDefault="005311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Нагадуємо, що пільги зі сплати податку на нерухоме майно, відмінне від земельної ділянки, не надаються, зокрема, на об’єкти оподаткування, що використовуються їх власниками з метою одержання доходів (здаються в оренду, лізинг, використовуються у підприємницькій діяльності). </w:t>
      </w:r>
    </w:p>
    <w:p w:rsidR="0053113F" w:rsidRPr="006F0C6B" w:rsidRDefault="005311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Норми встановлені </w:t>
      </w:r>
      <w:proofErr w:type="spellStart"/>
      <w:r w:rsidRPr="006F0C6B">
        <w:rPr>
          <w:rFonts w:ascii="Times New Roman" w:eastAsia="Times New Roman" w:hAnsi="Times New Roman" w:cs="Times New Roman"/>
          <w:sz w:val="20"/>
          <w:szCs w:val="20"/>
          <w:lang w:val="uk-UA" w:eastAsia="ru-RU"/>
        </w:rPr>
        <w:t>п.п</w:t>
      </w:r>
      <w:proofErr w:type="spellEnd"/>
      <w:r w:rsidRPr="006F0C6B">
        <w:rPr>
          <w:rFonts w:ascii="Times New Roman" w:eastAsia="Times New Roman" w:hAnsi="Times New Roman" w:cs="Times New Roman"/>
          <w:sz w:val="20"/>
          <w:szCs w:val="20"/>
          <w:lang w:val="uk-UA" w:eastAsia="ru-RU"/>
        </w:rPr>
        <w:t xml:space="preserve">. 266.4.3 п. 266.4 ст. 266 Податкового кодексу України (далі – ПКУ). </w:t>
      </w:r>
    </w:p>
    <w:p w:rsidR="0053113F" w:rsidRPr="006F0C6B" w:rsidRDefault="005311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Пунктом 63.3 ст. 63 ПКУ визначено, що платники податків з метою проведення податкового контролю підлягають реєстрації або взяттю на облік у контролюючих органах за місцезнаходженням юридичної особи, відокремлених підрозділів юридичної особи, місцем проживання особи (основне місце обліку), а також за місцем розташування (реєстрації) їх підрозділів, рухомого та нерухомого майна, об’єктів оподаткування або об’єктів, які пов’язані з оподаткуванням або через які провадиться діяльність (неосновне місце обліку). </w:t>
      </w:r>
    </w:p>
    <w:p w:rsidR="0053113F" w:rsidRPr="006F0C6B" w:rsidRDefault="005311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 45.1 ст. 45 ПКУ). </w:t>
      </w:r>
    </w:p>
    <w:p w:rsidR="0053113F" w:rsidRPr="006F0C6B" w:rsidRDefault="005311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 45.2 ст. 45 ПКУ). </w:t>
      </w:r>
    </w:p>
    <w:p w:rsidR="0053113F" w:rsidRPr="006F0C6B" w:rsidRDefault="005311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При цьому, відповідно до ст. 93 Цивільного кодексу України від 16 січня 2003 року № 435-IV зі змінами та доповненнями місцезнаходженням юридичної особи є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 </w:t>
      </w:r>
    </w:p>
    <w:p w:rsidR="0053113F" w:rsidRPr="006F0C6B" w:rsidRDefault="005311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lastRenderedPageBreak/>
        <w:t xml:space="preserve">Отже, якщо фізична особа – є засновником юридичної особи, то така особа не може застосувати пільгу зі сплати податку на нерухоме майно, відмінне від земельної ділянки, до об’єкта житлової нерухомості за адресою якого зареєстрована дана юридична особа. </w:t>
      </w:r>
    </w:p>
    <w:p w:rsidR="0053113F" w:rsidRPr="006F0C6B" w:rsidRDefault="0053113F" w:rsidP="006F0C6B">
      <w:pPr>
        <w:outlineLvl w:val="0"/>
        <w:rPr>
          <w:rFonts w:ascii="Times New Roman" w:eastAsia="Times New Roman" w:hAnsi="Times New Roman" w:cs="Times New Roman"/>
          <w:b/>
          <w:bCs/>
          <w:kern w:val="36"/>
          <w:sz w:val="20"/>
          <w:szCs w:val="20"/>
          <w:lang w:val="uk-UA" w:eastAsia="ru-RU"/>
        </w:rPr>
      </w:pPr>
    </w:p>
    <w:p w:rsidR="0020143F" w:rsidRPr="006F0C6B" w:rsidRDefault="0020143F" w:rsidP="006F0C6B">
      <w:pPr>
        <w:outlineLvl w:val="0"/>
        <w:rPr>
          <w:rFonts w:ascii="Times New Roman" w:eastAsia="Times New Roman" w:hAnsi="Times New Roman" w:cs="Times New Roman"/>
          <w:b/>
          <w:bCs/>
          <w:kern w:val="36"/>
          <w:sz w:val="20"/>
          <w:szCs w:val="20"/>
          <w:lang w:val="uk-UA" w:eastAsia="ru-RU"/>
        </w:rPr>
      </w:pPr>
      <w:r w:rsidRPr="006F0C6B">
        <w:rPr>
          <w:rFonts w:ascii="Times New Roman" w:eastAsia="Times New Roman" w:hAnsi="Times New Roman" w:cs="Times New Roman"/>
          <w:b/>
          <w:bCs/>
          <w:kern w:val="36"/>
          <w:sz w:val="20"/>
          <w:szCs w:val="20"/>
          <w:lang w:val="uk-UA" w:eastAsia="ru-RU"/>
        </w:rPr>
        <w:t xml:space="preserve">За продаж алкоголю та тютюну неповнолітнім з початку 2020 року анульовано 60 ліцензій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У Дніпропетровській області станом на 01.10.2020 року діє 16 972 ліцензії на право здійснення роздрібної торгівлі алкогольними напоями та тютюновими виробами, роздрібну торгівлю пальним та зберігання пального по 5 615 суб'єктам господарської діяльності, серед яких щодо роздрібної торгівлі алкогольними напоями – 7 562 ліцензій, на тютюнові вироби – 6 339, на право роздрібної торгівлі пальним – 606 ліцензій та 2 465 ліцензій на зберігання пального.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Головним управлінням ДПС у Дніпропетровській області ведеться систематичний контроль за своєчасністю сплати суб’єктами підприємницької діяльності за ліцензії на право роздрібної торгівлі алкогольними напоями та тютюновими виробами, роздрібної торгівлі пальним та зберігання пального. Так, з початку 2020 року за несвоєчасну сплату чергового платежу призупинено дію 894 ліцензій на право торгівлі алкогольними напоями, 665 ліцензій - тютюновими виробами, 7 – на право роздрібної торгівлі пальним, 5 – на зберігання пального.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Анульовано з початку 2020 року 1 628 ліцензій, з яких 60 - за продаж алкогольних напоїв та тютюнових виробів особам, які не досягли 18 років. </w:t>
      </w:r>
    </w:p>
    <w:p w:rsidR="0020143F" w:rsidRPr="006F0C6B" w:rsidRDefault="0020143F" w:rsidP="006F0C6B">
      <w:pPr>
        <w:rPr>
          <w:rFonts w:ascii="Times New Roman" w:eastAsia="Times New Roman" w:hAnsi="Times New Roman" w:cs="Times New Roman"/>
          <w:sz w:val="20"/>
          <w:szCs w:val="20"/>
          <w:lang w:val="uk-UA" w:eastAsia="ru-RU"/>
        </w:rPr>
      </w:pPr>
    </w:p>
    <w:p w:rsidR="0020143F" w:rsidRPr="006F0C6B" w:rsidRDefault="0020143F" w:rsidP="006F0C6B">
      <w:pPr>
        <w:outlineLvl w:val="0"/>
        <w:rPr>
          <w:rFonts w:ascii="Times New Roman" w:eastAsia="Times New Roman" w:hAnsi="Times New Roman" w:cs="Times New Roman"/>
          <w:b/>
          <w:bCs/>
          <w:kern w:val="36"/>
          <w:sz w:val="20"/>
          <w:szCs w:val="20"/>
          <w:lang w:val="uk-UA" w:eastAsia="ru-RU"/>
        </w:rPr>
      </w:pPr>
      <w:r w:rsidRPr="006F0C6B">
        <w:rPr>
          <w:rFonts w:ascii="Times New Roman" w:eastAsia="Times New Roman" w:hAnsi="Times New Roman" w:cs="Times New Roman"/>
          <w:b/>
          <w:bCs/>
          <w:kern w:val="36"/>
          <w:sz w:val="20"/>
          <w:szCs w:val="20"/>
          <w:lang w:val="uk-UA" w:eastAsia="ru-RU"/>
        </w:rPr>
        <w:t xml:space="preserve">Податківцями Дніпропетровщини з початку року проведено 216 фактичних перевірок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З початку 2020 року працівниками Головного управління ДПС у Дніпропетровській області проведено 216 фактичних перевірок суб’єктів господарювання щодо контролю у сфері обігу підакцизних товарів, у ході яких виявлено 236 порушень законодавства. Загальна сума нарахованих фінансових санкцій – 21 </w:t>
      </w:r>
      <w:proofErr w:type="spellStart"/>
      <w:r w:rsidRPr="006F0C6B">
        <w:rPr>
          <w:rFonts w:ascii="Times New Roman" w:eastAsia="Times New Roman" w:hAnsi="Times New Roman" w:cs="Times New Roman"/>
          <w:sz w:val="20"/>
          <w:szCs w:val="20"/>
          <w:lang w:val="uk-UA" w:eastAsia="ru-RU"/>
        </w:rPr>
        <w:t>млн</w:t>
      </w:r>
      <w:proofErr w:type="spellEnd"/>
      <w:r w:rsidRPr="006F0C6B">
        <w:rPr>
          <w:rFonts w:ascii="Times New Roman" w:eastAsia="Times New Roman" w:hAnsi="Times New Roman" w:cs="Times New Roman"/>
          <w:sz w:val="20"/>
          <w:szCs w:val="20"/>
          <w:lang w:val="uk-UA" w:eastAsia="ru-RU"/>
        </w:rPr>
        <w:t xml:space="preserve"> 192 тис гривень.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«Найчастіше суб’єкти господарювання здійснювали роздрібну торгівлю алкогольними напоями та тютюновими виробами без наявності ліцензій (40 випадків)», - прокоментувала </w:t>
      </w:r>
      <w:proofErr w:type="spellStart"/>
      <w:r w:rsidRPr="006F0C6B">
        <w:rPr>
          <w:rFonts w:ascii="Times New Roman" w:eastAsia="Times New Roman" w:hAnsi="Times New Roman" w:cs="Times New Roman"/>
          <w:sz w:val="20"/>
          <w:szCs w:val="20"/>
          <w:lang w:val="uk-UA" w:eastAsia="ru-RU"/>
        </w:rPr>
        <w:t>в.о</w:t>
      </w:r>
      <w:proofErr w:type="spellEnd"/>
      <w:r w:rsidRPr="006F0C6B">
        <w:rPr>
          <w:rFonts w:ascii="Times New Roman" w:eastAsia="Times New Roman" w:hAnsi="Times New Roman" w:cs="Times New Roman"/>
          <w:sz w:val="20"/>
          <w:szCs w:val="20"/>
          <w:lang w:val="uk-UA" w:eastAsia="ru-RU"/>
        </w:rPr>
        <w:t xml:space="preserve">. заступника начальника Головного управління ДПС у Дніпропетровській області Ольга Мазур.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Крім того, виявлено: 34 факти роздрібної та 3 факти оптової торгівлі пальним без наявності ліцензії, 34 факти торгівлі алкогольними напоями за цінами нижчими від мінімальних роздрібних цін, 37 - торгівлі алкогольними напоями на розлив, 13 - торгівлі тютюновими виробами за цінами вищими від максимальних, 34 факти не обладнання резервуарів рівнемірами-лічильниками та/або витратомірами-лічильниками, 30 – не своєчасного подання довідки про фактичні залишки пального, 4 - торгівлі тютюновими виробами поштучно, 4 факти зберігання алкогольних напоїв та тютюнових виробів без марок акцизного податку, 1 факт роздрібної торгівлі пальним через реєстратор розрахункових операцій, який не зазначено у ліцензії, 1 факт зберігання алкогольних напоїв в місці, не внесеному до Єдиного державного реєстру місць зберігання та 1 факт виробництва алкогольних напоїв без марок акцизного податку встановленого зразка. </w:t>
      </w:r>
    </w:p>
    <w:p w:rsidR="00A914F0" w:rsidRDefault="00A914F0" w:rsidP="006F0C6B">
      <w:pPr>
        <w:rPr>
          <w:rFonts w:ascii="Times New Roman" w:eastAsia="Times New Roman" w:hAnsi="Times New Roman" w:cs="Times New Roman"/>
          <w:sz w:val="20"/>
          <w:szCs w:val="20"/>
          <w:lang w:val="uk-UA" w:eastAsia="ru-RU"/>
        </w:rPr>
      </w:pPr>
    </w:p>
    <w:p w:rsidR="00A914F0" w:rsidRPr="006F0C6B" w:rsidRDefault="00A914F0" w:rsidP="00A914F0">
      <w:pPr>
        <w:pStyle w:val="a3"/>
        <w:spacing w:before="0" w:beforeAutospacing="0" w:after="0" w:afterAutospacing="0"/>
        <w:jc w:val="both"/>
        <w:rPr>
          <w:b/>
          <w:sz w:val="20"/>
          <w:szCs w:val="20"/>
          <w:lang w:val="uk-UA"/>
        </w:rPr>
      </w:pPr>
      <w:r w:rsidRPr="006F0C6B">
        <w:rPr>
          <w:b/>
          <w:sz w:val="20"/>
          <w:szCs w:val="20"/>
          <w:lang w:val="uk-UA"/>
        </w:rPr>
        <w:t>Про оголошення конкурсу!</w:t>
      </w:r>
    </w:p>
    <w:p w:rsidR="00A914F0" w:rsidRPr="006F0C6B" w:rsidRDefault="00A914F0" w:rsidP="00A914F0">
      <w:pPr>
        <w:pStyle w:val="a3"/>
        <w:spacing w:before="0" w:beforeAutospacing="0" w:after="0" w:afterAutospacing="0"/>
        <w:jc w:val="both"/>
        <w:rPr>
          <w:sz w:val="20"/>
          <w:szCs w:val="20"/>
          <w:lang w:val="uk-UA"/>
        </w:rPr>
      </w:pPr>
      <w:r w:rsidRPr="006F0C6B">
        <w:rPr>
          <w:sz w:val="20"/>
          <w:szCs w:val="20"/>
          <w:lang w:val="uk-UA"/>
        </w:rPr>
        <w:t>Головне управління ДПС у Дніпропетровській області оголошує конкурс з формування Єдиного реєстру торговельних організацій на 2021 рік, яким надається право реалізації та зберігання безхазяйного та іншого майна, що перейшло у власність держави.</w:t>
      </w:r>
    </w:p>
    <w:p w:rsidR="00A914F0" w:rsidRPr="006F0C6B" w:rsidRDefault="00A914F0" w:rsidP="00A914F0">
      <w:pPr>
        <w:pStyle w:val="a3"/>
        <w:spacing w:before="0" w:beforeAutospacing="0" w:after="0" w:afterAutospacing="0"/>
        <w:jc w:val="both"/>
        <w:rPr>
          <w:sz w:val="20"/>
          <w:szCs w:val="20"/>
          <w:lang w:val="uk-UA"/>
        </w:rPr>
      </w:pPr>
      <w:r w:rsidRPr="006F0C6B">
        <w:rPr>
          <w:sz w:val="20"/>
          <w:szCs w:val="20"/>
          <w:lang w:val="uk-UA"/>
        </w:rPr>
        <w:t>До Єдиного реєстру включаються суб’єкти господарювання незалежно від форми власності, що є юридичними особами та платниками податку на додану вартість і здійснюють реалізацію майна шляхом проведення біржових торгів (аукціонів) або через роздрібну торгівельну мережу.</w:t>
      </w:r>
    </w:p>
    <w:p w:rsidR="00A914F0" w:rsidRPr="006F0C6B" w:rsidRDefault="00A914F0" w:rsidP="00A914F0">
      <w:pPr>
        <w:pStyle w:val="a3"/>
        <w:spacing w:before="0" w:beforeAutospacing="0" w:after="0" w:afterAutospacing="0"/>
        <w:jc w:val="both"/>
        <w:rPr>
          <w:sz w:val="20"/>
          <w:szCs w:val="20"/>
          <w:lang w:val="uk-UA"/>
        </w:rPr>
      </w:pPr>
      <w:r w:rsidRPr="006F0C6B">
        <w:rPr>
          <w:sz w:val="20"/>
          <w:szCs w:val="20"/>
          <w:lang w:val="uk-UA"/>
        </w:rPr>
        <w:t>Заяви для участі у конкурсі приймаються ГУ ДПС у Дніпропетровській області за адресою: м. Дніпро, вул. Сімферопольська, 17-а до 14 грудня 2020 року.</w:t>
      </w:r>
    </w:p>
    <w:p w:rsidR="00A914F0" w:rsidRPr="006F0C6B" w:rsidRDefault="00A914F0" w:rsidP="00A914F0">
      <w:pPr>
        <w:pStyle w:val="a3"/>
        <w:spacing w:before="0" w:beforeAutospacing="0" w:after="0" w:afterAutospacing="0"/>
        <w:jc w:val="both"/>
        <w:rPr>
          <w:sz w:val="20"/>
          <w:szCs w:val="20"/>
          <w:lang w:val="uk-UA"/>
        </w:rPr>
      </w:pPr>
      <w:r w:rsidRPr="006F0C6B">
        <w:rPr>
          <w:sz w:val="20"/>
          <w:szCs w:val="20"/>
          <w:lang w:val="uk-UA"/>
        </w:rPr>
        <w:t>Засідання комісії відбудеться 18 грудня 2020 року о 14.00 за адресою: м. Дніпро, вул. Сімферопольська, 17-а.</w:t>
      </w:r>
    </w:p>
    <w:p w:rsidR="00A914F0" w:rsidRPr="006F0C6B" w:rsidRDefault="00A914F0" w:rsidP="00A914F0">
      <w:pPr>
        <w:pStyle w:val="a3"/>
        <w:spacing w:before="0" w:beforeAutospacing="0" w:after="0" w:afterAutospacing="0"/>
        <w:jc w:val="both"/>
        <w:rPr>
          <w:sz w:val="20"/>
          <w:szCs w:val="20"/>
          <w:lang w:val="uk-UA"/>
        </w:rPr>
      </w:pPr>
      <w:r w:rsidRPr="006F0C6B">
        <w:rPr>
          <w:sz w:val="20"/>
          <w:szCs w:val="20"/>
          <w:lang w:val="uk-UA"/>
        </w:rPr>
        <w:t>Контактний телефон для довідок з питань проведення конкурсу: (056) 370-10-64.</w:t>
      </w:r>
    </w:p>
    <w:p w:rsidR="00A914F0" w:rsidRPr="006F0C6B" w:rsidRDefault="00A914F0" w:rsidP="00A914F0">
      <w:pPr>
        <w:pStyle w:val="a3"/>
        <w:spacing w:before="0" w:beforeAutospacing="0" w:after="0" w:afterAutospacing="0"/>
        <w:jc w:val="both"/>
        <w:rPr>
          <w:sz w:val="20"/>
          <w:szCs w:val="20"/>
          <w:lang w:val="uk-UA"/>
        </w:rPr>
      </w:pPr>
      <w:r w:rsidRPr="006F0C6B">
        <w:rPr>
          <w:sz w:val="20"/>
          <w:szCs w:val="20"/>
          <w:lang w:val="uk-UA"/>
        </w:rPr>
        <w:t xml:space="preserve">Інформацію про документи, які необхідно подати на розгляд комісії для участі у конкурсі, розміщено на </w:t>
      </w:r>
      <w:proofErr w:type="spellStart"/>
      <w:r w:rsidRPr="006F0C6B">
        <w:rPr>
          <w:sz w:val="20"/>
          <w:szCs w:val="20"/>
          <w:lang w:val="uk-UA"/>
        </w:rPr>
        <w:t>субсайті</w:t>
      </w:r>
      <w:proofErr w:type="spellEnd"/>
      <w:r w:rsidRPr="006F0C6B">
        <w:rPr>
          <w:sz w:val="20"/>
          <w:szCs w:val="20"/>
          <w:lang w:val="uk-UA"/>
        </w:rPr>
        <w:t xml:space="preserve"> «Територіальні органи ДПС у Дніпропетровській області» за посиланням </w:t>
      </w:r>
      <w:proofErr w:type="spellStart"/>
      <w:r w:rsidRPr="006F0C6B">
        <w:rPr>
          <w:sz w:val="20"/>
          <w:szCs w:val="20"/>
          <w:lang w:val="uk-UA"/>
        </w:rPr>
        <w:t>dp.tax.gov.ua</w:t>
      </w:r>
      <w:proofErr w:type="spellEnd"/>
      <w:r w:rsidRPr="006F0C6B">
        <w:rPr>
          <w:sz w:val="20"/>
          <w:szCs w:val="20"/>
          <w:lang w:val="uk-UA"/>
        </w:rPr>
        <w:t>.</w:t>
      </w:r>
    </w:p>
    <w:p w:rsidR="0020143F" w:rsidRPr="006F0C6B" w:rsidRDefault="0020143F" w:rsidP="006F0C6B">
      <w:pPr>
        <w:rPr>
          <w:rFonts w:ascii="Times New Roman" w:eastAsia="Times New Roman" w:hAnsi="Times New Roman" w:cs="Times New Roman"/>
          <w:sz w:val="20"/>
          <w:szCs w:val="20"/>
          <w:lang w:val="uk-UA" w:eastAsia="ru-RU"/>
        </w:rPr>
      </w:pPr>
    </w:p>
    <w:p w:rsidR="0020143F" w:rsidRPr="006F0C6B" w:rsidRDefault="0020143F" w:rsidP="006F0C6B">
      <w:pPr>
        <w:outlineLvl w:val="0"/>
        <w:rPr>
          <w:rFonts w:ascii="Times New Roman" w:eastAsia="Times New Roman" w:hAnsi="Times New Roman" w:cs="Times New Roman"/>
          <w:b/>
          <w:bCs/>
          <w:kern w:val="36"/>
          <w:sz w:val="20"/>
          <w:szCs w:val="20"/>
          <w:lang w:val="uk-UA" w:eastAsia="ru-RU"/>
        </w:rPr>
      </w:pPr>
      <w:r w:rsidRPr="006F0C6B">
        <w:rPr>
          <w:rFonts w:ascii="Times New Roman" w:eastAsia="Times New Roman" w:hAnsi="Times New Roman" w:cs="Times New Roman"/>
          <w:b/>
          <w:bCs/>
          <w:kern w:val="36"/>
          <w:sz w:val="20"/>
          <w:szCs w:val="20"/>
          <w:lang w:val="uk-UA" w:eastAsia="ru-RU"/>
        </w:rPr>
        <w:t xml:space="preserve">Дії платника у разі прийняття рішення про неврахування таблиці даних платника ПДВ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Звертаємо увагу платників ПДВ, що відповідно до п. 12 Порядку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(далі – Порядок), платник ПДВ має право подати до ДПС Таблицю даних платника податку на додану вартість (далі – Таблиця) за встановленою формою згідно з додатком 5 Порядку.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Комісія регіонального рівня розглядає Таблицю з поясненнями протягом п’яти робочих днів після її отримання та приймає рішення про врахування або неврахування Таблиці, яке надсилається платнику податку в порядку, встановленому ст. 42 Податкового кодексу України (далі – ПКУ) (п. 15 та п. 16 Порядку).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Відповідно до п. 17 Порядку у рішенні про неврахування Таблиці в обов’язковому порядку зазначається причина такого неврахування.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У разі коли до контролюючого органу надійшла податкова інформація, що свідчить про надання платником податку недостовірної інформації, в Таблиці, яка врахована, у тому числі в автоматичному режимі, комісії контролюючих органів мають право прийняти рішення про неврахування Таблиці, яке надсилається платнику податку в порядку, визначеному ст.42 ПКУ.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Платник ПДВ має право подати повторно Таблицю з поясненнями для розгляду комісією регіонального рівня та прийняття відповідного рішення. </w:t>
      </w:r>
    </w:p>
    <w:p w:rsidR="0020143F" w:rsidRPr="006F0C6B" w:rsidRDefault="0020143F" w:rsidP="006F0C6B">
      <w:pPr>
        <w:rPr>
          <w:rFonts w:ascii="Times New Roman" w:eastAsia="Times New Roman" w:hAnsi="Times New Roman" w:cs="Times New Roman"/>
          <w:sz w:val="20"/>
          <w:szCs w:val="20"/>
          <w:lang w:val="uk-UA" w:eastAsia="ru-RU"/>
        </w:rPr>
      </w:pPr>
    </w:p>
    <w:p w:rsidR="0020143F" w:rsidRPr="006F0C6B" w:rsidRDefault="0020143F" w:rsidP="006F0C6B">
      <w:pPr>
        <w:outlineLvl w:val="0"/>
        <w:rPr>
          <w:rFonts w:ascii="Times New Roman" w:eastAsia="Times New Roman" w:hAnsi="Times New Roman" w:cs="Times New Roman"/>
          <w:b/>
          <w:bCs/>
          <w:kern w:val="36"/>
          <w:sz w:val="20"/>
          <w:szCs w:val="20"/>
          <w:lang w:val="uk-UA" w:eastAsia="ru-RU"/>
        </w:rPr>
      </w:pPr>
      <w:r w:rsidRPr="006F0C6B">
        <w:rPr>
          <w:rFonts w:ascii="Times New Roman" w:eastAsia="Times New Roman" w:hAnsi="Times New Roman" w:cs="Times New Roman"/>
          <w:b/>
          <w:bCs/>
          <w:kern w:val="36"/>
          <w:sz w:val="20"/>
          <w:szCs w:val="20"/>
          <w:lang w:val="uk-UA" w:eastAsia="ru-RU"/>
        </w:rPr>
        <w:t xml:space="preserve">В середині року платник переходить на спрощену систему оподаткування: звітність з податку на прибуток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lastRenderedPageBreak/>
        <w:t xml:space="preserve">Інформуємо, що податковими (звітними) періодами для податку на прибуток підприємств (далі – податок), </w:t>
      </w:r>
      <w:r w:rsidRPr="006F0C6B">
        <w:rPr>
          <w:rFonts w:ascii="Times New Roman" w:eastAsia="Times New Roman" w:hAnsi="Times New Roman" w:cs="Times New Roman"/>
          <w:i/>
          <w:iCs/>
          <w:sz w:val="20"/>
          <w:szCs w:val="20"/>
          <w:lang w:val="uk-UA" w:eastAsia="ru-RU"/>
        </w:rPr>
        <w:t>крім випадків, передбачених п. 137.5 ст. 137 Податкового кодексу України</w:t>
      </w:r>
      <w:r w:rsidRPr="006F0C6B">
        <w:rPr>
          <w:rFonts w:ascii="Times New Roman" w:eastAsia="Times New Roman" w:hAnsi="Times New Roman" w:cs="Times New Roman"/>
          <w:sz w:val="20"/>
          <w:szCs w:val="20"/>
          <w:lang w:val="uk-UA" w:eastAsia="ru-RU"/>
        </w:rPr>
        <w:t xml:space="preserve"> (далі – ПКУ), є календарні: квартал, півріччя, три квартали, рік. При цьому податкова декларація розраховується наростаючим підсумком. Податковий (звітний) період починається з першого календарного дня податкового (звітного) періоду і закінчується останнім календарним днем податкового (звітного) періоду.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Норми встановлені п. 137.4 ст. 137 ПКУ.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Пунктом 137.5 ст. 137 встановлено, що річний податковий (звітний) період встановлюється для таких платників податку: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а) платників податку, які зареєстровані протягом звітного (податкового) року (новостворені), що сплачують податок на прибуток на підставі річної податкової декларації за період діяльності у звітному (податковому) році;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б) виробників сільськогосподарської продукції;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в) платників податку, у яких річний дохід від будь-якої діяльності (за вирахуванням непрямих податків), визначений за показниками Звіту про фінансові результати (Звіту про сукупний дохід), за попередній річний звітний (податковий) період, не перевищує 20 мільйонів гривень. При цьому до річного доходу від будь-якої діяльності (за вирахуванням непрямих податків), визначеного за показниками Звіту про фінансові результати (Звіту про сукупний дохід), включається дохід (виручка) від реалізації продукції (товарів, робіт, послуг), інші операційні доходи, фінансові доходи та інші доходи.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Згідно з п. 291.3 ст. 291 ПКУ юридична особа може самостійно обрати спрощену систему оподаткування, якщо така особа відповідає вимогам, встановленим глави І розділу ХІV ПКУ, та реєструється платником єдиного податку в порядку, визначеному цією главою.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Суб’єкт господарювання, який є платником інших податків і зборів відповідно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Перехід на спрощену систему оподаткування суб’єкта господарювання, зазначеного в абзаці першому </w:t>
      </w:r>
      <w:proofErr w:type="spellStart"/>
      <w:r w:rsidRPr="006F0C6B">
        <w:rPr>
          <w:rFonts w:ascii="Times New Roman" w:eastAsia="Times New Roman" w:hAnsi="Times New Roman" w:cs="Times New Roman"/>
          <w:sz w:val="20"/>
          <w:szCs w:val="20"/>
          <w:lang w:val="uk-UA" w:eastAsia="ru-RU"/>
        </w:rPr>
        <w:t>п.п</w:t>
      </w:r>
      <w:proofErr w:type="spellEnd"/>
      <w:r w:rsidRPr="006F0C6B">
        <w:rPr>
          <w:rFonts w:ascii="Times New Roman" w:eastAsia="Times New Roman" w:hAnsi="Times New Roman" w:cs="Times New Roman"/>
          <w:sz w:val="20"/>
          <w:szCs w:val="20"/>
          <w:lang w:val="uk-UA" w:eastAsia="ru-RU"/>
        </w:rPr>
        <w:t>. 298.1.4 п. 298.1 ст. 298 ПКУ,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 291.4 ст. 291 ПКУ (</w:t>
      </w:r>
      <w:proofErr w:type="spellStart"/>
      <w:r w:rsidRPr="006F0C6B">
        <w:rPr>
          <w:rFonts w:ascii="Times New Roman" w:eastAsia="Times New Roman" w:hAnsi="Times New Roman" w:cs="Times New Roman"/>
          <w:sz w:val="20"/>
          <w:szCs w:val="20"/>
          <w:lang w:val="uk-UA" w:eastAsia="ru-RU"/>
        </w:rPr>
        <w:t>п.п</w:t>
      </w:r>
      <w:proofErr w:type="spellEnd"/>
      <w:r w:rsidRPr="006F0C6B">
        <w:rPr>
          <w:rFonts w:ascii="Times New Roman" w:eastAsia="Times New Roman" w:hAnsi="Times New Roman" w:cs="Times New Roman"/>
          <w:sz w:val="20"/>
          <w:szCs w:val="20"/>
          <w:lang w:val="uk-UA" w:eastAsia="ru-RU"/>
        </w:rPr>
        <w:t xml:space="preserve">. 298.1.4 п. 298.1 ст. 298 ПКУ).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Реєстрація суб’єкта господарювання як платника єдиного податку здійснюється шляхом внесення відповідних записів до реєстру платників єдиного податку (п. 299.1 ст. 299 ПКУ).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Пунктом 294.3 ст. 294 ПКУ визначено, що для суб’єктів господарювання, які перейшли на сплату єдиного податку із сплати інших податків і зборів, встановлених ПКУ,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Поряд з цим згідно з п. 297.1 ст. 297 ПКУ платники єдиного податку звільняються від обов’язку нарахування, сплати та подання податкової звітності з податку на прибуток підприємств.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З урахуванням вищезазначеного, платник податку на прибуток, у разі переходу на спрощену систему оподаткування в середині року, подає податкову декларацію з податку на прибуток за звітний період, що передує кварталу, з якого він переходить на спрощену систему оподаткування, у термін, передбачений </w:t>
      </w:r>
      <w:proofErr w:type="spellStart"/>
      <w:r w:rsidRPr="006F0C6B">
        <w:rPr>
          <w:rFonts w:ascii="Times New Roman" w:eastAsia="Times New Roman" w:hAnsi="Times New Roman" w:cs="Times New Roman"/>
          <w:sz w:val="20"/>
          <w:szCs w:val="20"/>
          <w:lang w:val="uk-UA" w:eastAsia="ru-RU"/>
        </w:rPr>
        <w:t>п.п</w:t>
      </w:r>
      <w:proofErr w:type="spellEnd"/>
      <w:r w:rsidRPr="006F0C6B">
        <w:rPr>
          <w:rFonts w:ascii="Times New Roman" w:eastAsia="Times New Roman" w:hAnsi="Times New Roman" w:cs="Times New Roman"/>
          <w:sz w:val="20"/>
          <w:szCs w:val="20"/>
          <w:lang w:val="uk-UA" w:eastAsia="ru-RU"/>
        </w:rPr>
        <w:t xml:space="preserve">. 49.18.2 п. 49.18 ст. 49 ПКУ – протягом 40 календарних днів, що настають за останнім календарним днем звітного (податкового) періоду. </w:t>
      </w:r>
    </w:p>
    <w:p w:rsidR="0020143F" w:rsidRPr="006F0C6B" w:rsidRDefault="0020143F" w:rsidP="006F0C6B">
      <w:pPr>
        <w:rPr>
          <w:rFonts w:ascii="Times New Roman" w:eastAsia="Times New Roman" w:hAnsi="Times New Roman" w:cs="Times New Roman"/>
          <w:sz w:val="20"/>
          <w:szCs w:val="20"/>
          <w:lang w:val="uk-UA" w:eastAsia="ru-RU"/>
        </w:rPr>
      </w:pPr>
    </w:p>
    <w:p w:rsidR="0020143F" w:rsidRPr="006F0C6B" w:rsidRDefault="0020143F" w:rsidP="006F0C6B">
      <w:pPr>
        <w:outlineLvl w:val="0"/>
        <w:rPr>
          <w:rFonts w:ascii="Times New Roman" w:eastAsia="Times New Roman" w:hAnsi="Times New Roman" w:cs="Times New Roman"/>
          <w:b/>
          <w:bCs/>
          <w:kern w:val="36"/>
          <w:sz w:val="20"/>
          <w:szCs w:val="20"/>
          <w:lang w:val="uk-UA" w:eastAsia="ru-RU"/>
        </w:rPr>
      </w:pPr>
      <w:proofErr w:type="spellStart"/>
      <w:r w:rsidRPr="006F0C6B">
        <w:rPr>
          <w:rFonts w:ascii="Times New Roman" w:eastAsia="Times New Roman" w:hAnsi="Times New Roman" w:cs="Times New Roman"/>
          <w:b/>
          <w:bCs/>
          <w:kern w:val="36"/>
          <w:sz w:val="20"/>
          <w:szCs w:val="20"/>
          <w:lang w:val="uk-UA" w:eastAsia="ru-RU"/>
        </w:rPr>
        <w:t>ФОП</w:t>
      </w:r>
      <w:proofErr w:type="spellEnd"/>
      <w:r w:rsidRPr="006F0C6B">
        <w:rPr>
          <w:rFonts w:ascii="Times New Roman" w:eastAsia="Times New Roman" w:hAnsi="Times New Roman" w:cs="Times New Roman"/>
          <w:b/>
          <w:bCs/>
          <w:kern w:val="36"/>
          <w:sz w:val="20"/>
          <w:szCs w:val="20"/>
          <w:lang w:val="uk-UA" w:eastAsia="ru-RU"/>
        </w:rPr>
        <w:t xml:space="preserve"> здійснив державну </w:t>
      </w:r>
      <w:proofErr w:type="spellStart"/>
      <w:r w:rsidRPr="006F0C6B">
        <w:rPr>
          <w:rFonts w:ascii="Times New Roman" w:eastAsia="Times New Roman" w:hAnsi="Times New Roman" w:cs="Times New Roman"/>
          <w:b/>
          <w:bCs/>
          <w:kern w:val="36"/>
          <w:sz w:val="20"/>
          <w:szCs w:val="20"/>
          <w:lang w:val="uk-UA" w:eastAsia="ru-RU"/>
        </w:rPr>
        <w:t>онлайн-реєстрацію</w:t>
      </w:r>
      <w:proofErr w:type="spellEnd"/>
      <w:r w:rsidRPr="006F0C6B">
        <w:rPr>
          <w:rFonts w:ascii="Times New Roman" w:eastAsia="Times New Roman" w:hAnsi="Times New Roman" w:cs="Times New Roman"/>
          <w:b/>
          <w:bCs/>
          <w:kern w:val="36"/>
          <w:sz w:val="20"/>
          <w:szCs w:val="20"/>
          <w:lang w:val="uk-UA" w:eastAsia="ru-RU"/>
        </w:rPr>
        <w:t xml:space="preserve"> за фактичним місцем проживання, яке не відповідає адресі реєстрації: визначення основного місця обліку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Повідомляємо, що ст. 45 Податкового кодексу України (далі – ПКУ) визначено, що платник податків – фізична особа зобов’язаний визначити свою податкову адресу.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Податковою адресою платника податків – фізичної особи визначається місце її проживання, за яким вона береться на облік як платник податків у контролюючому органі.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Платник податків – фізична особа може мати одночасно не більше однієї податкової адреси.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Відповідно до п. 65.1 ст. 65 ПКУ взяття на облік фізичних осіб – підприємців (далі – </w:t>
      </w:r>
      <w:proofErr w:type="spellStart"/>
      <w:r w:rsidRPr="006F0C6B">
        <w:rPr>
          <w:rFonts w:ascii="Times New Roman" w:eastAsia="Times New Roman" w:hAnsi="Times New Roman" w:cs="Times New Roman"/>
          <w:sz w:val="20"/>
          <w:szCs w:val="20"/>
          <w:lang w:val="uk-UA" w:eastAsia="ru-RU"/>
        </w:rPr>
        <w:t>ФОП</w:t>
      </w:r>
      <w:proofErr w:type="spellEnd"/>
      <w:r w:rsidRPr="006F0C6B">
        <w:rPr>
          <w:rFonts w:ascii="Times New Roman" w:eastAsia="Times New Roman" w:hAnsi="Times New Roman" w:cs="Times New Roman"/>
          <w:sz w:val="20"/>
          <w:szCs w:val="20"/>
          <w:lang w:val="uk-UA" w:eastAsia="ru-RU"/>
        </w:rPr>
        <w:t xml:space="preserve">) у контролюючих органах здійснюється за податковою адресою на підставі відомостей з Єдиного державного реєстру юридичних осіб, фізичних осіб – підприємців та громадських формувань (далі – ЄДР), наданих державним реєстратором згідно із Законом України від 15 травня 2003 року № 755-IV «Про державну реєстрацію юридичних осіб, фізичних осіб – підприємців та громадських формувань» (далі – Закон № 755).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Відповідно до ст. 9 Закону № 755 в ЄДР містяться, зокрема, відомості про місцезнаходження </w:t>
      </w:r>
      <w:proofErr w:type="spellStart"/>
      <w:r w:rsidRPr="006F0C6B">
        <w:rPr>
          <w:rFonts w:ascii="Times New Roman" w:eastAsia="Times New Roman" w:hAnsi="Times New Roman" w:cs="Times New Roman"/>
          <w:sz w:val="20"/>
          <w:szCs w:val="20"/>
          <w:lang w:val="uk-UA" w:eastAsia="ru-RU"/>
        </w:rPr>
        <w:t>ФОП</w:t>
      </w:r>
      <w:proofErr w:type="spellEnd"/>
      <w:r w:rsidRPr="006F0C6B">
        <w:rPr>
          <w:rFonts w:ascii="Times New Roman" w:eastAsia="Times New Roman" w:hAnsi="Times New Roman" w:cs="Times New Roman"/>
          <w:sz w:val="20"/>
          <w:szCs w:val="20"/>
          <w:lang w:val="uk-UA" w:eastAsia="ru-RU"/>
        </w:rPr>
        <w:t xml:space="preserve"> (адреса місця проживання, за якою здійснюється зв’язок з </w:t>
      </w:r>
      <w:proofErr w:type="spellStart"/>
      <w:r w:rsidRPr="006F0C6B">
        <w:rPr>
          <w:rFonts w:ascii="Times New Roman" w:eastAsia="Times New Roman" w:hAnsi="Times New Roman" w:cs="Times New Roman"/>
          <w:sz w:val="20"/>
          <w:szCs w:val="20"/>
          <w:lang w:val="uk-UA" w:eastAsia="ru-RU"/>
        </w:rPr>
        <w:t>ФОП</w:t>
      </w:r>
      <w:proofErr w:type="spellEnd"/>
      <w:r w:rsidRPr="006F0C6B">
        <w:rPr>
          <w:rFonts w:ascii="Times New Roman" w:eastAsia="Times New Roman" w:hAnsi="Times New Roman" w:cs="Times New Roman"/>
          <w:sz w:val="20"/>
          <w:szCs w:val="20"/>
          <w:lang w:val="uk-UA" w:eastAsia="ru-RU"/>
        </w:rPr>
        <w:t xml:space="preserve">).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Відомості, які містяться в ЄДР контролюючі органи отримують у порядку інформаційної взаємодії між ЄДР та інформаційними системами контролюючого органу. </w:t>
      </w:r>
    </w:p>
    <w:p w:rsidR="0020143F" w:rsidRPr="006F0C6B" w:rsidRDefault="0020143F"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Отже, першоджерелом відомостей щодо місцезнаходження </w:t>
      </w:r>
      <w:proofErr w:type="spellStart"/>
      <w:r w:rsidRPr="006F0C6B">
        <w:rPr>
          <w:rFonts w:ascii="Times New Roman" w:eastAsia="Times New Roman" w:hAnsi="Times New Roman" w:cs="Times New Roman"/>
          <w:sz w:val="20"/>
          <w:szCs w:val="20"/>
          <w:lang w:val="uk-UA" w:eastAsia="ru-RU"/>
        </w:rPr>
        <w:t>ФОП</w:t>
      </w:r>
      <w:proofErr w:type="spellEnd"/>
      <w:r w:rsidRPr="006F0C6B">
        <w:rPr>
          <w:rFonts w:ascii="Times New Roman" w:eastAsia="Times New Roman" w:hAnsi="Times New Roman" w:cs="Times New Roman"/>
          <w:sz w:val="20"/>
          <w:szCs w:val="20"/>
          <w:lang w:val="uk-UA" w:eastAsia="ru-RU"/>
        </w:rPr>
        <w:t xml:space="preserve"> є ЄДР. </w:t>
      </w:r>
    </w:p>
    <w:p w:rsidR="003B4607" w:rsidRPr="006F0C6B" w:rsidRDefault="003B4607" w:rsidP="006F0C6B">
      <w:pPr>
        <w:pStyle w:val="a3"/>
        <w:spacing w:before="0" w:beforeAutospacing="0" w:after="0" w:afterAutospacing="0"/>
        <w:jc w:val="both"/>
        <w:rPr>
          <w:sz w:val="20"/>
          <w:szCs w:val="20"/>
          <w:lang w:val="uk-UA"/>
        </w:rPr>
      </w:pPr>
    </w:p>
    <w:p w:rsidR="001E0866" w:rsidRPr="006F0C6B" w:rsidRDefault="001E0866" w:rsidP="006F0C6B">
      <w:pPr>
        <w:pStyle w:val="1"/>
        <w:spacing w:before="0" w:beforeAutospacing="0" w:after="0" w:afterAutospacing="0"/>
        <w:jc w:val="both"/>
        <w:rPr>
          <w:sz w:val="20"/>
          <w:szCs w:val="20"/>
          <w:lang w:val="uk-UA"/>
        </w:rPr>
      </w:pPr>
      <w:r w:rsidRPr="006F0C6B">
        <w:rPr>
          <w:sz w:val="20"/>
          <w:szCs w:val="20"/>
          <w:lang w:val="uk-UA"/>
        </w:rPr>
        <w:t xml:space="preserve">Як оподатковується дохід членів виборчих комісій </w:t>
      </w:r>
    </w:p>
    <w:p w:rsidR="001E0866" w:rsidRPr="006F0C6B" w:rsidRDefault="006F0C6B" w:rsidP="006F0C6B">
      <w:pPr>
        <w:pStyle w:val="a3"/>
        <w:spacing w:before="0" w:beforeAutospacing="0" w:after="0" w:afterAutospacing="0"/>
        <w:jc w:val="both"/>
        <w:rPr>
          <w:sz w:val="20"/>
          <w:szCs w:val="20"/>
          <w:lang w:val="uk-UA"/>
        </w:rPr>
      </w:pPr>
      <w:r w:rsidRPr="006F0C6B">
        <w:rPr>
          <w:sz w:val="20"/>
          <w:szCs w:val="20"/>
          <w:lang w:val="uk-UA"/>
        </w:rPr>
        <w:t>Д</w:t>
      </w:r>
      <w:r w:rsidR="001E0866" w:rsidRPr="006F0C6B">
        <w:rPr>
          <w:sz w:val="20"/>
          <w:szCs w:val="20"/>
          <w:lang w:val="uk-UA"/>
        </w:rPr>
        <w:t>оводи</w:t>
      </w:r>
      <w:r w:rsidRPr="006F0C6B">
        <w:rPr>
          <w:sz w:val="20"/>
          <w:szCs w:val="20"/>
          <w:lang w:val="uk-UA"/>
        </w:rPr>
        <w:t>мо</w:t>
      </w:r>
      <w:r w:rsidR="001E0866" w:rsidRPr="006F0C6B">
        <w:rPr>
          <w:sz w:val="20"/>
          <w:szCs w:val="20"/>
          <w:lang w:val="uk-UA"/>
        </w:rPr>
        <w:t xml:space="preserve"> до відома, що в Україні триває виборчий процес і актуальним питанням на сьогодні для членів територіальних та дільничних виборчих комісій, які працюють на підставі цивільно-правових договорів, а також тих, що здійснюють повноваження не на платній основі, є оподаткування доходу у вигляді коштів, отриманих зазначеними членами виборчих комісій, а також відображення цього доходу у податковій звітності. </w:t>
      </w:r>
    </w:p>
    <w:p w:rsidR="001E0866" w:rsidRPr="006F0C6B" w:rsidRDefault="001E0866" w:rsidP="006F0C6B">
      <w:pPr>
        <w:pStyle w:val="a3"/>
        <w:spacing w:before="0" w:beforeAutospacing="0" w:after="0" w:afterAutospacing="0"/>
        <w:jc w:val="both"/>
        <w:rPr>
          <w:sz w:val="20"/>
          <w:szCs w:val="20"/>
          <w:lang w:val="uk-UA"/>
        </w:rPr>
      </w:pPr>
      <w:r w:rsidRPr="006F0C6B">
        <w:rPr>
          <w:sz w:val="20"/>
          <w:szCs w:val="20"/>
          <w:lang w:val="uk-UA"/>
        </w:rPr>
        <w:t xml:space="preserve">Сума винагороди, яка отримується головою, заступником голови, секретарем або в разі їх відмови іншими членами територіальної виборчої комісії, дільничної виборчої комісії на підставі укладеного цивільно-правового договору оподатковується податком на доходи фізичних осіб за ставкою 18 відсотків. Цей дохід відображається податковим агентом у податковому розрахунку за ф. № 1ДФ під ознакою доходу «102». </w:t>
      </w:r>
    </w:p>
    <w:p w:rsidR="001E0866" w:rsidRPr="006F0C6B" w:rsidRDefault="001E0866" w:rsidP="006F0C6B">
      <w:pPr>
        <w:pStyle w:val="a3"/>
        <w:spacing w:before="0" w:beforeAutospacing="0" w:after="0" w:afterAutospacing="0"/>
        <w:jc w:val="both"/>
        <w:rPr>
          <w:sz w:val="20"/>
          <w:szCs w:val="20"/>
          <w:lang w:val="uk-UA"/>
        </w:rPr>
      </w:pPr>
      <w:r w:rsidRPr="006F0C6B">
        <w:rPr>
          <w:sz w:val="20"/>
          <w:szCs w:val="20"/>
          <w:lang w:val="uk-UA"/>
        </w:rPr>
        <w:lastRenderedPageBreak/>
        <w:t xml:space="preserve">При цьому у таблиці 6 Звіту щодо сум нарахованого єдиного внеску на загальнообов'язкове державне соціальне страхування члени виборчої комісії, з якими укладені договори цивільно-правового характеру, відображаються з кодом застрахованої особи «64». </w:t>
      </w:r>
    </w:p>
    <w:p w:rsidR="001E0866" w:rsidRPr="006F0C6B" w:rsidRDefault="001E0866" w:rsidP="006F0C6B">
      <w:pPr>
        <w:pStyle w:val="a3"/>
        <w:spacing w:before="0" w:beforeAutospacing="0" w:after="0" w:afterAutospacing="0"/>
        <w:jc w:val="both"/>
        <w:rPr>
          <w:sz w:val="20"/>
          <w:szCs w:val="20"/>
          <w:lang w:val="uk-UA"/>
        </w:rPr>
      </w:pPr>
      <w:r w:rsidRPr="006F0C6B">
        <w:rPr>
          <w:sz w:val="20"/>
          <w:szCs w:val="20"/>
          <w:lang w:val="uk-UA"/>
        </w:rPr>
        <w:t xml:space="preserve">Крім того, оплата праці членів виборчих комісій (зокрема тих, що здійснюють повноваження не на платній основі) в день місцевих виборів, дні встановлення підсумків голосування та результатів місцевих виборів включається до загального місячного (річного) оподатковуваного доходу платника податків як інший дохід з відповідним оподаткуванням. Він відображається податковим агентом у податковому розрахунку ф. № 1ДФ під ознакою доходу «127». </w:t>
      </w:r>
    </w:p>
    <w:p w:rsidR="001E0866" w:rsidRPr="006F0C6B" w:rsidRDefault="001E0866" w:rsidP="006F0C6B">
      <w:pPr>
        <w:pStyle w:val="a3"/>
        <w:spacing w:before="0" w:beforeAutospacing="0" w:after="0" w:afterAutospacing="0"/>
        <w:jc w:val="both"/>
        <w:rPr>
          <w:sz w:val="20"/>
          <w:szCs w:val="20"/>
          <w:lang w:val="uk-UA"/>
        </w:rPr>
      </w:pPr>
      <w:r w:rsidRPr="006F0C6B">
        <w:rPr>
          <w:sz w:val="20"/>
          <w:szCs w:val="20"/>
          <w:lang w:val="uk-UA"/>
        </w:rPr>
        <w:t xml:space="preserve">Інформація розміщена на офіційному </w:t>
      </w:r>
      <w:proofErr w:type="spellStart"/>
      <w:r w:rsidRPr="006F0C6B">
        <w:rPr>
          <w:sz w:val="20"/>
          <w:szCs w:val="20"/>
          <w:lang w:val="uk-UA"/>
        </w:rPr>
        <w:t>вебпорталі</w:t>
      </w:r>
      <w:proofErr w:type="spellEnd"/>
      <w:r w:rsidRPr="006F0C6B">
        <w:rPr>
          <w:sz w:val="20"/>
          <w:szCs w:val="20"/>
          <w:lang w:val="uk-UA"/>
        </w:rPr>
        <w:t xml:space="preserve"> ДПС України за посиланням </w:t>
      </w:r>
      <w:hyperlink r:id="rId4" w:history="1">
        <w:r w:rsidRPr="006F0C6B">
          <w:rPr>
            <w:rStyle w:val="a4"/>
            <w:b/>
            <w:bCs/>
            <w:sz w:val="20"/>
            <w:szCs w:val="20"/>
            <w:lang w:val="uk-UA"/>
          </w:rPr>
          <w:t>https://tax.gov.ua/nove-pro-podatki--novini-/439251.html</w:t>
        </w:r>
      </w:hyperlink>
      <w:r w:rsidRPr="006F0C6B">
        <w:rPr>
          <w:sz w:val="20"/>
          <w:szCs w:val="20"/>
          <w:lang w:val="uk-UA"/>
        </w:rPr>
        <w:t xml:space="preserve"> </w:t>
      </w:r>
    </w:p>
    <w:p w:rsidR="006F0C6B" w:rsidRPr="006F0C6B" w:rsidRDefault="006F0C6B" w:rsidP="006F0C6B">
      <w:pPr>
        <w:pStyle w:val="a3"/>
        <w:spacing w:before="0" w:beforeAutospacing="0" w:after="0" w:afterAutospacing="0"/>
        <w:jc w:val="both"/>
        <w:rPr>
          <w:sz w:val="20"/>
          <w:szCs w:val="20"/>
          <w:lang w:val="uk-UA"/>
        </w:rPr>
      </w:pPr>
    </w:p>
    <w:p w:rsidR="001E0866" w:rsidRPr="006F0C6B" w:rsidRDefault="001E0866" w:rsidP="006F0C6B">
      <w:pPr>
        <w:pStyle w:val="1"/>
        <w:spacing w:before="0" w:beforeAutospacing="0" w:after="0" w:afterAutospacing="0"/>
        <w:jc w:val="both"/>
        <w:rPr>
          <w:sz w:val="20"/>
          <w:szCs w:val="20"/>
          <w:lang w:val="uk-UA"/>
        </w:rPr>
      </w:pPr>
      <w:r w:rsidRPr="006F0C6B">
        <w:rPr>
          <w:sz w:val="20"/>
          <w:szCs w:val="20"/>
          <w:lang w:val="uk-UA"/>
        </w:rPr>
        <w:t xml:space="preserve">Нові формати для отримання витягу щодо стану розрахунків з бюджетами в оновленому спеціалізованому клієнтському програмному забезпеченні </w:t>
      </w:r>
    </w:p>
    <w:p w:rsidR="001E0866" w:rsidRPr="006F0C6B" w:rsidRDefault="001E0866" w:rsidP="006F0C6B">
      <w:pPr>
        <w:pStyle w:val="a3"/>
        <w:spacing w:before="0" w:beforeAutospacing="0" w:after="0" w:afterAutospacing="0"/>
        <w:jc w:val="both"/>
        <w:rPr>
          <w:sz w:val="20"/>
          <w:szCs w:val="20"/>
          <w:lang w:val="uk-UA"/>
        </w:rPr>
      </w:pPr>
      <w:r w:rsidRPr="006F0C6B">
        <w:rPr>
          <w:sz w:val="20"/>
          <w:szCs w:val="20"/>
          <w:lang w:val="uk-UA"/>
        </w:rPr>
        <w:t xml:space="preserve">ДПС України оприлюднила на офіційному </w:t>
      </w:r>
      <w:proofErr w:type="spellStart"/>
      <w:r w:rsidRPr="006F0C6B">
        <w:rPr>
          <w:sz w:val="20"/>
          <w:szCs w:val="20"/>
          <w:lang w:val="uk-UA"/>
        </w:rPr>
        <w:t>вебпорталі</w:t>
      </w:r>
      <w:proofErr w:type="spellEnd"/>
      <w:r w:rsidRPr="006F0C6B">
        <w:rPr>
          <w:sz w:val="20"/>
          <w:szCs w:val="20"/>
          <w:lang w:val="uk-UA"/>
        </w:rPr>
        <w:t xml:space="preserve"> доповнення до спеціалізованого клієнтського програмного забезпечення для формування та подання звітності до «Єдиного вікна подання електронної звітності» до версії 1.28.19.0 станом на 23.10.2020. </w:t>
      </w:r>
    </w:p>
    <w:p w:rsidR="001E0866" w:rsidRPr="006F0C6B" w:rsidRDefault="001E0866" w:rsidP="006F0C6B">
      <w:pPr>
        <w:pStyle w:val="a3"/>
        <w:spacing w:before="0" w:beforeAutospacing="0" w:after="0" w:afterAutospacing="0"/>
        <w:jc w:val="both"/>
        <w:rPr>
          <w:sz w:val="20"/>
          <w:szCs w:val="20"/>
          <w:lang w:val="uk-UA"/>
        </w:rPr>
      </w:pPr>
      <w:r w:rsidRPr="006F0C6B">
        <w:rPr>
          <w:sz w:val="20"/>
          <w:szCs w:val="20"/>
          <w:lang w:val="uk-UA"/>
        </w:rPr>
        <w:t xml:space="preserve">Даний комплект програмного забезпечення включає в себе зміни та доповнення з 28.12.2019 р. по 23.10.2020 р. включно та встановлюється тільки на релізи Системи версії 1.28. При цьому всі персональні довідники та налаштування користувача залишаються незмінними. </w:t>
      </w:r>
    </w:p>
    <w:p w:rsidR="001E0866" w:rsidRPr="006F0C6B" w:rsidRDefault="001E0866" w:rsidP="006F0C6B">
      <w:pPr>
        <w:pStyle w:val="a3"/>
        <w:spacing w:before="0" w:beforeAutospacing="0" w:after="0" w:afterAutospacing="0"/>
        <w:jc w:val="both"/>
        <w:rPr>
          <w:sz w:val="20"/>
          <w:szCs w:val="20"/>
          <w:lang w:val="uk-UA"/>
        </w:rPr>
      </w:pPr>
      <w:r w:rsidRPr="006F0C6B">
        <w:rPr>
          <w:sz w:val="20"/>
          <w:szCs w:val="20"/>
          <w:lang w:val="uk-UA"/>
        </w:rPr>
        <w:t xml:space="preserve">Перелік змін та доповнень (версія 1.28.19.0) (станом на 23.10.2020): </w:t>
      </w:r>
    </w:p>
    <w:p w:rsidR="001E0866" w:rsidRPr="006F0C6B" w:rsidRDefault="001E0866" w:rsidP="006F0C6B">
      <w:pPr>
        <w:pStyle w:val="a3"/>
        <w:spacing w:before="0" w:beforeAutospacing="0" w:after="0" w:afterAutospacing="0"/>
        <w:jc w:val="both"/>
        <w:rPr>
          <w:sz w:val="20"/>
          <w:szCs w:val="20"/>
          <w:lang w:val="uk-UA"/>
        </w:rPr>
      </w:pPr>
      <w:r w:rsidRPr="006F0C6B">
        <w:rPr>
          <w:rStyle w:val="a8"/>
          <w:sz w:val="20"/>
          <w:szCs w:val="20"/>
          <w:lang w:val="uk-UA"/>
        </w:rPr>
        <w:t>Нові версії документів:</w:t>
      </w:r>
      <w:r w:rsidRPr="006F0C6B">
        <w:rPr>
          <w:sz w:val="20"/>
          <w:szCs w:val="20"/>
          <w:lang w:val="uk-UA"/>
        </w:rPr>
        <w:t xml:space="preserve"> </w:t>
      </w:r>
    </w:p>
    <w:p w:rsidR="001E0866" w:rsidRPr="006F0C6B" w:rsidRDefault="001E0866" w:rsidP="006F0C6B">
      <w:pPr>
        <w:pStyle w:val="a3"/>
        <w:spacing w:before="0" w:beforeAutospacing="0" w:after="0" w:afterAutospacing="0"/>
        <w:jc w:val="both"/>
        <w:rPr>
          <w:sz w:val="20"/>
          <w:szCs w:val="20"/>
          <w:lang w:val="uk-UA"/>
        </w:rPr>
      </w:pPr>
      <w:r w:rsidRPr="006F0C6B">
        <w:rPr>
          <w:sz w:val="20"/>
          <w:szCs w:val="20"/>
          <w:lang w:val="uk-UA"/>
        </w:rPr>
        <w:t xml:space="preserve">З метою забезпечення отримання та обробки запитів щодо стану розрахунків з бюджетами та цільовими фондами за даними органів ДПС додано (з 01.11.2020 року): </w:t>
      </w:r>
    </w:p>
    <w:p w:rsidR="001E0866" w:rsidRPr="006F0C6B" w:rsidRDefault="001E0866" w:rsidP="006F0C6B">
      <w:pPr>
        <w:pStyle w:val="a3"/>
        <w:spacing w:before="0" w:beforeAutospacing="0" w:after="0" w:afterAutospacing="0"/>
        <w:jc w:val="both"/>
        <w:rPr>
          <w:sz w:val="20"/>
          <w:szCs w:val="20"/>
          <w:lang w:val="uk-UA"/>
        </w:rPr>
      </w:pPr>
      <w:r w:rsidRPr="006F0C6B">
        <w:rPr>
          <w:rStyle w:val="a5"/>
          <w:sz w:val="20"/>
          <w:szCs w:val="20"/>
          <w:lang w:val="uk-UA"/>
        </w:rPr>
        <w:t>F/J 1300204</w:t>
      </w:r>
      <w:r w:rsidRPr="006F0C6B">
        <w:rPr>
          <w:sz w:val="20"/>
          <w:szCs w:val="20"/>
          <w:lang w:val="uk-UA"/>
        </w:rPr>
        <w:t xml:space="preserve"> – Запит про отримання витягу щодо стану розрахунків з бюджетами та цільовими фондами за даними органів ДПС; </w:t>
      </w:r>
    </w:p>
    <w:p w:rsidR="001E0866" w:rsidRPr="006F0C6B" w:rsidRDefault="001E0866" w:rsidP="006F0C6B">
      <w:pPr>
        <w:pStyle w:val="a3"/>
        <w:spacing w:before="0" w:beforeAutospacing="0" w:after="0" w:afterAutospacing="0"/>
        <w:jc w:val="both"/>
        <w:rPr>
          <w:sz w:val="20"/>
          <w:szCs w:val="20"/>
          <w:lang w:val="uk-UA"/>
        </w:rPr>
      </w:pPr>
      <w:r w:rsidRPr="006F0C6B">
        <w:rPr>
          <w:rStyle w:val="a5"/>
          <w:sz w:val="20"/>
          <w:szCs w:val="20"/>
          <w:lang w:val="uk-UA"/>
        </w:rPr>
        <w:t>F/J 1400204</w:t>
      </w:r>
      <w:r w:rsidRPr="006F0C6B">
        <w:rPr>
          <w:sz w:val="20"/>
          <w:szCs w:val="20"/>
          <w:lang w:val="uk-UA"/>
        </w:rPr>
        <w:t xml:space="preserve"> – Витяг з інформаційної системи органів ДПС щодо стану розрахунків платника з бюджетом та цільовими фондами. </w:t>
      </w:r>
    </w:p>
    <w:p w:rsidR="001E0866" w:rsidRPr="006F0C6B" w:rsidRDefault="001E0866" w:rsidP="006F0C6B">
      <w:pPr>
        <w:pStyle w:val="a3"/>
        <w:spacing w:before="0" w:beforeAutospacing="0" w:after="0" w:afterAutospacing="0"/>
        <w:jc w:val="both"/>
        <w:rPr>
          <w:sz w:val="20"/>
          <w:szCs w:val="20"/>
          <w:lang w:val="uk-UA"/>
        </w:rPr>
      </w:pPr>
      <w:r w:rsidRPr="006F0C6B">
        <w:rPr>
          <w:rStyle w:val="a8"/>
          <w:sz w:val="20"/>
          <w:szCs w:val="20"/>
          <w:lang w:val="uk-UA"/>
        </w:rPr>
        <w:t>Довідники:</w:t>
      </w:r>
      <w:r w:rsidRPr="006F0C6B">
        <w:rPr>
          <w:sz w:val="20"/>
          <w:szCs w:val="20"/>
          <w:lang w:val="uk-UA"/>
        </w:rPr>
        <w:t xml:space="preserve"> </w:t>
      </w:r>
    </w:p>
    <w:p w:rsidR="001E0866" w:rsidRPr="006F0C6B" w:rsidRDefault="001E0866" w:rsidP="006F0C6B">
      <w:pPr>
        <w:pStyle w:val="a3"/>
        <w:spacing w:before="0" w:beforeAutospacing="0" w:after="0" w:afterAutospacing="0"/>
        <w:jc w:val="both"/>
        <w:rPr>
          <w:sz w:val="20"/>
          <w:szCs w:val="20"/>
          <w:lang w:val="uk-UA"/>
        </w:rPr>
      </w:pPr>
      <w:r w:rsidRPr="006F0C6B">
        <w:rPr>
          <w:sz w:val="20"/>
          <w:szCs w:val="20"/>
          <w:lang w:val="uk-UA"/>
        </w:rPr>
        <w:t xml:space="preserve">Приведено у відповідність до еталонного довідника територіальних органів ДПС України: </w:t>
      </w:r>
    </w:p>
    <w:p w:rsidR="001E0866" w:rsidRDefault="001E0866" w:rsidP="006F0C6B">
      <w:pPr>
        <w:pStyle w:val="a3"/>
        <w:spacing w:before="0" w:beforeAutospacing="0" w:after="0" w:afterAutospacing="0"/>
        <w:jc w:val="both"/>
        <w:rPr>
          <w:sz w:val="20"/>
          <w:szCs w:val="20"/>
          <w:lang w:val="uk-UA"/>
        </w:rPr>
      </w:pPr>
      <w:proofErr w:type="spellStart"/>
      <w:r w:rsidRPr="006F0C6B">
        <w:rPr>
          <w:rStyle w:val="a5"/>
          <w:sz w:val="20"/>
          <w:szCs w:val="20"/>
          <w:lang w:val="uk-UA"/>
        </w:rPr>
        <w:t>spr_sti.xml</w:t>
      </w:r>
      <w:proofErr w:type="spellEnd"/>
      <w:r w:rsidRPr="006F0C6B">
        <w:rPr>
          <w:sz w:val="20"/>
          <w:szCs w:val="20"/>
          <w:lang w:val="uk-UA"/>
        </w:rPr>
        <w:t xml:space="preserve"> – «Довідник податкових інспекцій» – станом на 23.10.2020. </w:t>
      </w:r>
    </w:p>
    <w:p w:rsidR="006F0C6B" w:rsidRPr="006F0C6B" w:rsidRDefault="006F0C6B" w:rsidP="006F0C6B">
      <w:pPr>
        <w:pStyle w:val="a3"/>
        <w:spacing w:before="0" w:beforeAutospacing="0" w:after="0" w:afterAutospacing="0"/>
        <w:jc w:val="both"/>
        <w:rPr>
          <w:sz w:val="20"/>
          <w:szCs w:val="20"/>
          <w:lang w:val="uk-UA"/>
        </w:rPr>
      </w:pPr>
    </w:p>
    <w:p w:rsidR="001E0866" w:rsidRPr="001E0866" w:rsidRDefault="001E0866" w:rsidP="006F0C6B">
      <w:pPr>
        <w:outlineLvl w:val="0"/>
        <w:rPr>
          <w:rFonts w:ascii="Times New Roman" w:eastAsia="Times New Roman" w:hAnsi="Times New Roman" w:cs="Times New Roman"/>
          <w:b/>
          <w:bCs/>
          <w:kern w:val="36"/>
          <w:sz w:val="20"/>
          <w:szCs w:val="20"/>
          <w:lang w:val="uk-UA" w:eastAsia="ru-RU"/>
        </w:rPr>
      </w:pPr>
      <w:r w:rsidRPr="001E0866">
        <w:rPr>
          <w:rFonts w:ascii="Times New Roman" w:eastAsia="Times New Roman" w:hAnsi="Times New Roman" w:cs="Times New Roman"/>
          <w:b/>
          <w:bCs/>
          <w:kern w:val="36"/>
          <w:sz w:val="20"/>
          <w:szCs w:val="20"/>
          <w:lang w:val="uk-UA" w:eastAsia="ru-RU"/>
        </w:rPr>
        <w:t xml:space="preserve">До уваги платників ПДВ! </w:t>
      </w:r>
    </w:p>
    <w:p w:rsidR="001E0866" w:rsidRPr="001E0866" w:rsidRDefault="006F0C6B" w:rsidP="006F0C6B">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w:t>
      </w:r>
      <w:r w:rsidR="001E0866" w:rsidRPr="001E0866">
        <w:rPr>
          <w:rFonts w:ascii="Times New Roman" w:eastAsia="Times New Roman" w:hAnsi="Times New Roman" w:cs="Times New Roman"/>
          <w:sz w:val="20"/>
          <w:szCs w:val="20"/>
          <w:lang w:val="uk-UA" w:eastAsia="ru-RU"/>
        </w:rPr>
        <w:t>гідно з пунктом 200</w:t>
      </w:r>
      <w:r w:rsidR="001E0866" w:rsidRPr="001E0866">
        <w:rPr>
          <w:rFonts w:ascii="Times New Roman" w:eastAsia="Times New Roman" w:hAnsi="Times New Roman" w:cs="Times New Roman"/>
          <w:sz w:val="20"/>
          <w:szCs w:val="20"/>
          <w:vertAlign w:val="superscript"/>
          <w:lang w:val="uk-UA" w:eastAsia="ru-RU"/>
        </w:rPr>
        <w:t>1</w:t>
      </w:r>
      <w:r w:rsidR="001E0866" w:rsidRPr="001E0866">
        <w:rPr>
          <w:rFonts w:ascii="Times New Roman" w:eastAsia="Times New Roman" w:hAnsi="Times New Roman" w:cs="Times New Roman"/>
          <w:sz w:val="20"/>
          <w:szCs w:val="20"/>
          <w:lang w:val="uk-UA" w:eastAsia="ru-RU"/>
        </w:rPr>
        <w:t>. 5 ст. 200</w:t>
      </w:r>
      <w:r w:rsidR="001E0866" w:rsidRPr="001E0866">
        <w:rPr>
          <w:rFonts w:ascii="Times New Roman" w:eastAsia="Times New Roman" w:hAnsi="Times New Roman" w:cs="Times New Roman"/>
          <w:sz w:val="20"/>
          <w:szCs w:val="20"/>
          <w:vertAlign w:val="superscript"/>
          <w:lang w:val="uk-UA" w:eastAsia="ru-RU"/>
        </w:rPr>
        <w:t>1</w:t>
      </w:r>
      <w:r w:rsidR="001E0866" w:rsidRPr="001E0866">
        <w:rPr>
          <w:rFonts w:ascii="Times New Roman" w:eastAsia="Times New Roman" w:hAnsi="Times New Roman" w:cs="Times New Roman"/>
          <w:sz w:val="20"/>
          <w:szCs w:val="20"/>
          <w:lang w:val="uk-UA" w:eastAsia="ru-RU"/>
        </w:rPr>
        <w:t xml:space="preserve"> Податкового кодексу України (далі – ПКУ) з рахунку у системі електронного адміністрування податку на додану вартість (далі – СЕА ПДВ) платника ПДВ перераховуються кошти до державного бюджету в сумі податкових зобов’язань з ПДВ, що підлягає сплаті за наслідками звітного податкового періоду, та на поточний рахунок платника податку за його заявою, яка подається до контролюючого органу у складі податкової звітності з ПДВ, у розмірі суми коштів, що перевищує суму задекларованих до сплати до бюджету податкових зобов’язань та суми податкового боргу з податку. При цьому перерахування коштів на поточний рахунок платника ПДВ може здійснюватися у разі відсутності перевищення суми ПДВ, зазначеної у податкових накладних, складених у звітному періоді та зареєстрованих у Єдиному реєстрі податкових накладних (далі – ЄРПН), над сумою податкових зобов’язань з ПДВ за операціями з постачання товарів/послуг, задекларованих у податковій звітності з ПДВ у цьому звітному періоді.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Відповідно до п. 200</w:t>
      </w:r>
      <w:r w:rsidRPr="001E0866">
        <w:rPr>
          <w:rFonts w:ascii="Times New Roman" w:eastAsia="Times New Roman" w:hAnsi="Times New Roman" w:cs="Times New Roman"/>
          <w:sz w:val="20"/>
          <w:szCs w:val="20"/>
          <w:vertAlign w:val="superscript"/>
          <w:lang w:val="uk-UA" w:eastAsia="ru-RU"/>
        </w:rPr>
        <w:t>1</w:t>
      </w:r>
      <w:r w:rsidRPr="001E0866">
        <w:rPr>
          <w:rFonts w:ascii="Times New Roman" w:eastAsia="Times New Roman" w:hAnsi="Times New Roman" w:cs="Times New Roman"/>
          <w:sz w:val="20"/>
          <w:szCs w:val="20"/>
          <w:lang w:val="uk-UA" w:eastAsia="ru-RU"/>
        </w:rPr>
        <w:t>. 6 ст. 200</w:t>
      </w:r>
      <w:r w:rsidRPr="001E0866">
        <w:rPr>
          <w:rFonts w:ascii="Times New Roman" w:eastAsia="Times New Roman" w:hAnsi="Times New Roman" w:cs="Times New Roman"/>
          <w:sz w:val="20"/>
          <w:szCs w:val="20"/>
          <w:vertAlign w:val="superscript"/>
          <w:lang w:val="uk-UA" w:eastAsia="ru-RU"/>
        </w:rPr>
        <w:t>.1</w:t>
      </w:r>
      <w:r w:rsidRPr="001E0866">
        <w:rPr>
          <w:rFonts w:ascii="Times New Roman" w:eastAsia="Times New Roman" w:hAnsi="Times New Roman" w:cs="Times New Roman"/>
          <w:sz w:val="20"/>
          <w:szCs w:val="20"/>
          <w:lang w:val="uk-UA" w:eastAsia="ru-RU"/>
        </w:rPr>
        <w:t xml:space="preserve"> ПКУ якщо на дату подання податкової звітності з ПДВ сума коштів на рахунку в СЕА ПДВ платника ПДВ перевищує суму, що підлягає перерахуванню до бюджету відповідно до поданої звітності, платник ПДВ має право подати до контролюючого органу у складі такої податкової звітності заяву, відповідно до якої такі кошти підлягають перерахуванню на поточний рахунок такого платника ПДВ, реквізити якого платник зазначає в заяві, у сумі залишку коштів, що перевищує суму податкового боргу з ПДВ та суму узгоджених податкових зобов’язань з ПДВ.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Для відповідного перерахування таких коштів центральний орган виконавчої влади, що забезпечує реалізацію податкової та митної політики, надсилає центральному органу виконавчої влади, що реалізує державну політику у сфері казначейського обслуговування бюджетних коштів, в якому відкриті рахунки платників у СЕА ПДВ, реєстр, в якому зазначаються назва платника, податковий номер та індивідуальний податковий номер платника, сума ПДВ, що підлягає перерахуванню до бюджету/на поточний рахунок та реквізити поточного рахунку платника (у випадку подання заяви платника ПДВ на повернення коштів на такий рахунок).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На підставі такого реєстру центральний орган виконавчої влади, що реалізує державну політику у сфері казначейського обслуговування бюджетних коштів, протягом п’яти робочих днів після граничного терміну, встановленого ПКУ для самостійної сплати платником сум податкових зобов’язань, здійснює таке перерахування до бюджету/на поточний рахунок платника податку.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Відповідно до </w:t>
      </w:r>
      <w:proofErr w:type="spellStart"/>
      <w:r w:rsidRPr="001E0866">
        <w:rPr>
          <w:rFonts w:ascii="Times New Roman" w:eastAsia="Times New Roman" w:hAnsi="Times New Roman" w:cs="Times New Roman"/>
          <w:sz w:val="20"/>
          <w:szCs w:val="20"/>
          <w:lang w:val="uk-UA" w:eastAsia="ru-RU"/>
        </w:rPr>
        <w:t>п.п</w:t>
      </w:r>
      <w:proofErr w:type="spellEnd"/>
      <w:r w:rsidRPr="001E0866">
        <w:rPr>
          <w:rFonts w:ascii="Times New Roman" w:eastAsia="Times New Roman" w:hAnsi="Times New Roman" w:cs="Times New Roman"/>
          <w:sz w:val="20"/>
          <w:szCs w:val="20"/>
          <w:lang w:val="uk-UA" w:eastAsia="ru-RU"/>
        </w:rPr>
        <w:t xml:space="preserve">. 4 п. 10 розділу ІІІ Порядку заповнення і подання податкової звітності з податку на додану вартість, затвердженого наказом Міністерства фінансів України від 28.01.2016 № 21 із змінами, для перерахування до бюджету/на поточний рахунок зайво зарахованих коштів платнику ПДВ необхідно заповнити додаток 4 до декларації з ПДВ </w:t>
      </w:r>
      <w:r w:rsidRPr="006F0C6B">
        <w:rPr>
          <w:rFonts w:ascii="Times New Roman" w:eastAsia="Times New Roman" w:hAnsi="Times New Roman" w:cs="Times New Roman"/>
          <w:i/>
          <w:iCs/>
          <w:sz w:val="20"/>
          <w:szCs w:val="20"/>
          <w:lang w:val="uk-UA" w:eastAsia="ru-RU"/>
        </w:rPr>
        <w:t>«Заява про повернення суми бюджетного відшкодування та/або суми коштів на рахунку у системі електронного адміністрування податку на додану вартість платника податку, що перевищує суму, яка підлягає перерахуванню до бюджету (Д4)»</w:t>
      </w:r>
      <w:r w:rsidRPr="001E0866">
        <w:rPr>
          <w:rFonts w:ascii="Times New Roman" w:eastAsia="Times New Roman" w:hAnsi="Times New Roman" w:cs="Times New Roman"/>
          <w:sz w:val="20"/>
          <w:szCs w:val="20"/>
          <w:lang w:val="uk-UA" w:eastAsia="ru-RU"/>
        </w:rPr>
        <w:t xml:space="preserve"> (далі –  додаток 4). </w:t>
      </w:r>
    </w:p>
    <w:p w:rsid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Отже, сума помилково (надміру) сплачених коштів на рахунок платника в СЕА ПДВ, що перевищує суму задекларованих до сплати до бюджету податкових зобов’язань з ПДВ за наслідками звітного податкового періоду та суму податкового боргу з ПДВ, може бути перерахована на поточний рахунок платника ПДВ лише за результатом подання додатку 4 у складі податкової декларації з ПДВ. </w:t>
      </w:r>
    </w:p>
    <w:p w:rsidR="004F3970" w:rsidRPr="008028F5" w:rsidRDefault="004F3970" w:rsidP="006F0C6B">
      <w:pPr>
        <w:rPr>
          <w:rFonts w:ascii="Times New Roman" w:eastAsia="Times New Roman" w:hAnsi="Times New Roman" w:cs="Times New Roman"/>
          <w:sz w:val="20"/>
          <w:szCs w:val="20"/>
          <w:lang w:val="uk-UA" w:eastAsia="ru-RU"/>
        </w:rPr>
      </w:pPr>
    </w:p>
    <w:p w:rsidR="001E0866" w:rsidRPr="001E0866" w:rsidRDefault="001E0866" w:rsidP="006F0C6B">
      <w:pPr>
        <w:outlineLvl w:val="0"/>
        <w:rPr>
          <w:rFonts w:ascii="Times New Roman" w:eastAsia="Times New Roman" w:hAnsi="Times New Roman" w:cs="Times New Roman"/>
          <w:b/>
          <w:bCs/>
          <w:kern w:val="36"/>
          <w:sz w:val="20"/>
          <w:szCs w:val="20"/>
          <w:lang w:val="uk-UA" w:eastAsia="ru-RU"/>
        </w:rPr>
      </w:pPr>
      <w:r w:rsidRPr="001E0866">
        <w:rPr>
          <w:rFonts w:ascii="Times New Roman" w:eastAsia="Times New Roman" w:hAnsi="Times New Roman" w:cs="Times New Roman"/>
          <w:b/>
          <w:bCs/>
          <w:kern w:val="36"/>
          <w:sz w:val="20"/>
          <w:szCs w:val="20"/>
          <w:lang w:val="uk-UA" w:eastAsia="ru-RU"/>
        </w:rPr>
        <w:t xml:space="preserve">Платник податку на прибуток включений до Реєстру неприбуткових установ та організацій в середині кварталу звітного року: звітність </w:t>
      </w:r>
    </w:p>
    <w:p w:rsidR="001E0866" w:rsidRPr="001E0866" w:rsidRDefault="006F0C6B" w:rsidP="006F0C6B">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І</w:t>
      </w:r>
      <w:r w:rsidR="001E0866" w:rsidRPr="001E0866">
        <w:rPr>
          <w:rFonts w:ascii="Times New Roman" w:eastAsia="Times New Roman" w:hAnsi="Times New Roman" w:cs="Times New Roman"/>
          <w:sz w:val="20"/>
          <w:szCs w:val="20"/>
          <w:lang w:val="uk-UA" w:eastAsia="ru-RU"/>
        </w:rPr>
        <w:t>нформує</w:t>
      </w:r>
      <w:r>
        <w:rPr>
          <w:rFonts w:ascii="Times New Roman" w:eastAsia="Times New Roman" w:hAnsi="Times New Roman" w:cs="Times New Roman"/>
          <w:sz w:val="20"/>
          <w:szCs w:val="20"/>
          <w:lang w:val="uk-UA" w:eastAsia="ru-RU"/>
        </w:rPr>
        <w:t>мо</w:t>
      </w:r>
      <w:r w:rsidR="001E0866" w:rsidRPr="001E0866">
        <w:rPr>
          <w:rFonts w:ascii="Times New Roman" w:eastAsia="Times New Roman" w:hAnsi="Times New Roman" w:cs="Times New Roman"/>
          <w:sz w:val="20"/>
          <w:szCs w:val="20"/>
          <w:lang w:val="uk-UA" w:eastAsia="ru-RU"/>
        </w:rPr>
        <w:t xml:space="preserve">, що базовий податковий (звітний) період – період, за який платник податків зобов’язаний здійснювати розрахунки податків, подавати податкові декларації (звіти, розрахунки) та сплачувати до бюджету суми податків та зборів, крім випадків, передбачених ПКУ, коли контролюючий орган зобов’язаний самостійно визначити суму податкового зобов’язання платника податку.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Норми встановлені п. 33.3 ст. 33 Податкового кодексу України (далі – ПКУ).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Для цілей ПКУ під терміном «базовий звітний (податковий) період» слід розуміти перший звітний (податковий) період року, визначений відповідним розділом ПКУ (п. 49.19 ст. 49 ПКУ).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Податковими (звітними) періодами для податку на прибуток підприємств, крім випадків, передбачених п. 137.5 ст. 137 ПКУ, є календарні: квартал, півріччя, три квартали, рік. При цьому податкова декларація розраховується наростаючим підсумком (п. 137.4 ст. 137 ПКУ).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Для неприбуткових організацій, які відповідають вимогам п. 137.4 ст. 137 ПКУ та внесені до Реєстру неприбуткових установ та організацій (далі – Реєстр), встановлюється річний податковий (звітний) період, </w:t>
      </w:r>
      <w:r w:rsidRPr="006F0C6B">
        <w:rPr>
          <w:rFonts w:ascii="Times New Roman" w:eastAsia="Times New Roman" w:hAnsi="Times New Roman" w:cs="Times New Roman"/>
          <w:i/>
          <w:iCs/>
          <w:sz w:val="20"/>
          <w:szCs w:val="20"/>
          <w:lang w:val="uk-UA" w:eastAsia="ru-RU"/>
        </w:rPr>
        <w:t xml:space="preserve">крім випадків, передбачених </w:t>
      </w:r>
      <w:proofErr w:type="spellStart"/>
      <w:r w:rsidRPr="006F0C6B">
        <w:rPr>
          <w:rFonts w:ascii="Times New Roman" w:eastAsia="Times New Roman" w:hAnsi="Times New Roman" w:cs="Times New Roman"/>
          <w:i/>
          <w:iCs/>
          <w:sz w:val="20"/>
          <w:szCs w:val="20"/>
          <w:lang w:val="uk-UA" w:eastAsia="ru-RU"/>
        </w:rPr>
        <w:t>п.п</w:t>
      </w:r>
      <w:proofErr w:type="spellEnd"/>
      <w:r w:rsidRPr="006F0C6B">
        <w:rPr>
          <w:rFonts w:ascii="Times New Roman" w:eastAsia="Times New Roman" w:hAnsi="Times New Roman" w:cs="Times New Roman"/>
          <w:i/>
          <w:iCs/>
          <w:sz w:val="20"/>
          <w:szCs w:val="20"/>
          <w:lang w:val="uk-UA" w:eastAsia="ru-RU"/>
        </w:rPr>
        <w:t>. 133.4.3 п. 133.4 ст. 133 ПКУ (</w:t>
      </w:r>
      <w:proofErr w:type="spellStart"/>
      <w:r w:rsidRPr="006F0C6B">
        <w:rPr>
          <w:rFonts w:ascii="Times New Roman" w:eastAsia="Times New Roman" w:hAnsi="Times New Roman" w:cs="Times New Roman"/>
          <w:i/>
          <w:iCs/>
          <w:sz w:val="20"/>
          <w:szCs w:val="20"/>
          <w:lang w:val="uk-UA" w:eastAsia="ru-RU"/>
        </w:rPr>
        <w:t>п.п</w:t>
      </w:r>
      <w:proofErr w:type="spellEnd"/>
      <w:r w:rsidRPr="006F0C6B">
        <w:rPr>
          <w:rFonts w:ascii="Times New Roman" w:eastAsia="Times New Roman" w:hAnsi="Times New Roman" w:cs="Times New Roman"/>
          <w:i/>
          <w:iCs/>
          <w:sz w:val="20"/>
          <w:szCs w:val="20"/>
          <w:lang w:val="uk-UA" w:eastAsia="ru-RU"/>
        </w:rPr>
        <w:t>. 133.4.7 п. 133.4 ст. 133 ПКУ)</w:t>
      </w:r>
      <w:r w:rsidRPr="001E0866">
        <w:rPr>
          <w:rFonts w:ascii="Times New Roman" w:eastAsia="Times New Roman" w:hAnsi="Times New Roman" w:cs="Times New Roman"/>
          <w:sz w:val="20"/>
          <w:szCs w:val="20"/>
          <w:lang w:val="uk-UA" w:eastAsia="ru-RU"/>
        </w:rPr>
        <w:t xml:space="preserve">.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Форма Податкової декларації з податку на прибуток підприємств затверджена наказом Міністерства фінансів України від 20.10.2015 № 897 зі змінами та доповненнями (далі – Декларація). </w:t>
      </w:r>
    </w:p>
    <w:p w:rsid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Платник податку на прибуток, який використовував базовий звітний (податковий) період квартал та включений до Реєстру неприбуткових установ та організацій в середині кварталу звітного року, при заповненні поля 2 Декларації зазначає базовий звітний період квартал та відповідний звітний (податковий) період застосування загальних правил оподаткування (І квартал, півріччя, три квартали). В такій Декларації платник податку зазначає показники діяльності, обраховані за період перебування на загальній системі оподаткування, та подає її разом з фінансовою звітністю за відповідний період – у строк, встановлений </w:t>
      </w:r>
      <w:proofErr w:type="spellStart"/>
      <w:r w:rsidRPr="001E0866">
        <w:rPr>
          <w:rFonts w:ascii="Times New Roman" w:eastAsia="Times New Roman" w:hAnsi="Times New Roman" w:cs="Times New Roman"/>
          <w:sz w:val="20"/>
          <w:szCs w:val="20"/>
          <w:lang w:val="uk-UA" w:eastAsia="ru-RU"/>
        </w:rPr>
        <w:t>п.п</w:t>
      </w:r>
      <w:proofErr w:type="spellEnd"/>
      <w:r w:rsidRPr="001E0866">
        <w:rPr>
          <w:rFonts w:ascii="Times New Roman" w:eastAsia="Times New Roman" w:hAnsi="Times New Roman" w:cs="Times New Roman"/>
          <w:sz w:val="20"/>
          <w:szCs w:val="20"/>
          <w:lang w:val="uk-UA" w:eastAsia="ru-RU"/>
        </w:rPr>
        <w:t xml:space="preserve">. 49.18.2 п. 49.18 ст. 49 ПКУ, протягом 40 календарних днів, що настають за останнім календарним днем звітного (податкового) кварталу (півріччя). </w:t>
      </w:r>
    </w:p>
    <w:p w:rsidR="006F0C6B" w:rsidRPr="001E0866" w:rsidRDefault="006F0C6B" w:rsidP="006F0C6B">
      <w:pPr>
        <w:rPr>
          <w:rFonts w:ascii="Times New Roman" w:eastAsia="Times New Roman" w:hAnsi="Times New Roman" w:cs="Times New Roman"/>
          <w:sz w:val="20"/>
          <w:szCs w:val="20"/>
          <w:lang w:val="uk-UA" w:eastAsia="ru-RU"/>
        </w:rPr>
      </w:pPr>
    </w:p>
    <w:p w:rsidR="001E0866" w:rsidRPr="001E0866" w:rsidRDefault="001E0866" w:rsidP="006F0C6B">
      <w:pPr>
        <w:outlineLvl w:val="0"/>
        <w:rPr>
          <w:rFonts w:ascii="Times New Roman" w:eastAsia="Times New Roman" w:hAnsi="Times New Roman" w:cs="Times New Roman"/>
          <w:b/>
          <w:bCs/>
          <w:kern w:val="36"/>
          <w:sz w:val="20"/>
          <w:szCs w:val="20"/>
          <w:lang w:val="uk-UA" w:eastAsia="ru-RU"/>
        </w:rPr>
      </w:pPr>
      <w:r w:rsidRPr="001E0866">
        <w:rPr>
          <w:rFonts w:ascii="Times New Roman" w:eastAsia="Times New Roman" w:hAnsi="Times New Roman" w:cs="Times New Roman"/>
          <w:b/>
          <w:bCs/>
          <w:kern w:val="36"/>
          <w:sz w:val="20"/>
          <w:szCs w:val="20"/>
          <w:lang w:val="uk-UA" w:eastAsia="ru-RU"/>
        </w:rPr>
        <w:t xml:space="preserve">Витрати, понесені у зв’язку з придбанням товарів у </w:t>
      </w:r>
      <w:proofErr w:type="spellStart"/>
      <w:r w:rsidRPr="001E0866">
        <w:rPr>
          <w:rFonts w:ascii="Times New Roman" w:eastAsia="Times New Roman" w:hAnsi="Times New Roman" w:cs="Times New Roman"/>
          <w:b/>
          <w:bCs/>
          <w:kern w:val="36"/>
          <w:sz w:val="20"/>
          <w:szCs w:val="20"/>
          <w:lang w:val="uk-UA" w:eastAsia="ru-RU"/>
        </w:rPr>
        <w:t>ФОП</w:t>
      </w:r>
      <w:proofErr w:type="spellEnd"/>
      <w:r w:rsidRPr="001E0866">
        <w:rPr>
          <w:rFonts w:ascii="Times New Roman" w:eastAsia="Times New Roman" w:hAnsi="Times New Roman" w:cs="Times New Roman"/>
          <w:b/>
          <w:bCs/>
          <w:kern w:val="36"/>
          <w:sz w:val="20"/>
          <w:szCs w:val="20"/>
          <w:lang w:val="uk-UA" w:eastAsia="ru-RU"/>
        </w:rPr>
        <w:t xml:space="preserve"> – платників єдиного податку, враховуються при визначенні доходу «незалежника» </w:t>
      </w:r>
    </w:p>
    <w:p w:rsidR="001E0866" w:rsidRPr="001E0866" w:rsidRDefault="006F0C6B" w:rsidP="006F0C6B">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001E0866" w:rsidRPr="001E0866">
        <w:rPr>
          <w:rFonts w:ascii="Times New Roman" w:eastAsia="Times New Roman" w:hAnsi="Times New Roman" w:cs="Times New Roman"/>
          <w:sz w:val="20"/>
          <w:szCs w:val="20"/>
          <w:lang w:val="uk-UA" w:eastAsia="ru-RU"/>
        </w:rPr>
        <w:t>агадує</w:t>
      </w:r>
      <w:r>
        <w:rPr>
          <w:rFonts w:ascii="Times New Roman" w:eastAsia="Times New Roman" w:hAnsi="Times New Roman" w:cs="Times New Roman"/>
          <w:sz w:val="20"/>
          <w:szCs w:val="20"/>
          <w:lang w:val="uk-UA" w:eastAsia="ru-RU"/>
        </w:rPr>
        <w:t>мо</w:t>
      </w:r>
      <w:r w:rsidR="001E0866" w:rsidRPr="001E0866">
        <w:rPr>
          <w:rFonts w:ascii="Times New Roman" w:eastAsia="Times New Roman" w:hAnsi="Times New Roman" w:cs="Times New Roman"/>
          <w:sz w:val="20"/>
          <w:szCs w:val="20"/>
          <w:lang w:val="uk-UA" w:eastAsia="ru-RU"/>
        </w:rPr>
        <w:t xml:space="preserve">, що оподаткування доходів, отриманих фізичною особою, яка провадить незалежну професійну діяльність, регламентується ст. 178 Податкового кодексу України (далі – ПКУ).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Оподатковуваним доходом вважається сукупний чистий дохід, тобто різниця між доходом і документально підтвердженими витратами, необхідними для провадження певного виду незалежної професійної діяльності. У разі неотримання довідки про взяття на облік особою, яка провадить незалежну професійну діяльність, об’єктом оподаткування є доходи, отримані від такої діяльності без урахування витрат (п. 178.3 ст. 178 ПКУ).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ПКУ не передбачено обмежень щодо включення фізичною особою, яка здійснює незалежну професійну діяльність, витрат, пов’язаних з придбанням товарів (робіт, послуг) у фізичних осіб – підприємців (</w:t>
      </w:r>
      <w:proofErr w:type="spellStart"/>
      <w:r w:rsidRPr="001E0866">
        <w:rPr>
          <w:rFonts w:ascii="Times New Roman" w:eastAsia="Times New Roman" w:hAnsi="Times New Roman" w:cs="Times New Roman"/>
          <w:sz w:val="20"/>
          <w:szCs w:val="20"/>
          <w:lang w:val="uk-UA" w:eastAsia="ru-RU"/>
        </w:rPr>
        <w:t>ФОП</w:t>
      </w:r>
      <w:proofErr w:type="spellEnd"/>
      <w:r w:rsidRPr="001E0866">
        <w:rPr>
          <w:rFonts w:ascii="Times New Roman" w:eastAsia="Times New Roman" w:hAnsi="Times New Roman" w:cs="Times New Roman"/>
          <w:sz w:val="20"/>
          <w:szCs w:val="20"/>
          <w:lang w:val="uk-UA" w:eastAsia="ru-RU"/>
        </w:rPr>
        <w:t xml:space="preserve">) – платників єдиного податку.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При цьому, зазначені витрати повинні бути пов’язані із провадженням певного виду незалежної професійної діяльності та підтверджені документально. </w:t>
      </w:r>
    </w:p>
    <w:p w:rsidR="006F0C6B" w:rsidRPr="001E0866" w:rsidRDefault="006F0C6B" w:rsidP="006F0C6B">
      <w:pPr>
        <w:rPr>
          <w:rFonts w:ascii="Times New Roman" w:eastAsia="Times New Roman" w:hAnsi="Times New Roman" w:cs="Times New Roman"/>
          <w:sz w:val="20"/>
          <w:szCs w:val="20"/>
          <w:lang w:val="uk-UA" w:eastAsia="ru-RU"/>
        </w:rPr>
      </w:pPr>
    </w:p>
    <w:p w:rsidR="001E0866" w:rsidRPr="001E0866" w:rsidRDefault="006F0C6B" w:rsidP="006F0C6B">
      <w:pPr>
        <w:outlineLvl w:val="0"/>
        <w:rPr>
          <w:rFonts w:ascii="Times New Roman" w:eastAsia="Times New Roman" w:hAnsi="Times New Roman" w:cs="Times New Roman"/>
          <w:b/>
          <w:bCs/>
          <w:kern w:val="36"/>
          <w:sz w:val="20"/>
          <w:szCs w:val="20"/>
          <w:lang w:val="uk-UA" w:eastAsia="ru-RU"/>
        </w:rPr>
      </w:pPr>
      <w:r>
        <w:rPr>
          <w:rFonts w:ascii="Times New Roman" w:eastAsia="Times New Roman" w:hAnsi="Times New Roman" w:cs="Times New Roman"/>
          <w:b/>
          <w:bCs/>
          <w:kern w:val="36"/>
          <w:sz w:val="20"/>
          <w:szCs w:val="20"/>
          <w:lang w:val="uk-UA" w:eastAsia="ru-RU"/>
        </w:rPr>
        <w:t>З</w:t>
      </w:r>
      <w:r w:rsidR="001E0866" w:rsidRPr="001E0866">
        <w:rPr>
          <w:rFonts w:ascii="Times New Roman" w:eastAsia="Times New Roman" w:hAnsi="Times New Roman" w:cs="Times New Roman"/>
          <w:b/>
          <w:bCs/>
          <w:kern w:val="36"/>
          <w:sz w:val="20"/>
          <w:szCs w:val="20"/>
          <w:lang w:val="uk-UA" w:eastAsia="ru-RU"/>
        </w:rPr>
        <w:t xml:space="preserve">а якими кодами бюджетної класифікації сплачується рентна плата за спеціальне використання лісових ресурсів? </w:t>
      </w:r>
    </w:p>
    <w:p w:rsidR="001E0866" w:rsidRPr="001E0866" w:rsidRDefault="006F0C6B" w:rsidP="006F0C6B">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001E0866" w:rsidRPr="001E0866">
        <w:rPr>
          <w:rFonts w:ascii="Times New Roman" w:eastAsia="Times New Roman" w:hAnsi="Times New Roman" w:cs="Times New Roman"/>
          <w:sz w:val="20"/>
          <w:szCs w:val="20"/>
          <w:lang w:val="uk-UA" w:eastAsia="ru-RU"/>
        </w:rPr>
        <w:t xml:space="preserve">аказом Міністерства фінансів України від 14.01.2011 № 11 «Про бюджетну класифікацію» зі змінами і доповненнями затверджено наступну Класифікацію доходів бюджету з рентної плати за спеціальне використання лісових ресурсів: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w:t>
      </w:r>
      <w:r w:rsidRPr="006F0C6B">
        <w:rPr>
          <w:rFonts w:ascii="Times New Roman" w:eastAsia="Times New Roman" w:hAnsi="Times New Roman" w:cs="Times New Roman"/>
          <w:b/>
          <w:bCs/>
          <w:sz w:val="20"/>
          <w:szCs w:val="20"/>
          <w:lang w:val="uk-UA" w:eastAsia="ru-RU"/>
        </w:rPr>
        <w:t>13010100</w:t>
      </w:r>
      <w:r w:rsidRPr="001E0866">
        <w:rPr>
          <w:rFonts w:ascii="Times New Roman" w:eastAsia="Times New Roman" w:hAnsi="Times New Roman" w:cs="Times New Roman"/>
          <w:sz w:val="20"/>
          <w:szCs w:val="20"/>
          <w:lang w:val="uk-UA" w:eastAsia="ru-RU"/>
        </w:rPr>
        <w:t xml:space="preserve"> «Рентна плата за спеціальне використання лісових ресурсів в частині деревини, заготовленої в порядку рубок головного користування»;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w:t>
      </w:r>
      <w:r w:rsidRPr="006F0C6B">
        <w:rPr>
          <w:rFonts w:ascii="Times New Roman" w:eastAsia="Times New Roman" w:hAnsi="Times New Roman" w:cs="Times New Roman"/>
          <w:b/>
          <w:bCs/>
          <w:sz w:val="20"/>
          <w:szCs w:val="20"/>
          <w:lang w:val="uk-UA" w:eastAsia="ru-RU"/>
        </w:rPr>
        <w:t>13010200</w:t>
      </w:r>
      <w:r w:rsidRPr="001E0866">
        <w:rPr>
          <w:rFonts w:ascii="Times New Roman" w:eastAsia="Times New Roman" w:hAnsi="Times New Roman" w:cs="Times New Roman"/>
          <w:sz w:val="20"/>
          <w:szCs w:val="20"/>
          <w:lang w:val="uk-UA" w:eastAsia="ru-RU"/>
        </w:rPr>
        <w:t xml:space="preserve"> «Рентна плата за спеціальне використання лісових ресурсів </w:t>
      </w:r>
      <w:r w:rsidRPr="006F0C6B">
        <w:rPr>
          <w:rFonts w:ascii="Times New Roman" w:eastAsia="Times New Roman" w:hAnsi="Times New Roman" w:cs="Times New Roman"/>
          <w:i/>
          <w:iCs/>
          <w:sz w:val="20"/>
          <w:szCs w:val="20"/>
          <w:lang w:val="uk-UA" w:eastAsia="ru-RU"/>
        </w:rPr>
        <w:t>(крім рентної плати за спеціальне використання лісових ресурсів в частині деревини, заготовленої в порядку рубок головного користування)</w:t>
      </w:r>
      <w:r w:rsidRPr="001E0866">
        <w:rPr>
          <w:rFonts w:ascii="Times New Roman" w:eastAsia="Times New Roman" w:hAnsi="Times New Roman" w:cs="Times New Roman"/>
          <w:sz w:val="20"/>
          <w:szCs w:val="20"/>
          <w:lang w:val="uk-UA" w:eastAsia="ru-RU"/>
        </w:rPr>
        <w:t xml:space="preserve">»; </w:t>
      </w:r>
    </w:p>
    <w:p w:rsid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w:t>
      </w:r>
      <w:r w:rsidRPr="006F0C6B">
        <w:rPr>
          <w:rFonts w:ascii="Times New Roman" w:eastAsia="Times New Roman" w:hAnsi="Times New Roman" w:cs="Times New Roman"/>
          <w:b/>
          <w:bCs/>
          <w:sz w:val="20"/>
          <w:szCs w:val="20"/>
          <w:lang w:val="uk-UA" w:eastAsia="ru-RU"/>
        </w:rPr>
        <w:t>13010300</w:t>
      </w:r>
      <w:r w:rsidRPr="001E0866">
        <w:rPr>
          <w:rFonts w:ascii="Times New Roman" w:eastAsia="Times New Roman" w:hAnsi="Times New Roman" w:cs="Times New Roman"/>
          <w:sz w:val="20"/>
          <w:szCs w:val="20"/>
          <w:lang w:val="uk-UA" w:eastAsia="ru-RU"/>
        </w:rPr>
        <w:t xml:space="preserve"> «Надходження сум </w:t>
      </w:r>
      <w:proofErr w:type="spellStart"/>
      <w:r w:rsidRPr="001E0866">
        <w:rPr>
          <w:rFonts w:ascii="Times New Roman" w:eastAsia="Times New Roman" w:hAnsi="Times New Roman" w:cs="Times New Roman"/>
          <w:sz w:val="20"/>
          <w:szCs w:val="20"/>
          <w:lang w:val="uk-UA" w:eastAsia="ru-RU"/>
        </w:rPr>
        <w:t>реструктурованої</w:t>
      </w:r>
      <w:proofErr w:type="spellEnd"/>
      <w:r w:rsidRPr="001E0866">
        <w:rPr>
          <w:rFonts w:ascii="Times New Roman" w:eastAsia="Times New Roman" w:hAnsi="Times New Roman" w:cs="Times New Roman"/>
          <w:sz w:val="20"/>
          <w:szCs w:val="20"/>
          <w:lang w:val="uk-UA" w:eastAsia="ru-RU"/>
        </w:rPr>
        <w:t xml:space="preserve"> заборгованості рентної плати за спеціальне використання лісових ресурсів». </w:t>
      </w:r>
    </w:p>
    <w:p w:rsidR="006F0C6B" w:rsidRPr="001E0866" w:rsidRDefault="006F0C6B" w:rsidP="006F0C6B">
      <w:pPr>
        <w:rPr>
          <w:rFonts w:ascii="Times New Roman" w:eastAsia="Times New Roman" w:hAnsi="Times New Roman" w:cs="Times New Roman"/>
          <w:sz w:val="20"/>
          <w:szCs w:val="20"/>
          <w:lang w:val="uk-UA" w:eastAsia="ru-RU"/>
        </w:rPr>
      </w:pPr>
    </w:p>
    <w:p w:rsidR="001E0866" w:rsidRPr="001E0866" w:rsidRDefault="001E0866" w:rsidP="006F0C6B">
      <w:pPr>
        <w:outlineLvl w:val="0"/>
        <w:rPr>
          <w:rFonts w:ascii="Times New Roman" w:eastAsia="Times New Roman" w:hAnsi="Times New Roman" w:cs="Times New Roman"/>
          <w:b/>
          <w:bCs/>
          <w:kern w:val="36"/>
          <w:sz w:val="20"/>
          <w:szCs w:val="20"/>
          <w:lang w:val="uk-UA" w:eastAsia="ru-RU"/>
        </w:rPr>
      </w:pPr>
      <w:r w:rsidRPr="001E0866">
        <w:rPr>
          <w:rFonts w:ascii="Times New Roman" w:eastAsia="Times New Roman" w:hAnsi="Times New Roman" w:cs="Times New Roman"/>
          <w:b/>
          <w:bCs/>
          <w:kern w:val="36"/>
          <w:sz w:val="20"/>
          <w:szCs w:val="20"/>
          <w:lang w:val="uk-UA" w:eastAsia="ru-RU"/>
        </w:rPr>
        <w:t xml:space="preserve">На Дніпропетровщині платники сплатили до місцевих бюджетів 362,2 </w:t>
      </w:r>
      <w:proofErr w:type="spellStart"/>
      <w:r w:rsidRPr="001E0866">
        <w:rPr>
          <w:rFonts w:ascii="Times New Roman" w:eastAsia="Times New Roman" w:hAnsi="Times New Roman" w:cs="Times New Roman"/>
          <w:b/>
          <w:bCs/>
          <w:kern w:val="36"/>
          <w:sz w:val="20"/>
          <w:szCs w:val="20"/>
          <w:lang w:val="uk-UA" w:eastAsia="ru-RU"/>
        </w:rPr>
        <w:t>млн</w:t>
      </w:r>
      <w:proofErr w:type="spellEnd"/>
      <w:r w:rsidRPr="001E0866">
        <w:rPr>
          <w:rFonts w:ascii="Times New Roman" w:eastAsia="Times New Roman" w:hAnsi="Times New Roman" w:cs="Times New Roman"/>
          <w:b/>
          <w:bCs/>
          <w:kern w:val="36"/>
          <w:sz w:val="20"/>
          <w:szCs w:val="20"/>
          <w:lang w:val="uk-UA" w:eastAsia="ru-RU"/>
        </w:rPr>
        <w:t xml:space="preserve"> </w:t>
      </w:r>
      <w:proofErr w:type="spellStart"/>
      <w:r w:rsidRPr="001E0866">
        <w:rPr>
          <w:rFonts w:ascii="Times New Roman" w:eastAsia="Times New Roman" w:hAnsi="Times New Roman" w:cs="Times New Roman"/>
          <w:b/>
          <w:bCs/>
          <w:kern w:val="36"/>
          <w:sz w:val="20"/>
          <w:szCs w:val="20"/>
          <w:lang w:val="uk-UA" w:eastAsia="ru-RU"/>
        </w:rPr>
        <w:t>грн</w:t>
      </w:r>
      <w:proofErr w:type="spellEnd"/>
      <w:r w:rsidRPr="001E0866">
        <w:rPr>
          <w:rFonts w:ascii="Times New Roman" w:eastAsia="Times New Roman" w:hAnsi="Times New Roman" w:cs="Times New Roman"/>
          <w:b/>
          <w:bCs/>
          <w:kern w:val="36"/>
          <w:sz w:val="20"/>
          <w:szCs w:val="20"/>
          <w:lang w:val="uk-UA" w:eastAsia="ru-RU"/>
        </w:rPr>
        <w:t xml:space="preserve"> акцизного податку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За десять місяців поточного року до місцевих бюджетів надійшло 362,2 </w:t>
      </w:r>
      <w:proofErr w:type="spellStart"/>
      <w:r w:rsidRPr="001E0866">
        <w:rPr>
          <w:rFonts w:ascii="Times New Roman" w:eastAsia="Times New Roman" w:hAnsi="Times New Roman" w:cs="Times New Roman"/>
          <w:sz w:val="20"/>
          <w:szCs w:val="20"/>
          <w:lang w:val="uk-UA" w:eastAsia="ru-RU"/>
        </w:rPr>
        <w:t>млн</w:t>
      </w:r>
      <w:proofErr w:type="spellEnd"/>
      <w:r w:rsidRPr="001E0866">
        <w:rPr>
          <w:rFonts w:ascii="Times New Roman" w:eastAsia="Times New Roman" w:hAnsi="Times New Roman" w:cs="Times New Roman"/>
          <w:sz w:val="20"/>
          <w:szCs w:val="20"/>
          <w:lang w:val="uk-UA" w:eastAsia="ru-RU"/>
        </w:rPr>
        <w:t xml:space="preserve"> </w:t>
      </w:r>
      <w:proofErr w:type="spellStart"/>
      <w:r w:rsidRPr="001E0866">
        <w:rPr>
          <w:rFonts w:ascii="Times New Roman" w:eastAsia="Times New Roman" w:hAnsi="Times New Roman" w:cs="Times New Roman"/>
          <w:sz w:val="20"/>
          <w:szCs w:val="20"/>
          <w:lang w:val="uk-UA" w:eastAsia="ru-RU"/>
        </w:rPr>
        <w:t>грн</w:t>
      </w:r>
      <w:proofErr w:type="spellEnd"/>
      <w:r w:rsidRPr="001E0866">
        <w:rPr>
          <w:rFonts w:ascii="Times New Roman" w:eastAsia="Times New Roman" w:hAnsi="Times New Roman" w:cs="Times New Roman"/>
          <w:sz w:val="20"/>
          <w:szCs w:val="20"/>
          <w:lang w:val="uk-UA" w:eastAsia="ru-RU"/>
        </w:rPr>
        <w:t xml:space="preserve"> акцизного податку з роздрібної реалізації, що складає 110,3 відсотків доведеного завдання.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Так, у Дніпропетровській області станом на 01.11.2020 року діє 16 894 ліцензії на право здійснення роздрібної торгівлі алкогольними напоями та тютюновими виробами, роздрібну торгівлю пальним та зберігання пального по 7 174 суб'єктам господарської діяльності. У порівнянні з аналогічним періодом минулого року загальна кількість виданих ліцензій збільшилась на    2 921.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Серед яких щодо роздрібної торгівлі алкогольними напоями – 7 466 ліцензій, на тютюнові вироби – 6 338, на право роздрібної торгівлі пальним – 609 ліцензій та 2 487 ліцензій на зберігання пального.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Головним управлінням ДПС у Дніпропетровській області ведеться систематичний контроль за своєчасністю сплати суб’єктами підприємницької діяльності за ліцензії на право роздрібної торгівлі алкогольними напоями та тютюновими виробами, роздрібної торгівлі пальним та зберігання пального.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Так, з початку 2020 року за несвоєчасну сплату чергового платежу призупинено дію 1886 ліцензій З них на право торгівлі алкогольними напоями – 1088; тютюновими виробами – 7704 роздрібної торгівлі пальним – 14; на зберігання пального - 14. </w:t>
      </w:r>
    </w:p>
    <w:p w:rsidR="001E0866" w:rsidRPr="006F0C6B"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Анульовано з початку 2020 року 1 812 ліцензій, з яких 74 - за продаж алкогольних напоїв та тютюнових виробів особам, які не досягли 18 років. </w:t>
      </w:r>
    </w:p>
    <w:p w:rsidR="006F0C6B" w:rsidRPr="001E0866" w:rsidRDefault="006F0C6B" w:rsidP="006F0C6B">
      <w:pPr>
        <w:rPr>
          <w:rFonts w:ascii="Times New Roman" w:eastAsia="Times New Roman" w:hAnsi="Times New Roman" w:cs="Times New Roman"/>
          <w:sz w:val="20"/>
          <w:szCs w:val="20"/>
          <w:lang w:val="uk-UA" w:eastAsia="ru-RU"/>
        </w:rPr>
      </w:pPr>
    </w:p>
    <w:p w:rsidR="001E0866" w:rsidRPr="001E0866" w:rsidRDefault="001E0866" w:rsidP="006F0C6B">
      <w:pPr>
        <w:outlineLvl w:val="0"/>
        <w:rPr>
          <w:rFonts w:ascii="Times New Roman" w:eastAsia="Times New Roman" w:hAnsi="Times New Roman" w:cs="Times New Roman"/>
          <w:b/>
          <w:bCs/>
          <w:kern w:val="36"/>
          <w:sz w:val="20"/>
          <w:szCs w:val="20"/>
          <w:lang w:val="uk-UA" w:eastAsia="ru-RU"/>
        </w:rPr>
      </w:pPr>
      <w:r w:rsidRPr="001E0866">
        <w:rPr>
          <w:rFonts w:ascii="Times New Roman" w:eastAsia="Times New Roman" w:hAnsi="Times New Roman" w:cs="Times New Roman"/>
          <w:b/>
          <w:bCs/>
          <w:kern w:val="36"/>
          <w:sz w:val="20"/>
          <w:szCs w:val="20"/>
          <w:lang w:val="uk-UA" w:eastAsia="ru-RU"/>
        </w:rPr>
        <w:t xml:space="preserve">Яким суб’єктам господарювання необхідно придбавати ліцензію на зберігання пального </w:t>
      </w:r>
    </w:p>
    <w:p w:rsidR="001E0866" w:rsidRPr="001E0866" w:rsidRDefault="006F0C6B" w:rsidP="006F0C6B">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w:t>
      </w:r>
      <w:r w:rsidR="001E0866" w:rsidRPr="001E0866">
        <w:rPr>
          <w:rFonts w:ascii="Times New Roman" w:eastAsia="Times New Roman" w:hAnsi="Times New Roman" w:cs="Times New Roman"/>
          <w:sz w:val="20"/>
          <w:szCs w:val="20"/>
          <w:lang w:val="uk-UA" w:eastAsia="ru-RU"/>
        </w:rPr>
        <w:t xml:space="preserve">ідповідно до 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та пального» із змінами </w:t>
      </w:r>
      <w:r w:rsidR="001E0866" w:rsidRPr="001E0866">
        <w:rPr>
          <w:rFonts w:ascii="Times New Roman" w:eastAsia="Times New Roman" w:hAnsi="Times New Roman" w:cs="Times New Roman"/>
          <w:sz w:val="20"/>
          <w:szCs w:val="20"/>
          <w:lang w:val="uk-UA" w:eastAsia="ru-RU"/>
        </w:rPr>
        <w:lastRenderedPageBreak/>
        <w:t xml:space="preserve">зберігання пального здійснюється суб’єктами господарювання (у тому числі іноземними суб’єктами господарювання, які діють через свої зареєстровані постійні представництва) всіх форм власності за наявності ліцензії.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Річна плата за ліцензію на право зберігання пального встановлюється в розмірі 780 гривень.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Суб’єкти господарювання (у тому числі іноземні суб’єкти господарювання, які діють через свої зареєстровані постійні представництва) отримують ліцензії на зберігання пального на кожне місце зберігання пального.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Ліцензії на право зберігання пального видаються уповноваженими Кабінетом Міністрів України органами виконавчої влади за місцем розташування місць зберігання пального терміном на п’ять років.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Суб’єкт господарювання (у тому числі іноземний суб’єкт господарювання, який діє через своє зареєстроване постійне представництво) має право зберігати пальне без отримання ліцензії на право зберігання пального в місцях виробництва пального або місцях оптової торгівлі пальним чи місцях роздрібної торгівлі пальним, на які отримані відповідні ліцензії.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Ліцензія на право зберігання пального не отримується на місця зберігання пального, що використовуються: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підприємствами, установами та організаціями, які повністю утримуються за рахунок коштів державного або місцевого бюджету;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підприємствами, установами та організаціями системи державного резерву;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суб’єктами господарювання (у тому числі іноземними суб’єктами господарювання, які діють через свої зареєстровані постійні представництва) для зберігання пального, яке споживається для власних виробничо-технологічних потреб виключно на </w:t>
      </w:r>
      <w:proofErr w:type="spellStart"/>
      <w:r w:rsidRPr="001E0866">
        <w:rPr>
          <w:rFonts w:ascii="Times New Roman" w:eastAsia="Times New Roman" w:hAnsi="Times New Roman" w:cs="Times New Roman"/>
          <w:sz w:val="20"/>
          <w:szCs w:val="20"/>
          <w:lang w:val="uk-UA" w:eastAsia="ru-RU"/>
        </w:rPr>
        <w:t>нафто-</w:t>
      </w:r>
      <w:proofErr w:type="spellEnd"/>
      <w:r w:rsidRPr="001E0866">
        <w:rPr>
          <w:rFonts w:ascii="Times New Roman" w:eastAsia="Times New Roman" w:hAnsi="Times New Roman" w:cs="Times New Roman"/>
          <w:sz w:val="20"/>
          <w:szCs w:val="20"/>
          <w:lang w:val="uk-UA" w:eastAsia="ru-RU"/>
        </w:rPr>
        <w:t xml:space="preserve"> та газовидобувних майданчиках, бурових платформах і яке не реалізується через місця роздрібної торгівлі.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Суб’єкти господарювання, які здійснюють, зокрема, зберігання пального виключно у споживчій тарі до 5 літрів, ліцензію на зберігання пального не отримують.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Ліцензія видається за заявою суб’єкта господарювання (у тому числі іноземного суб’єкта господарювання, який діє через своє зареєстроване постійне представництво), до якої додається документ, що підтверджує внесення річної плати за ліцензію.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У заяві зазначається вид господарської діяльності, на провадження якого суб’єкт господарювання (у тому числі іноземний суб’єкт господарювання, який діє через своє зареєстроване постійне представництво) має намір отримати ліцензію (зокрема, зберігання пального).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Для отримання ліцензії на право оптової або роздрібної торгівлі пальним або на право зберігання пального разом із заявою додатково подаються завірені заявником копії таких документів: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документи, що підтверджують право власності або право користування земельною ділянкою, або інше передбачене законодавством право землекористування на земельну ділянку, на якій розташований об’єкт оптової або роздрібної торгівлі пальним або зберігання пального, чинні на дату подання заяви та/або на дату введення такого об’єкта в експлуатацію, будь-якого цільового призначення;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акт вводу в експлуатацію об’єкта або акт готовності об’єкта до експлуатації, або сертифікат про прийняття в експлуатацію закінчених будівництвом об’єктів, або інші документи, що підтверджують прийняття об’єктів в експлуатацію відповідно до законодавства, щодо всіх об’єктів у місці оптової або роздрібної торгівлі пальним або зберігання пального, необхідних для оптової або роздрібної торгівлі пальним або зберігання пального;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дозвіл на виконання робіт підвищеної небезпеки та експлуатацію (застосування) машин, механізмів, устаткування підвищеної небезпеки.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Копії таких документів не подаються у разі їх наявності у відкритих державних реєстрах, якщо реквізити таких документів та назви відповідних реєстрів зазначено в заяві на видачу ліцензії на право оптової або роздрібної торгівлі пальним або на зберігання пального.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У разі якщо зазначені документи видані (оформлені) іншій особі, ніж заявник, такий заявник додатково подає документи, що підтверджують його право на використання відповідного об’єкта.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Суб’єкти господарювання, що здійснюють зберігання пального, яке не реалізовується іншим особам і використовується виключно для потреб власного споживання чи промислової переробки, копії зазначених документів не подають. Такі суб’єкти господарювання у заяві зазначають про використання пального для потреб власного споживання чи переробки, загальну місткість резервуарів та ємностей, що використовуються для зберігання пального, та їх фактичне місцезнаходження. </w:t>
      </w:r>
    </w:p>
    <w:p w:rsid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Тимчасово, до 01 січня 2022 року, суб’єкти господарювання (у тому числі іноземні суб’єкти господарювання, які діють через свої зареєстровані постійні представництва) можуть отримувати ліцензію на право виробництва пального, право оптової або роздрібної торгівлі пальним або на право зберігання пального на відповідне місце здійснення такої діяльності без подання акта вводу в експлуатацію об’єкта або акта готовності об’єкта до експлуатації, або сертифіката про прийняття в експлуатацію закінчених будівництвом об’єктів, або інших документів, що підтверджують прийняття об’єктів в експлуатацію відповідно до законодавства, щодо об’єктів, необхідних для здійснення відповідної діяльності, за умови подання копій документів, що підтверджують право власності на такі об’єкти нерухомого майна, виданих у встановленому законодавством порядку до 01 січня 2014 року. </w:t>
      </w:r>
    </w:p>
    <w:p w:rsidR="006F0C6B" w:rsidRPr="001E0866" w:rsidRDefault="006F0C6B" w:rsidP="006F0C6B">
      <w:pPr>
        <w:rPr>
          <w:rFonts w:ascii="Times New Roman" w:eastAsia="Times New Roman" w:hAnsi="Times New Roman" w:cs="Times New Roman"/>
          <w:sz w:val="20"/>
          <w:szCs w:val="20"/>
          <w:lang w:val="uk-UA" w:eastAsia="ru-RU"/>
        </w:rPr>
      </w:pPr>
    </w:p>
    <w:p w:rsidR="001E0866" w:rsidRPr="001E0866" w:rsidRDefault="001E0866" w:rsidP="006F0C6B">
      <w:pPr>
        <w:outlineLvl w:val="0"/>
        <w:rPr>
          <w:rFonts w:ascii="Times New Roman" w:eastAsia="Times New Roman" w:hAnsi="Times New Roman" w:cs="Times New Roman"/>
          <w:b/>
          <w:bCs/>
          <w:kern w:val="36"/>
          <w:sz w:val="20"/>
          <w:szCs w:val="20"/>
          <w:lang w:val="uk-UA" w:eastAsia="ru-RU"/>
        </w:rPr>
      </w:pPr>
      <w:r w:rsidRPr="001E0866">
        <w:rPr>
          <w:rFonts w:ascii="Times New Roman" w:eastAsia="Times New Roman" w:hAnsi="Times New Roman" w:cs="Times New Roman"/>
          <w:b/>
          <w:bCs/>
          <w:kern w:val="36"/>
          <w:sz w:val="20"/>
          <w:szCs w:val="20"/>
          <w:lang w:val="uk-UA" w:eastAsia="ru-RU"/>
        </w:rPr>
        <w:t xml:space="preserve">Закону України № 466: нововведення у справлянні місцевих податків </w:t>
      </w:r>
    </w:p>
    <w:p w:rsidR="001E0866" w:rsidRPr="001E0866" w:rsidRDefault="006F0C6B" w:rsidP="006F0C6B">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w:t>
      </w:r>
      <w:r w:rsidR="001E0866" w:rsidRPr="001E0866">
        <w:rPr>
          <w:rFonts w:ascii="Times New Roman" w:eastAsia="Times New Roman" w:hAnsi="Times New Roman" w:cs="Times New Roman"/>
          <w:sz w:val="20"/>
          <w:szCs w:val="20"/>
          <w:lang w:val="uk-UA" w:eastAsia="ru-RU"/>
        </w:rPr>
        <w:t>вертає</w:t>
      </w:r>
      <w:r>
        <w:rPr>
          <w:rFonts w:ascii="Times New Roman" w:eastAsia="Times New Roman" w:hAnsi="Times New Roman" w:cs="Times New Roman"/>
          <w:sz w:val="20"/>
          <w:szCs w:val="20"/>
          <w:lang w:val="uk-UA" w:eastAsia="ru-RU"/>
        </w:rPr>
        <w:t>мо</w:t>
      </w:r>
      <w:r w:rsidR="001E0866" w:rsidRPr="001E0866">
        <w:rPr>
          <w:rFonts w:ascii="Times New Roman" w:eastAsia="Times New Roman" w:hAnsi="Times New Roman" w:cs="Times New Roman"/>
          <w:sz w:val="20"/>
          <w:szCs w:val="20"/>
          <w:lang w:val="uk-UA" w:eastAsia="ru-RU"/>
        </w:rPr>
        <w:t xml:space="preserve"> увагу платників, що серед змін, які були внесені Законом України від 16 січня 2020 року № 466-ІХ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із змінами (далі – Закон № 466), є нововведення, які стосуються і справляння місцевих податків.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Законом № 466 змінено п. 12.3 ст.12 Податкового кодексу України.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Відповідно до нововведень змінилися строки прийняття та оприлюднення органами місцевого самоврядування рішень про ставки місцевих податків, а також інформування контролюючих органів про прийняті рішення. Так, міські ради в межах своїх повноважень приймають рішення про встановлення місцевих податків та зборів та податкових пільг зі сплати місцевих податків і зборів до 15 липня року, що передує бюджетному періоду, в якому планується застосування встановлених місцевих податків та/або зборів, та про внесення змін до таких рішень.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lastRenderedPageBreak/>
        <w:t xml:space="preserve">Контролюючі органи мають інформувати органи місцевого самоврядування про стан розрахунків з місцевими бюджетами. Тобто, відповідно до Бюджетного кодексу України, подають органам місцевого самоврядування у розрізі джерел доходів звітність: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про суми нарахованих та сплачених податків та/або зборів на відповідних територіях – щомісячно, не пізніше 10 числа місяця, що настає за звітним;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про суми списаного безнадійного податкового боргу;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суми розстрочених і відстрочених грошових зобов’язань та/або податкового боргу платників податків, які повинні бути сплачені до місцевих бюджетів на відповідних територіях;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суми наданих податкових пільг, включаючи втрати доходів бюджету від їх надання, – щокварталу, не пізніше 25 днів після закінчення звітного кварталу.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Державна податкова служба України не пізніше 25 вересня поточного року оприлюднює на своєму офіційному </w:t>
      </w:r>
      <w:proofErr w:type="spellStart"/>
      <w:r w:rsidRPr="001E0866">
        <w:rPr>
          <w:rFonts w:ascii="Times New Roman" w:eastAsia="Times New Roman" w:hAnsi="Times New Roman" w:cs="Times New Roman"/>
          <w:sz w:val="20"/>
          <w:szCs w:val="20"/>
          <w:lang w:val="uk-UA" w:eastAsia="ru-RU"/>
        </w:rPr>
        <w:t>вебсайті</w:t>
      </w:r>
      <w:proofErr w:type="spellEnd"/>
      <w:r w:rsidRPr="001E0866">
        <w:rPr>
          <w:rFonts w:ascii="Times New Roman" w:eastAsia="Times New Roman" w:hAnsi="Times New Roman" w:cs="Times New Roman"/>
          <w:sz w:val="20"/>
          <w:szCs w:val="20"/>
          <w:lang w:val="uk-UA" w:eastAsia="ru-RU"/>
        </w:rPr>
        <w:t xml:space="preserve"> зведену інформацію про розмір та дату встановлення на відповідних територіях ставок місцевих податків та/або зборів, а також про встановлені на відповідних територіях податкові пільги. </w:t>
      </w:r>
    </w:p>
    <w:p w:rsid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Крім того, тепер встановлено можливість визначення податкових зобов’язань з плати за землю на підставі невнесених до державних реєстрів правовстановлюючих документів на земельні ділянки, а також уточнюється порядок нарахування контролюючим органом фізичним особам сум плати за землю та їх узгодження. </w:t>
      </w:r>
    </w:p>
    <w:p w:rsidR="006F0C6B" w:rsidRPr="001E0866" w:rsidRDefault="006F0C6B" w:rsidP="006F0C6B">
      <w:pPr>
        <w:rPr>
          <w:rFonts w:ascii="Times New Roman" w:eastAsia="Times New Roman" w:hAnsi="Times New Roman" w:cs="Times New Roman"/>
          <w:sz w:val="20"/>
          <w:szCs w:val="20"/>
          <w:lang w:val="uk-UA" w:eastAsia="ru-RU"/>
        </w:rPr>
      </w:pPr>
    </w:p>
    <w:p w:rsidR="001E0866" w:rsidRPr="001E0866" w:rsidRDefault="001E0866" w:rsidP="006F0C6B">
      <w:pPr>
        <w:outlineLvl w:val="0"/>
        <w:rPr>
          <w:rFonts w:ascii="Times New Roman" w:eastAsia="Times New Roman" w:hAnsi="Times New Roman" w:cs="Times New Roman"/>
          <w:b/>
          <w:bCs/>
          <w:kern w:val="36"/>
          <w:sz w:val="20"/>
          <w:szCs w:val="20"/>
          <w:lang w:val="uk-UA" w:eastAsia="ru-RU"/>
        </w:rPr>
      </w:pPr>
      <w:r w:rsidRPr="001E0866">
        <w:rPr>
          <w:rFonts w:ascii="Times New Roman" w:eastAsia="Times New Roman" w:hAnsi="Times New Roman" w:cs="Times New Roman"/>
          <w:b/>
          <w:bCs/>
          <w:kern w:val="36"/>
          <w:sz w:val="20"/>
          <w:szCs w:val="20"/>
          <w:lang w:val="uk-UA" w:eastAsia="ru-RU"/>
        </w:rPr>
        <w:t xml:space="preserve">Особливості застосування прискореної амортизації платниками податку на прибуток підприємств </w:t>
      </w:r>
    </w:p>
    <w:p w:rsidR="001E0866" w:rsidRPr="001E0866" w:rsidRDefault="006F0C6B" w:rsidP="006F0C6B">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w:t>
      </w:r>
      <w:r w:rsidR="001E0866" w:rsidRPr="001E0866">
        <w:rPr>
          <w:rFonts w:ascii="Times New Roman" w:eastAsia="Times New Roman" w:hAnsi="Times New Roman" w:cs="Times New Roman"/>
          <w:sz w:val="20"/>
          <w:szCs w:val="20"/>
          <w:lang w:val="uk-UA" w:eastAsia="ru-RU"/>
        </w:rPr>
        <w:t>овідомляє</w:t>
      </w:r>
      <w:r>
        <w:rPr>
          <w:rFonts w:ascii="Times New Roman" w:eastAsia="Times New Roman" w:hAnsi="Times New Roman" w:cs="Times New Roman"/>
          <w:sz w:val="20"/>
          <w:szCs w:val="20"/>
          <w:lang w:val="uk-UA" w:eastAsia="ru-RU"/>
        </w:rPr>
        <w:t>мо</w:t>
      </w:r>
      <w:r w:rsidR="001E0866" w:rsidRPr="001E0866">
        <w:rPr>
          <w:rFonts w:ascii="Times New Roman" w:eastAsia="Times New Roman" w:hAnsi="Times New Roman" w:cs="Times New Roman"/>
          <w:sz w:val="20"/>
          <w:szCs w:val="20"/>
          <w:lang w:val="uk-UA" w:eastAsia="ru-RU"/>
        </w:rPr>
        <w:t xml:space="preserve">, що об’єктом оподаткування податком на прибуток підприємств є прибуток із джерелом походження з України та за її межами, який визначається шляхом коригування фінансового результату до оподаткування, визначеного у фінансовій звітності, на різниці, які виникають відповідно до положень Податкового кодексу України (далі – ПКУ).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Норми встановлені </w:t>
      </w:r>
      <w:proofErr w:type="spellStart"/>
      <w:r w:rsidRPr="001E0866">
        <w:rPr>
          <w:rFonts w:ascii="Times New Roman" w:eastAsia="Times New Roman" w:hAnsi="Times New Roman" w:cs="Times New Roman"/>
          <w:sz w:val="20"/>
          <w:szCs w:val="20"/>
          <w:lang w:val="uk-UA" w:eastAsia="ru-RU"/>
        </w:rPr>
        <w:t>п.п</w:t>
      </w:r>
      <w:proofErr w:type="spellEnd"/>
      <w:r w:rsidRPr="001E0866">
        <w:rPr>
          <w:rFonts w:ascii="Times New Roman" w:eastAsia="Times New Roman" w:hAnsi="Times New Roman" w:cs="Times New Roman"/>
          <w:sz w:val="20"/>
          <w:szCs w:val="20"/>
          <w:lang w:val="uk-UA" w:eastAsia="ru-RU"/>
        </w:rPr>
        <w:t xml:space="preserve">. 134.1.1 п. 134.1 ст. 134 ПКУ.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На період з 01 січня 2020 року до 31 грудня 2030 року при визначенні об’єкта оподаткування податком на прибуток підприємств, платники податку мають право під час розрахунку амортизації щодо основних засобів (п. 43</w:t>
      </w:r>
      <w:r w:rsidRPr="001E0866">
        <w:rPr>
          <w:rFonts w:ascii="Times New Roman" w:eastAsia="Times New Roman" w:hAnsi="Times New Roman" w:cs="Times New Roman"/>
          <w:sz w:val="20"/>
          <w:szCs w:val="20"/>
          <w:vertAlign w:val="superscript"/>
          <w:lang w:val="uk-UA" w:eastAsia="ru-RU"/>
        </w:rPr>
        <w:t>1</w:t>
      </w:r>
      <w:r w:rsidRPr="001E0866">
        <w:rPr>
          <w:rFonts w:ascii="Times New Roman" w:eastAsia="Times New Roman" w:hAnsi="Times New Roman" w:cs="Times New Roman"/>
          <w:sz w:val="20"/>
          <w:szCs w:val="20"/>
          <w:lang w:val="uk-UA" w:eastAsia="ru-RU"/>
        </w:rPr>
        <w:t xml:space="preserve"> підрозділу 4 розділу XX ПКУ):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IV групи (машини та обладнання) та V групи використовувати мінімально допустимий строк амортизації, який дорівнює 2 роки;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III групи (передавальні пристрої) та IX групи використовувати мінімально допустимий строк амортизації, який дорівнює 5 років.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Мінімально допустимі строки амортизації основних засобів, визначені цим пунктом, використовуються незалежно від строків амортизації, визначених у бухгалтерському обліку.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Основні засоби мають одночасно відповідати таким вимогам: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введені в експлуатацію платником податків в межах одного з податкових (звітних) періодів, з 01 січня 2020 року до 31 грудня 2030 року;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не були у використанні.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При цьому такі основні засоби повинні використовуватися у власній господарській діяльності та не можуть продаватися або надаватися в оренду іншим особам (крім платників податків, основним видом діяльності яких є послуги з надання в оренду майна).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У разі недотримання визначених вимог до закінчення періоду нарахування амортизації з використанням мінімально допустимих строків амортизації, визначених у цьому пункті, починаючи з дати введення їх в експлуатацію, платник податку у податковому (звітному) періоді, в якому відбувся факт невикористання основних засобів у власній господарській діяльності або їх продаж, зобов'язаний: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збільшити фінансовий результат до оподаткування на суму нарахованої амортизації основних засобів відповідно до цього пункту протягом податкових (звітних) періодів, в яких здійснювалося нарахування амортизації із застосуванням мінімально допустимих строків амортизації основних засобів, визначених у цьому пункті;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зменшити фінансовий результат до оподаткування на суму розрахованої амортизації таких основних засобів відповідно до п. 138.3 ст. 138 ПКУ за відповідні податкові (звітні) періоди. </w:t>
      </w:r>
    </w:p>
    <w:p w:rsid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При застосуванні положень цього пункту норми п. 138.3 ст. 138 ПКУ не застосовуються в частині нарахування амортизації відповідно до встановлених мінімально допустимих строків амортизації основних засобів та методів її нарахування. </w:t>
      </w:r>
    </w:p>
    <w:p w:rsidR="006F0C6B" w:rsidRPr="001E0866" w:rsidRDefault="006F0C6B" w:rsidP="006F0C6B">
      <w:pPr>
        <w:rPr>
          <w:rFonts w:ascii="Times New Roman" w:eastAsia="Times New Roman" w:hAnsi="Times New Roman" w:cs="Times New Roman"/>
          <w:sz w:val="20"/>
          <w:szCs w:val="20"/>
          <w:lang w:val="uk-UA" w:eastAsia="ru-RU"/>
        </w:rPr>
      </w:pPr>
    </w:p>
    <w:p w:rsidR="001E0866" w:rsidRPr="001E0866" w:rsidRDefault="001E0866" w:rsidP="006F0C6B">
      <w:pPr>
        <w:outlineLvl w:val="0"/>
        <w:rPr>
          <w:rFonts w:ascii="Times New Roman" w:eastAsia="Times New Roman" w:hAnsi="Times New Roman" w:cs="Times New Roman"/>
          <w:b/>
          <w:bCs/>
          <w:kern w:val="36"/>
          <w:sz w:val="20"/>
          <w:szCs w:val="20"/>
          <w:lang w:val="uk-UA" w:eastAsia="ru-RU"/>
        </w:rPr>
      </w:pPr>
      <w:r w:rsidRPr="001E0866">
        <w:rPr>
          <w:rFonts w:ascii="Times New Roman" w:eastAsia="Times New Roman" w:hAnsi="Times New Roman" w:cs="Times New Roman"/>
          <w:b/>
          <w:bCs/>
          <w:kern w:val="36"/>
          <w:sz w:val="20"/>
          <w:szCs w:val="20"/>
          <w:lang w:val="uk-UA" w:eastAsia="ru-RU"/>
        </w:rPr>
        <w:t xml:space="preserve">Про відповідальність за порушення порядку утримання та сплати податку на доходи нерезидентів </w:t>
      </w:r>
    </w:p>
    <w:p w:rsidR="001E0866" w:rsidRPr="001E0866" w:rsidRDefault="006F0C6B" w:rsidP="006F0C6B">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w:t>
      </w:r>
      <w:r w:rsidR="001E0866" w:rsidRPr="001E0866">
        <w:rPr>
          <w:rFonts w:ascii="Times New Roman" w:eastAsia="Times New Roman" w:hAnsi="Times New Roman" w:cs="Times New Roman"/>
          <w:sz w:val="20"/>
          <w:szCs w:val="20"/>
          <w:lang w:val="uk-UA" w:eastAsia="ru-RU"/>
        </w:rPr>
        <w:t>нформує</w:t>
      </w:r>
      <w:r>
        <w:rPr>
          <w:rFonts w:ascii="Times New Roman" w:eastAsia="Times New Roman" w:hAnsi="Times New Roman" w:cs="Times New Roman"/>
          <w:sz w:val="20"/>
          <w:szCs w:val="20"/>
          <w:lang w:val="uk-UA" w:eastAsia="ru-RU"/>
        </w:rPr>
        <w:t>мо</w:t>
      </w:r>
      <w:r w:rsidR="001E0866" w:rsidRPr="001E0866">
        <w:rPr>
          <w:rFonts w:ascii="Times New Roman" w:eastAsia="Times New Roman" w:hAnsi="Times New Roman" w:cs="Times New Roman"/>
          <w:sz w:val="20"/>
          <w:szCs w:val="20"/>
          <w:lang w:val="uk-UA" w:eastAsia="ru-RU"/>
        </w:rPr>
        <w:t>, що резидент, у тому числі фізична особа підприємець, фізична особа, яка провадить незалежну професійну діяльність, або суб’єкт господарювання (юридична особа чи фізична особа підприємець), який обрав спрощену систему оподаткування, або інший нерезидент, який провадить господарську діяльність через постійне представництво на території України, які здійснюють на користь нерезидента або уповноваженої ним особи будь-яку виплату з доходу з джерелом його походження з України, отриманого таким нерезидентом (у тому числі на рахунки нерезидента, що ведуться в національній валюті), утримують податок з таких доходів, зазначених у п. п. 141.4.1 п. 141.4 ст. 141 Податкового кодексу України (далі – ПКУ), за ставкою в розмірі 15 відс</w:t>
      </w:r>
      <w:r w:rsidR="001E0866" w:rsidRPr="006F0C6B">
        <w:rPr>
          <w:rFonts w:ascii="Times New Roman" w:eastAsia="Times New Roman" w:hAnsi="Times New Roman" w:cs="Times New Roman"/>
          <w:i/>
          <w:iCs/>
          <w:sz w:val="20"/>
          <w:szCs w:val="20"/>
          <w:lang w:val="uk-UA" w:eastAsia="ru-RU"/>
        </w:rPr>
        <w:t>отків (крім доходів, зазначених у підпунктах 141.4.3 – 141.4.6 та 141.4.11 п. 141.4 ст. 141 ПКУ)</w:t>
      </w:r>
      <w:r w:rsidR="001E0866" w:rsidRPr="001E0866">
        <w:rPr>
          <w:rFonts w:ascii="Times New Roman" w:eastAsia="Times New Roman" w:hAnsi="Times New Roman" w:cs="Times New Roman"/>
          <w:sz w:val="20"/>
          <w:szCs w:val="20"/>
          <w:lang w:val="uk-UA" w:eastAsia="ru-RU"/>
        </w:rPr>
        <w:t xml:space="preserve"> їх суми та за їх рахунок, що сплачується до бюджету під час такої виплати, якщо інше не передбачено положеннями міжнародних договорів України з країнами резиденції осіб, на користь яких здійснюються виплати, що набрали чинності. Вимоги цього абзацу не застосовуються до доходів нерезидентів, що отримуються ними через їх постійні представництва на території України.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Норми встановлені абзацом першим п. п. 141.4.2 п. 141.4 ст. 141 ПКУ.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Як зазначено у п. 127.1 ст. 127 ПКУ, </w:t>
      </w:r>
      <w:proofErr w:type="spellStart"/>
      <w:r w:rsidRPr="001E0866">
        <w:rPr>
          <w:rFonts w:ascii="Times New Roman" w:eastAsia="Times New Roman" w:hAnsi="Times New Roman" w:cs="Times New Roman"/>
          <w:sz w:val="20"/>
          <w:szCs w:val="20"/>
          <w:lang w:val="uk-UA" w:eastAsia="ru-RU"/>
        </w:rPr>
        <w:t>ненарахування</w:t>
      </w:r>
      <w:proofErr w:type="spellEnd"/>
      <w:r w:rsidRPr="001E0866">
        <w:rPr>
          <w:rFonts w:ascii="Times New Roman" w:eastAsia="Times New Roman" w:hAnsi="Times New Roman" w:cs="Times New Roman"/>
          <w:sz w:val="20"/>
          <w:szCs w:val="20"/>
          <w:lang w:val="uk-UA" w:eastAsia="ru-RU"/>
        </w:rPr>
        <w:t xml:space="preserve">, неутримання та/або несплата (неперерахування) податків платником податків, у тому числі податковим агентом, до або під час виплати доходу на користь іншого платника податків, тягнуть за собою накладення штрафу в розмірі 25 відсотків суми податку, що підлягає нарахуванню та/або сплаті до бюджету.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lastRenderedPageBreak/>
        <w:t xml:space="preserve">Ті самі дії, вчинені повторно протягом 1095 днів, тягнуть за собою накладення штрафу у розмірі 50 відсотків суми податку, що підлягає нарахуванню та/або сплаті до бюджету.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Дії, передбачені абзацом першим п. 127.1 ст. 127 ПКУ, вчинені протягом 1095 днів втретє та більше, тягнуть за собою накладення штрафу у розмірі 75 відсотків суми податку, що підлягає нарахуванню та/або сплаті до бюджету.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Відповідальність за погашення суми податкового зобов’язання або податкового боргу, що виникає внаслідок вчинення таких дій, та обов’язок щодо погашення такого податкового боргу покладається на особу, визначену ПКУ, у тому числі на податкового агента. При цьому платник податку – </w:t>
      </w:r>
      <w:proofErr w:type="spellStart"/>
      <w:r w:rsidRPr="001E0866">
        <w:rPr>
          <w:rFonts w:ascii="Times New Roman" w:eastAsia="Times New Roman" w:hAnsi="Times New Roman" w:cs="Times New Roman"/>
          <w:sz w:val="20"/>
          <w:szCs w:val="20"/>
          <w:lang w:val="uk-UA" w:eastAsia="ru-RU"/>
        </w:rPr>
        <w:t>отримувач</w:t>
      </w:r>
      <w:proofErr w:type="spellEnd"/>
      <w:r w:rsidRPr="001E0866">
        <w:rPr>
          <w:rFonts w:ascii="Times New Roman" w:eastAsia="Times New Roman" w:hAnsi="Times New Roman" w:cs="Times New Roman"/>
          <w:sz w:val="20"/>
          <w:szCs w:val="20"/>
          <w:lang w:val="uk-UA" w:eastAsia="ru-RU"/>
        </w:rPr>
        <w:t xml:space="preserve"> таких доходів звільняється від обов’язків погашення такої суми </w:t>
      </w:r>
      <w:r w:rsidRPr="006F0C6B">
        <w:rPr>
          <w:rFonts w:ascii="Times New Roman" w:eastAsia="Times New Roman" w:hAnsi="Times New Roman" w:cs="Times New Roman"/>
          <w:i/>
          <w:iCs/>
          <w:sz w:val="20"/>
          <w:szCs w:val="20"/>
          <w:lang w:val="uk-UA" w:eastAsia="ru-RU"/>
        </w:rPr>
        <w:t>податкових зобов’язань або податкового боргу, крім</w:t>
      </w:r>
      <w:r w:rsidRPr="001E0866">
        <w:rPr>
          <w:rFonts w:ascii="Times New Roman" w:eastAsia="Times New Roman" w:hAnsi="Times New Roman" w:cs="Times New Roman"/>
          <w:sz w:val="20"/>
          <w:szCs w:val="20"/>
          <w:lang w:val="uk-UA" w:eastAsia="ru-RU"/>
        </w:rPr>
        <w:t xml:space="preserve"> випадків, встановлених розділу IV ПКУ.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Отже, до платника податку, який здійснює виплати доходу нерезиденту без утримання та внесення до бюджету податку з такого доходу, або який перерахував податок з доходів нерезидента до бюджету в повному обсязі, але пізніше терміну, застосовується штраф, передбачений ст. 127 ПКУ. </w:t>
      </w:r>
    </w:p>
    <w:p w:rsid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Особа, яка виплачує доходи нерезиденту, зобов’язана при здійсненні у звітному періоді (кварталі) виплат нерезидентам доходів із джерелом їх походження з України подавати контролюючому органу за своїм місцезнаходженням (місцем проживання) звіт про виплачені доходи, утримані та перераховані до бюджету податки на доходи нерезидентів у строки та за формою, встановленими центральним органом виконавчої влади, що забезпечує формування та реалізує державну фінансову політику (п. 103.9 ст. 103 ПКУ). </w:t>
      </w:r>
    </w:p>
    <w:p w:rsidR="006F0C6B" w:rsidRPr="001E0866" w:rsidRDefault="006F0C6B" w:rsidP="006F0C6B">
      <w:pPr>
        <w:rPr>
          <w:rFonts w:ascii="Times New Roman" w:eastAsia="Times New Roman" w:hAnsi="Times New Roman" w:cs="Times New Roman"/>
          <w:sz w:val="20"/>
          <w:szCs w:val="20"/>
          <w:lang w:val="uk-UA" w:eastAsia="ru-RU"/>
        </w:rPr>
      </w:pPr>
    </w:p>
    <w:p w:rsidR="001E0866" w:rsidRPr="001E0866" w:rsidRDefault="001E0866" w:rsidP="006F0C6B">
      <w:pPr>
        <w:outlineLvl w:val="0"/>
        <w:rPr>
          <w:rFonts w:ascii="Times New Roman" w:eastAsia="Times New Roman" w:hAnsi="Times New Roman" w:cs="Times New Roman"/>
          <w:b/>
          <w:bCs/>
          <w:kern w:val="36"/>
          <w:sz w:val="20"/>
          <w:szCs w:val="20"/>
          <w:lang w:val="uk-UA" w:eastAsia="ru-RU"/>
        </w:rPr>
      </w:pPr>
      <w:r w:rsidRPr="001E0866">
        <w:rPr>
          <w:rFonts w:ascii="Times New Roman" w:eastAsia="Times New Roman" w:hAnsi="Times New Roman" w:cs="Times New Roman"/>
          <w:b/>
          <w:bCs/>
          <w:kern w:val="36"/>
          <w:sz w:val="20"/>
          <w:szCs w:val="20"/>
          <w:lang w:val="uk-UA" w:eastAsia="ru-RU"/>
        </w:rPr>
        <w:t xml:space="preserve">Роз’яснення щодо скасування дії ЕЦП </w:t>
      </w:r>
    </w:p>
    <w:p w:rsidR="001E0866" w:rsidRPr="001E0866" w:rsidRDefault="001E0866"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b/>
          <w:bCs/>
          <w:sz w:val="20"/>
          <w:szCs w:val="20"/>
          <w:lang w:val="uk-UA" w:eastAsia="ru-RU"/>
        </w:rPr>
        <w:t>На основі чого скасовується дія ЕЦП</w:t>
      </w:r>
      <w:r w:rsidRPr="001E0866">
        <w:rPr>
          <w:rFonts w:ascii="Times New Roman" w:eastAsia="Times New Roman" w:hAnsi="Times New Roman" w:cs="Times New Roman"/>
          <w:sz w:val="20"/>
          <w:szCs w:val="20"/>
          <w:lang w:val="uk-UA" w:eastAsia="ru-RU"/>
        </w:rPr>
        <w:t xml:space="preserve">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7 листопада 2018 року набув чинності оновлений Закон України «Про електронні довірчі послуги» від 5 жовтня 2017 року № 2155-VIII (далі — Закон № 2155). Ним запроваджено поняття нового, більш захищеного електронного підпису — «кваліфікований електронний підпис» (далі — КЕП) та скасовано поняття ЕЦП.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Оскільки на той момент усі платники податків користувалися виключно ЕЦП, було вирішено організувати їх поступовий перехід на КЕП. Тому згідно із частиною 5 розділу VII Закону № 2155 платники податків могли повноцінно використовувати ЕЦП протягом 2 років з моменту набуття чинності нових норм. Таким чином вони отримали можливість замінити ЕЦП на КЕП у зручний для себе час. </w:t>
      </w:r>
    </w:p>
    <w:p w:rsidR="001E0866" w:rsidRPr="001E0866" w:rsidRDefault="001E0866"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b/>
          <w:bCs/>
          <w:sz w:val="20"/>
          <w:szCs w:val="20"/>
          <w:lang w:val="uk-UA" w:eastAsia="ru-RU"/>
        </w:rPr>
        <w:t>Що робити, якщо ви отримали електронний підпис до 7 листопада 2018 року</w:t>
      </w:r>
      <w:r w:rsidRPr="001E0866">
        <w:rPr>
          <w:rFonts w:ascii="Times New Roman" w:eastAsia="Times New Roman" w:hAnsi="Times New Roman" w:cs="Times New Roman"/>
          <w:sz w:val="20"/>
          <w:szCs w:val="20"/>
          <w:lang w:val="uk-UA" w:eastAsia="ru-RU"/>
        </w:rPr>
        <w:t xml:space="preserve">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Якщо ви отримали електронний підпис до 7 листопада 2018 року і потім не оновлювали чи не продовжували його, то ви є власником старого ЕЦП, який буде недійсним з 7 листопада.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Для того щоб отримати актуальний КЕП та продовжувати підписувати електронні документи і податкову звітність, потрібно звернутися до обраного Акредитованого центру сертифікації ключів (далі — АЦСК). </w:t>
      </w:r>
    </w:p>
    <w:p w:rsidR="001E0866" w:rsidRPr="001E0866" w:rsidRDefault="001E0866"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b/>
          <w:bCs/>
          <w:sz w:val="20"/>
          <w:szCs w:val="20"/>
          <w:lang w:val="uk-UA" w:eastAsia="ru-RU"/>
        </w:rPr>
        <w:t>Що робити, якщо ви отримали електронний підпис після 7 листопада 2018 року</w:t>
      </w:r>
      <w:r w:rsidRPr="001E0866">
        <w:rPr>
          <w:rFonts w:ascii="Times New Roman" w:eastAsia="Times New Roman" w:hAnsi="Times New Roman" w:cs="Times New Roman"/>
          <w:sz w:val="20"/>
          <w:szCs w:val="20"/>
          <w:lang w:val="uk-UA" w:eastAsia="ru-RU"/>
        </w:rPr>
        <w:t xml:space="preserve">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Після 7 листопада 2018 року більшість АЦСК видавали платникам податків електронний підпис у вигляді КЕП. </w:t>
      </w:r>
      <w:r w:rsidRPr="006F0C6B">
        <w:rPr>
          <w:rFonts w:ascii="Times New Roman" w:eastAsia="Times New Roman" w:hAnsi="Times New Roman" w:cs="Times New Roman"/>
          <w:b/>
          <w:bCs/>
          <w:sz w:val="20"/>
          <w:szCs w:val="20"/>
          <w:lang w:val="uk-UA" w:eastAsia="ru-RU"/>
        </w:rPr>
        <w:t>Обов’язково впевніться в тому, що ви є власником саме такого ключа,</w:t>
      </w:r>
      <w:r w:rsidRPr="001E0866">
        <w:rPr>
          <w:rFonts w:ascii="Times New Roman" w:eastAsia="Times New Roman" w:hAnsi="Times New Roman" w:cs="Times New Roman"/>
          <w:sz w:val="20"/>
          <w:szCs w:val="20"/>
          <w:lang w:val="uk-UA" w:eastAsia="ru-RU"/>
        </w:rPr>
        <w:t xml:space="preserve"> щоб комфортно продовжувати свою роботу після 7 листопада. Для цього зверніться до АЦСК, в якому ви отримали електронний підпис. </w:t>
      </w:r>
    </w:p>
    <w:p w:rsidR="001E0866" w:rsidRPr="001E0866" w:rsidRDefault="001E0866"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b/>
          <w:bCs/>
          <w:sz w:val="20"/>
          <w:szCs w:val="20"/>
          <w:lang w:val="uk-UA" w:eastAsia="ru-RU"/>
        </w:rPr>
        <w:t>У якому вигляді можуть зберігатися КЕП</w:t>
      </w:r>
      <w:r w:rsidRPr="001E0866">
        <w:rPr>
          <w:rFonts w:ascii="Times New Roman" w:eastAsia="Times New Roman" w:hAnsi="Times New Roman" w:cs="Times New Roman"/>
          <w:sz w:val="20"/>
          <w:szCs w:val="20"/>
          <w:lang w:val="uk-UA" w:eastAsia="ru-RU"/>
        </w:rPr>
        <w:t xml:space="preserve">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Оскільки КЕП є електронним файлом, для його зберігання потрібен фізичний носій. Відповідно до норм Закону № 2155 такий носій має назву «засіб кваліфікованого електронного підпису чи печатки». Він може мати такий вигляд: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звичайний пристрій, на якому створюється та зберігається КЕП: будь-який флеш-накопичувач, жорсткий диск комп’ютера тощо. Згідно з пунктом 17 частини 1 статті 1 Закону № 2155 він називається простим засобом КЕП;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пристрій із вбудованими апаратно-програмними засобами, що забезпечують захист записаних на ньому даних від несанкціонованого доступу, копіювання чи ознайомлення з параметрами особистого ключа. Такий пристрій називається захищеним носієм особистих ключів та відповідає умовам пункту 2 Порядку використання електронних довірчих послуг, затвердженого постановою Кабінету Міністрів України від 19 вересня 2018 року № 749. Прикладом такого носія є </w:t>
      </w:r>
      <w:proofErr w:type="spellStart"/>
      <w:r w:rsidRPr="001E0866">
        <w:rPr>
          <w:rFonts w:ascii="Times New Roman" w:eastAsia="Times New Roman" w:hAnsi="Times New Roman" w:cs="Times New Roman"/>
          <w:sz w:val="20"/>
          <w:szCs w:val="20"/>
          <w:lang w:val="uk-UA" w:eastAsia="ru-RU"/>
        </w:rPr>
        <w:t>токен</w:t>
      </w:r>
      <w:proofErr w:type="spellEnd"/>
      <w:r w:rsidRPr="001E0866">
        <w:rPr>
          <w:rFonts w:ascii="Times New Roman" w:eastAsia="Times New Roman" w:hAnsi="Times New Roman" w:cs="Times New Roman"/>
          <w:sz w:val="20"/>
          <w:szCs w:val="20"/>
          <w:lang w:val="uk-UA" w:eastAsia="ru-RU"/>
        </w:rPr>
        <w:t xml:space="preserve"> (компактний пристрій, призначений для забезпечення інформаційної безпеки користувача, також використовується для ідентифікації його власника, безпечного віддаленого доступу до інформаційних ресурсів тощо).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Те, в якому вигляді має зберігатися ваш ключ, залежить від вашого виду діяльності. </w:t>
      </w:r>
    </w:p>
    <w:p w:rsidR="001E0866" w:rsidRPr="001E0866" w:rsidRDefault="001E0866"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b/>
          <w:bCs/>
          <w:sz w:val="20"/>
          <w:szCs w:val="20"/>
          <w:lang w:val="uk-UA" w:eastAsia="ru-RU"/>
        </w:rPr>
        <w:t>Хто має зберігати КЕП виключно на захищених носіях</w:t>
      </w:r>
      <w:r w:rsidRPr="001E0866">
        <w:rPr>
          <w:rFonts w:ascii="Times New Roman" w:eastAsia="Times New Roman" w:hAnsi="Times New Roman" w:cs="Times New Roman"/>
          <w:sz w:val="20"/>
          <w:szCs w:val="20"/>
          <w:lang w:val="uk-UA" w:eastAsia="ru-RU"/>
        </w:rPr>
        <w:t xml:space="preserve">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Згідно з вимогами абзацу другого частини 2 статті 17 Закону № 2155 з 7 листопада 2020 року зберігати КЕП  на захищених носіях особистих ключів (</w:t>
      </w:r>
      <w:proofErr w:type="spellStart"/>
      <w:r w:rsidRPr="001E0866">
        <w:rPr>
          <w:rFonts w:ascii="Times New Roman" w:eastAsia="Times New Roman" w:hAnsi="Times New Roman" w:cs="Times New Roman"/>
          <w:sz w:val="20"/>
          <w:szCs w:val="20"/>
          <w:lang w:val="uk-UA" w:eastAsia="ru-RU"/>
        </w:rPr>
        <w:t>токенах</w:t>
      </w:r>
      <w:proofErr w:type="spellEnd"/>
      <w:r w:rsidRPr="001E0866">
        <w:rPr>
          <w:rFonts w:ascii="Times New Roman" w:eastAsia="Times New Roman" w:hAnsi="Times New Roman" w:cs="Times New Roman"/>
          <w:sz w:val="20"/>
          <w:szCs w:val="20"/>
          <w:lang w:val="uk-UA" w:eastAsia="ru-RU"/>
        </w:rPr>
        <w:t xml:space="preserve">) зобов’язані такі суб’єкти: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представники органів державної влади;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представники органів місцевого самоврядування;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працівників державних установ, підприємств, організацій;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нотаріуси;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державні реєстратори та суб’єкти, що виконують їхні обов’язки згідно з уповноваженням держави. </w:t>
      </w:r>
    </w:p>
    <w:p w:rsidR="001E0866" w:rsidRPr="001E0866" w:rsidRDefault="001E0866"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b/>
          <w:bCs/>
          <w:sz w:val="20"/>
          <w:szCs w:val="20"/>
          <w:lang w:val="uk-UA" w:eastAsia="ru-RU"/>
        </w:rPr>
        <w:t>В якому вигляді мають тримати КЕП представники приватного бізнесу</w:t>
      </w:r>
      <w:r w:rsidRPr="001E0866">
        <w:rPr>
          <w:rFonts w:ascii="Times New Roman" w:eastAsia="Times New Roman" w:hAnsi="Times New Roman" w:cs="Times New Roman"/>
          <w:sz w:val="20"/>
          <w:szCs w:val="20"/>
          <w:lang w:val="uk-UA" w:eastAsia="ru-RU"/>
        </w:rPr>
        <w:t xml:space="preserve">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Згідно з законодавством сьогодні приватні суб’єкти господарювання не зобов’язані використовувати </w:t>
      </w:r>
      <w:proofErr w:type="spellStart"/>
      <w:r w:rsidRPr="001E0866">
        <w:rPr>
          <w:rFonts w:ascii="Times New Roman" w:eastAsia="Times New Roman" w:hAnsi="Times New Roman" w:cs="Times New Roman"/>
          <w:sz w:val="20"/>
          <w:szCs w:val="20"/>
          <w:lang w:val="uk-UA" w:eastAsia="ru-RU"/>
        </w:rPr>
        <w:t>токени</w:t>
      </w:r>
      <w:proofErr w:type="spellEnd"/>
      <w:r w:rsidRPr="001E0866">
        <w:rPr>
          <w:rFonts w:ascii="Times New Roman" w:eastAsia="Times New Roman" w:hAnsi="Times New Roman" w:cs="Times New Roman"/>
          <w:sz w:val="20"/>
          <w:szCs w:val="20"/>
          <w:lang w:val="uk-UA" w:eastAsia="ru-RU"/>
        </w:rPr>
        <w:t xml:space="preserve">, але можуть придбати їх за власним бажанням.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Надаємо обґрунтування, посилаючись на Постанову КМУ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від 03.03.2020 №193 (далі – Постанова).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Згідно з пп.1 п.1 Постанови, удосконалені електронні підписи чи печатки, які базуються на кваліфікованих сертифікатах відкритих ключів, що відповідають затвердженим пунктом 2 Постанови вимогам, можуть використовуватися користувачами електронних довірчих послуг для здійснення електронної ідентифікації, електронної взаємодії, та </w:t>
      </w:r>
      <w:proofErr w:type="spellStart"/>
      <w:r w:rsidRPr="001E0866">
        <w:rPr>
          <w:rFonts w:ascii="Times New Roman" w:eastAsia="Times New Roman" w:hAnsi="Times New Roman" w:cs="Times New Roman"/>
          <w:sz w:val="20"/>
          <w:szCs w:val="20"/>
          <w:lang w:val="uk-UA" w:eastAsia="ru-RU"/>
        </w:rPr>
        <w:t>автентифікації</w:t>
      </w:r>
      <w:proofErr w:type="spellEnd"/>
      <w:r w:rsidRPr="001E0866">
        <w:rPr>
          <w:rFonts w:ascii="Times New Roman" w:eastAsia="Times New Roman" w:hAnsi="Times New Roman" w:cs="Times New Roman"/>
          <w:sz w:val="20"/>
          <w:szCs w:val="20"/>
          <w:lang w:val="uk-UA" w:eastAsia="ru-RU"/>
        </w:rPr>
        <w:t xml:space="preserve"> </w:t>
      </w:r>
      <w:proofErr w:type="spellStart"/>
      <w:r w:rsidRPr="001E0866">
        <w:rPr>
          <w:rFonts w:ascii="Times New Roman" w:eastAsia="Times New Roman" w:hAnsi="Times New Roman" w:cs="Times New Roman"/>
          <w:sz w:val="20"/>
          <w:szCs w:val="20"/>
          <w:lang w:val="uk-UA" w:eastAsia="ru-RU"/>
        </w:rPr>
        <w:t>фізосіб</w:t>
      </w:r>
      <w:proofErr w:type="spellEnd"/>
      <w:r w:rsidRPr="001E0866">
        <w:rPr>
          <w:rFonts w:ascii="Times New Roman" w:eastAsia="Times New Roman" w:hAnsi="Times New Roman" w:cs="Times New Roman"/>
          <w:sz w:val="20"/>
          <w:szCs w:val="20"/>
          <w:lang w:val="uk-UA" w:eastAsia="ru-RU"/>
        </w:rPr>
        <w:t xml:space="preserve">, юридичних осіб, а також представників юридичних осіб  разі, коли законодавством передбачено використання виключно кваліфікованих електронних підписів чи печаток (кваліфікованих електронних довірчих послуг) або записів електронної ідентифікації з високим рівнем довіри.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lastRenderedPageBreak/>
        <w:t xml:space="preserve">Відповідно до </w:t>
      </w:r>
      <w:proofErr w:type="spellStart"/>
      <w:r w:rsidRPr="001E0866">
        <w:rPr>
          <w:rFonts w:ascii="Times New Roman" w:eastAsia="Times New Roman" w:hAnsi="Times New Roman" w:cs="Times New Roman"/>
          <w:sz w:val="20"/>
          <w:szCs w:val="20"/>
          <w:lang w:val="uk-UA" w:eastAsia="ru-RU"/>
        </w:rPr>
        <w:t>абз</w:t>
      </w:r>
      <w:proofErr w:type="spellEnd"/>
      <w:r w:rsidRPr="001E0866">
        <w:rPr>
          <w:rFonts w:ascii="Times New Roman" w:eastAsia="Times New Roman" w:hAnsi="Times New Roman" w:cs="Times New Roman"/>
          <w:sz w:val="20"/>
          <w:szCs w:val="20"/>
          <w:lang w:val="uk-UA" w:eastAsia="ru-RU"/>
        </w:rPr>
        <w:t xml:space="preserve">. 2 п.1 Постанови, з 7 листопада 2020 року по 31 грудня 2021 року приватний бізнес має право використовувати КЕП, які базуються на кваліфікованих сертифікатах відкритих ключів. Тобто зберігати підпис на будь – якій </w:t>
      </w:r>
      <w:proofErr w:type="spellStart"/>
      <w:r w:rsidRPr="001E0866">
        <w:rPr>
          <w:rFonts w:ascii="Times New Roman" w:eastAsia="Times New Roman" w:hAnsi="Times New Roman" w:cs="Times New Roman"/>
          <w:sz w:val="20"/>
          <w:szCs w:val="20"/>
          <w:lang w:val="uk-UA" w:eastAsia="ru-RU"/>
        </w:rPr>
        <w:t>флешці</w:t>
      </w:r>
      <w:proofErr w:type="spellEnd"/>
      <w:r w:rsidRPr="001E0866">
        <w:rPr>
          <w:rFonts w:ascii="Times New Roman" w:eastAsia="Times New Roman" w:hAnsi="Times New Roman" w:cs="Times New Roman"/>
          <w:sz w:val="20"/>
          <w:szCs w:val="20"/>
          <w:lang w:val="uk-UA" w:eastAsia="ru-RU"/>
        </w:rPr>
        <w:t xml:space="preserve">, жорсткому диску тощо.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З 1 січня 2022 року приватні суб’єкти господарювання зобов’язані використовувати КЕП виключно на захищених носіях особистих ключів (</w:t>
      </w:r>
      <w:proofErr w:type="spellStart"/>
      <w:r w:rsidRPr="001E0866">
        <w:rPr>
          <w:rFonts w:ascii="Times New Roman" w:eastAsia="Times New Roman" w:hAnsi="Times New Roman" w:cs="Times New Roman"/>
          <w:sz w:val="20"/>
          <w:szCs w:val="20"/>
          <w:lang w:val="uk-UA" w:eastAsia="ru-RU"/>
        </w:rPr>
        <w:t>токенах</w:t>
      </w:r>
      <w:proofErr w:type="spellEnd"/>
      <w:r w:rsidRPr="001E0866">
        <w:rPr>
          <w:rFonts w:ascii="Times New Roman" w:eastAsia="Times New Roman" w:hAnsi="Times New Roman" w:cs="Times New Roman"/>
          <w:sz w:val="20"/>
          <w:szCs w:val="20"/>
          <w:lang w:val="uk-UA" w:eastAsia="ru-RU"/>
        </w:rPr>
        <w:t xml:space="preserve">). </w:t>
      </w:r>
    </w:p>
    <w:p w:rsidR="001E0866" w:rsidRPr="001E0866" w:rsidRDefault="001E0866"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b/>
          <w:bCs/>
          <w:sz w:val="20"/>
          <w:szCs w:val="20"/>
          <w:lang w:val="uk-UA" w:eastAsia="ru-RU"/>
        </w:rPr>
        <w:t xml:space="preserve">Який носій вважається </w:t>
      </w:r>
      <w:proofErr w:type="spellStart"/>
      <w:r w:rsidRPr="006F0C6B">
        <w:rPr>
          <w:rFonts w:ascii="Times New Roman" w:eastAsia="Times New Roman" w:hAnsi="Times New Roman" w:cs="Times New Roman"/>
          <w:b/>
          <w:bCs/>
          <w:sz w:val="20"/>
          <w:szCs w:val="20"/>
          <w:lang w:val="uk-UA" w:eastAsia="ru-RU"/>
        </w:rPr>
        <w:t>токеном</w:t>
      </w:r>
      <w:proofErr w:type="spellEnd"/>
      <w:r w:rsidRPr="001E0866">
        <w:rPr>
          <w:rFonts w:ascii="Times New Roman" w:eastAsia="Times New Roman" w:hAnsi="Times New Roman" w:cs="Times New Roman"/>
          <w:sz w:val="20"/>
          <w:szCs w:val="20"/>
          <w:lang w:val="uk-UA" w:eastAsia="ru-RU"/>
        </w:rPr>
        <w:t xml:space="preserve"> </w:t>
      </w:r>
    </w:p>
    <w:p w:rsidR="001E0866" w:rsidRPr="001E0866" w:rsidRDefault="001E0866" w:rsidP="006F0C6B">
      <w:pPr>
        <w:rPr>
          <w:rFonts w:ascii="Times New Roman" w:eastAsia="Times New Roman" w:hAnsi="Times New Roman" w:cs="Times New Roman"/>
          <w:sz w:val="20"/>
          <w:szCs w:val="20"/>
          <w:lang w:val="uk-UA" w:eastAsia="ru-RU"/>
        </w:rPr>
      </w:pPr>
      <w:proofErr w:type="spellStart"/>
      <w:r w:rsidRPr="001E0866">
        <w:rPr>
          <w:rFonts w:ascii="Times New Roman" w:eastAsia="Times New Roman" w:hAnsi="Times New Roman" w:cs="Times New Roman"/>
          <w:sz w:val="20"/>
          <w:szCs w:val="20"/>
          <w:lang w:val="uk-UA" w:eastAsia="ru-RU"/>
        </w:rPr>
        <w:t>Токен</w:t>
      </w:r>
      <w:proofErr w:type="spellEnd"/>
      <w:r w:rsidRPr="001E0866">
        <w:rPr>
          <w:rFonts w:ascii="Times New Roman" w:eastAsia="Times New Roman" w:hAnsi="Times New Roman" w:cs="Times New Roman"/>
          <w:sz w:val="20"/>
          <w:szCs w:val="20"/>
          <w:lang w:val="uk-UA" w:eastAsia="ru-RU"/>
        </w:rPr>
        <w:t xml:space="preserve"> (його також називають апаратним ключем) – це флеш – накопичувач, що має унікальний інвентарний номер та затверджений Держслужбою спецзв’язку. Захищеність електронного підпису, що зберігається на точені, забезпечується наступними факторами: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коли користувач підписує документи, сервіс електронного документообігу зчитує не лише сам файл, а й параметри носія, на якому він зберігається;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w:t>
      </w:r>
      <w:proofErr w:type="spellStart"/>
      <w:r w:rsidRPr="001E0866">
        <w:rPr>
          <w:rFonts w:ascii="Times New Roman" w:eastAsia="Times New Roman" w:hAnsi="Times New Roman" w:cs="Times New Roman"/>
          <w:sz w:val="20"/>
          <w:szCs w:val="20"/>
          <w:lang w:val="uk-UA" w:eastAsia="ru-RU"/>
        </w:rPr>
        <w:t>токен</w:t>
      </w:r>
      <w:proofErr w:type="spellEnd"/>
      <w:r w:rsidRPr="001E0866">
        <w:rPr>
          <w:rFonts w:ascii="Times New Roman" w:eastAsia="Times New Roman" w:hAnsi="Times New Roman" w:cs="Times New Roman"/>
          <w:sz w:val="20"/>
          <w:szCs w:val="20"/>
          <w:lang w:val="uk-UA" w:eastAsia="ru-RU"/>
        </w:rPr>
        <w:t xml:space="preserve"> захищений від відкриття даних, тому  ключ з нього неможливо скопіювати на інший пристрій; </w:t>
      </w:r>
    </w:p>
    <w:p w:rsid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 існує обмеження на допустиму кількість введень паролю. </w:t>
      </w:r>
    </w:p>
    <w:p w:rsidR="006F0C6B" w:rsidRPr="001E0866" w:rsidRDefault="006F0C6B" w:rsidP="006F0C6B">
      <w:pPr>
        <w:rPr>
          <w:rFonts w:ascii="Times New Roman" w:eastAsia="Times New Roman" w:hAnsi="Times New Roman" w:cs="Times New Roman"/>
          <w:sz w:val="20"/>
          <w:szCs w:val="20"/>
          <w:lang w:val="uk-UA" w:eastAsia="ru-RU"/>
        </w:rPr>
      </w:pPr>
    </w:p>
    <w:p w:rsidR="001E0866" w:rsidRPr="001E0866" w:rsidRDefault="001E0866" w:rsidP="006F0C6B">
      <w:pPr>
        <w:outlineLvl w:val="0"/>
        <w:rPr>
          <w:rFonts w:ascii="Times New Roman" w:eastAsia="Times New Roman" w:hAnsi="Times New Roman" w:cs="Times New Roman"/>
          <w:b/>
          <w:bCs/>
          <w:kern w:val="36"/>
          <w:sz w:val="20"/>
          <w:szCs w:val="20"/>
          <w:lang w:val="uk-UA" w:eastAsia="ru-RU"/>
        </w:rPr>
      </w:pPr>
      <w:r w:rsidRPr="001E0866">
        <w:rPr>
          <w:rFonts w:ascii="Times New Roman" w:eastAsia="Times New Roman" w:hAnsi="Times New Roman" w:cs="Times New Roman"/>
          <w:b/>
          <w:bCs/>
          <w:kern w:val="36"/>
          <w:sz w:val="20"/>
          <w:szCs w:val="20"/>
          <w:lang w:val="uk-UA" w:eastAsia="ru-RU"/>
        </w:rPr>
        <w:t xml:space="preserve">Платники Дніпропетровщини спрямували до бюджетів усіх рівнів та єдиного внеску за десять місяців 2020 року 51,2 мільярди гривень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Платниками Дніпропетровщини спрямовано до бюджетів усіх рівнів за січень – жовтень 2020 року (без урахування єдиного внеску на загальнообов’язкове державне соціальне страхування) 37 </w:t>
      </w:r>
      <w:proofErr w:type="spellStart"/>
      <w:r w:rsidRPr="001E0866">
        <w:rPr>
          <w:rFonts w:ascii="Times New Roman" w:eastAsia="Times New Roman" w:hAnsi="Times New Roman" w:cs="Times New Roman"/>
          <w:sz w:val="20"/>
          <w:szCs w:val="20"/>
          <w:lang w:val="uk-UA" w:eastAsia="ru-RU"/>
        </w:rPr>
        <w:t>млрд</w:t>
      </w:r>
      <w:proofErr w:type="spellEnd"/>
      <w:r w:rsidRPr="001E0866">
        <w:rPr>
          <w:rFonts w:ascii="Times New Roman" w:eastAsia="Times New Roman" w:hAnsi="Times New Roman" w:cs="Times New Roman"/>
          <w:sz w:val="20"/>
          <w:szCs w:val="20"/>
          <w:lang w:val="uk-UA" w:eastAsia="ru-RU"/>
        </w:rPr>
        <w:t xml:space="preserve"> 551,8 </w:t>
      </w:r>
      <w:proofErr w:type="spellStart"/>
      <w:r w:rsidRPr="001E0866">
        <w:rPr>
          <w:rFonts w:ascii="Times New Roman" w:eastAsia="Times New Roman" w:hAnsi="Times New Roman" w:cs="Times New Roman"/>
          <w:sz w:val="20"/>
          <w:szCs w:val="20"/>
          <w:lang w:val="uk-UA" w:eastAsia="ru-RU"/>
        </w:rPr>
        <w:t>млн</w:t>
      </w:r>
      <w:proofErr w:type="spellEnd"/>
      <w:r w:rsidRPr="001E0866">
        <w:rPr>
          <w:rFonts w:ascii="Times New Roman" w:eastAsia="Times New Roman" w:hAnsi="Times New Roman" w:cs="Times New Roman"/>
          <w:sz w:val="20"/>
          <w:szCs w:val="20"/>
          <w:lang w:val="uk-UA" w:eastAsia="ru-RU"/>
        </w:rPr>
        <w:t xml:space="preserve"> гривень.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Так, до державного бюджету надійшло 17 </w:t>
      </w:r>
      <w:proofErr w:type="spellStart"/>
      <w:r w:rsidRPr="001E0866">
        <w:rPr>
          <w:rFonts w:ascii="Times New Roman" w:eastAsia="Times New Roman" w:hAnsi="Times New Roman" w:cs="Times New Roman"/>
          <w:sz w:val="20"/>
          <w:szCs w:val="20"/>
          <w:lang w:val="uk-UA" w:eastAsia="ru-RU"/>
        </w:rPr>
        <w:t>млрд</w:t>
      </w:r>
      <w:proofErr w:type="spellEnd"/>
      <w:r w:rsidRPr="001E0866">
        <w:rPr>
          <w:rFonts w:ascii="Times New Roman" w:eastAsia="Times New Roman" w:hAnsi="Times New Roman" w:cs="Times New Roman"/>
          <w:sz w:val="20"/>
          <w:szCs w:val="20"/>
          <w:lang w:val="uk-UA" w:eastAsia="ru-RU"/>
        </w:rPr>
        <w:t xml:space="preserve"> 466,9 </w:t>
      </w:r>
      <w:proofErr w:type="spellStart"/>
      <w:r w:rsidRPr="001E0866">
        <w:rPr>
          <w:rFonts w:ascii="Times New Roman" w:eastAsia="Times New Roman" w:hAnsi="Times New Roman" w:cs="Times New Roman"/>
          <w:sz w:val="20"/>
          <w:szCs w:val="20"/>
          <w:lang w:val="uk-UA" w:eastAsia="ru-RU"/>
        </w:rPr>
        <w:t>млн</w:t>
      </w:r>
      <w:proofErr w:type="spellEnd"/>
      <w:r w:rsidRPr="001E0866">
        <w:rPr>
          <w:rFonts w:ascii="Times New Roman" w:eastAsia="Times New Roman" w:hAnsi="Times New Roman" w:cs="Times New Roman"/>
          <w:sz w:val="20"/>
          <w:szCs w:val="20"/>
          <w:lang w:val="uk-UA" w:eastAsia="ru-RU"/>
        </w:rPr>
        <w:t xml:space="preserve"> грн., до місцевих бюджетів регіону – 20 </w:t>
      </w:r>
      <w:proofErr w:type="spellStart"/>
      <w:r w:rsidRPr="001E0866">
        <w:rPr>
          <w:rFonts w:ascii="Times New Roman" w:eastAsia="Times New Roman" w:hAnsi="Times New Roman" w:cs="Times New Roman"/>
          <w:sz w:val="20"/>
          <w:szCs w:val="20"/>
          <w:lang w:val="uk-UA" w:eastAsia="ru-RU"/>
        </w:rPr>
        <w:t>млрд</w:t>
      </w:r>
      <w:proofErr w:type="spellEnd"/>
      <w:r w:rsidRPr="001E0866">
        <w:rPr>
          <w:rFonts w:ascii="Times New Roman" w:eastAsia="Times New Roman" w:hAnsi="Times New Roman" w:cs="Times New Roman"/>
          <w:sz w:val="20"/>
          <w:szCs w:val="20"/>
          <w:lang w:val="uk-UA" w:eastAsia="ru-RU"/>
        </w:rPr>
        <w:t xml:space="preserve"> 084,9 </w:t>
      </w:r>
      <w:proofErr w:type="spellStart"/>
      <w:r w:rsidRPr="001E0866">
        <w:rPr>
          <w:rFonts w:ascii="Times New Roman" w:eastAsia="Times New Roman" w:hAnsi="Times New Roman" w:cs="Times New Roman"/>
          <w:sz w:val="20"/>
          <w:szCs w:val="20"/>
          <w:lang w:val="uk-UA" w:eastAsia="ru-RU"/>
        </w:rPr>
        <w:t>млн</w:t>
      </w:r>
      <w:proofErr w:type="spellEnd"/>
      <w:r w:rsidRPr="001E0866">
        <w:rPr>
          <w:rFonts w:ascii="Times New Roman" w:eastAsia="Times New Roman" w:hAnsi="Times New Roman" w:cs="Times New Roman"/>
          <w:sz w:val="20"/>
          <w:szCs w:val="20"/>
          <w:lang w:val="uk-UA" w:eastAsia="ru-RU"/>
        </w:rPr>
        <w:t xml:space="preserve"> гривень. </w:t>
      </w:r>
    </w:p>
    <w:p w:rsidR="001E0866" w:rsidRPr="006F0C6B"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За підсумками десяти місяців поточного року єдиного внеску на загальнообов’язкове державне соціальне страхування надійшло 13 </w:t>
      </w:r>
      <w:proofErr w:type="spellStart"/>
      <w:r w:rsidRPr="001E0866">
        <w:rPr>
          <w:rFonts w:ascii="Times New Roman" w:eastAsia="Times New Roman" w:hAnsi="Times New Roman" w:cs="Times New Roman"/>
          <w:sz w:val="20"/>
          <w:szCs w:val="20"/>
          <w:lang w:val="uk-UA" w:eastAsia="ru-RU"/>
        </w:rPr>
        <w:t>млрд</w:t>
      </w:r>
      <w:proofErr w:type="spellEnd"/>
      <w:r w:rsidRPr="001E0866">
        <w:rPr>
          <w:rFonts w:ascii="Times New Roman" w:eastAsia="Times New Roman" w:hAnsi="Times New Roman" w:cs="Times New Roman"/>
          <w:sz w:val="20"/>
          <w:szCs w:val="20"/>
          <w:lang w:val="uk-UA" w:eastAsia="ru-RU"/>
        </w:rPr>
        <w:t xml:space="preserve"> 643,7 </w:t>
      </w:r>
      <w:proofErr w:type="spellStart"/>
      <w:r w:rsidRPr="001E0866">
        <w:rPr>
          <w:rFonts w:ascii="Times New Roman" w:eastAsia="Times New Roman" w:hAnsi="Times New Roman" w:cs="Times New Roman"/>
          <w:sz w:val="20"/>
          <w:szCs w:val="20"/>
          <w:lang w:val="uk-UA" w:eastAsia="ru-RU"/>
        </w:rPr>
        <w:t>млн</w:t>
      </w:r>
      <w:proofErr w:type="spellEnd"/>
      <w:r w:rsidRPr="001E0866">
        <w:rPr>
          <w:rFonts w:ascii="Times New Roman" w:eastAsia="Times New Roman" w:hAnsi="Times New Roman" w:cs="Times New Roman"/>
          <w:sz w:val="20"/>
          <w:szCs w:val="20"/>
          <w:lang w:val="uk-UA" w:eastAsia="ru-RU"/>
        </w:rPr>
        <w:t xml:space="preserve"> </w:t>
      </w:r>
      <w:proofErr w:type="spellStart"/>
      <w:r w:rsidRPr="001E0866">
        <w:rPr>
          <w:rFonts w:ascii="Times New Roman" w:eastAsia="Times New Roman" w:hAnsi="Times New Roman" w:cs="Times New Roman"/>
          <w:sz w:val="20"/>
          <w:szCs w:val="20"/>
          <w:lang w:val="uk-UA" w:eastAsia="ru-RU"/>
        </w:rPr>
        <w:t>грн</w:t>
      </w:r>
      <w:proofErr w:type="spellEnd"/>
      <w:r w:rsidRPr="001E0866">
        <w:rPr>
          <w:rFonts w:ascii="Times New Roman" w:eastAsia="Times New Roman" w:hAnsi="Times New Roman" w:cs="Times New Roman"/>
          <w:sz w:val="20"/>
          <w:szCs w:val="20"/>
          <w:lang w:val="uk-UA" w:eastAsia="ru-RU"/>
        </w:rPr>
        <w:t xml:space="preserve">, що перевищує минулорічні показники на 580,8 </w:t>
      </w:r>
      <w:proofErr w:type="spellStart"/>
      <w:r w:rsidRPr="001E0866">
        <w:rPr>
          <w:rFonts w:ascii="Times New Roman" w:eastAsia="Times New Roman" w:hAnsi="Times New Roman" w:cs="Times New Roman"/>
          <w:sz w:val="20"/>
          <w:szCs w:val="20"/>
          <w:lang w:val="uk-UA" w:eastAsia="ru-RU"/>
        </w:rPr>
        <w:t>млн</w:t>
      </w:r>
      <w:proofErr w:type="spellEnd"/>
      <w:r w:rsidRPr="001E0866">
        <w:rPr>
          <w:rFonts w:ascii="Times New Roman" w:eastAsia="Times New Roman" w:hAnsi="Times New Roman" w:cs="Times New Roman"/>
          <w:sz w:val="20"/>
          <w:szCs w:val="20"/>
          <w:lang w:val="uk-UA" w:eastAsia="ru-RU"/>
        </w:rPr>
        <w:t xml:space="preserve"> гривень. </w:t>
      </w:r>
    </w:p>
    <w:p w:rsidR="006F0C6B" w:rsidRDefault="006F0C6B" w:rsidP="006F0C6B">
      <w:pPr>
        <w:rPr>
          <w:rFonts w:ascii="Times New Roman" w:eastAsia="Times New Roman" w:hAnsi="Times New Roman" w:cs="Times New Roman"/>
          <w:sz w:val="20"/>
          <w:szCs w:val="20"/>
          <w:lang w:val="uk-UA" w:eastAsia="ru-RU"/>
        </w:rPr>
      </w:pPr>
    </w:p>
    <w:p w:rsidR="001E0866" w:rsidRPr="006F0C6B" w:rsidRDefault="001E0866" w:rsidP="006F0C6B">
      <w:pPr>
        <w:pStyle w:val="1"/>
        <w:spacing w:before="0" w:beforeAutospacing="0" w:after="0" w:afterAutospacing="0"/>
        <w:jc w:val="both"/>
        <w:rPr>
          <w:sz w:val="20"/>
          <w:szCs w:val="20"/>
          <w:lang w:val="uk-UA"/>
        </w:rPr>
      </w:pPr>
      <w:r w:rsidRPr="006F0C6B">
        <w:rPr>
          <w:sz w:val="20"/>
          <w:szCs w:val="20"/>
          <w:lang w:val="uk-UA"/>
        </w:rPr>
        <w:t xml:space="preserve">Затверджено нові зразки марок акцизного податку для тютюнових виробів </w:t>
      </w:r>
    </w:p>
    <w:p w:rsidR="001E0866" w:rsidRPr="006F0C6B" w:rsidRDefault="001E0866" w:rsidP="006F0C6B">
      <w:pPr>
        <w:pStyle w:val="a3"/>
        <w:spacing w:before="0" w:beforeAutospacing="0" w:after="0" w:afterAutospacing="0"/>
        <w:jc w:val="both"/>
        <w:rPr>
          <w:sz w:val="20"/>
          <w:szCs w:val="20"/>
          <w:lang w:val="uk-UA"/>
        </w:rPr>
      </w:pPr>
      <w:r w:rsidRPr="006F0C6B">
        <w:rPr>
          <w:sz w:val="20"/>
          <w:szCs w:val="20"/>
          <w:lang w:val="uk-UA"/>
        </w:rPr>
        <w:t xml:space="preserve">Кабінет Міністрів України постановою від 29 жовтня 2020 року № 1037 «Деякі питання маркування марками акцизного податку тютюнових виробів і рідин, що використовуються в електронних сигаретах» (далі – Постанова № 1037) затвердив: </w:t>
      </w:r>
    </w:p>
    <w:p w:rsidR="001E0866" w:rsidRPr="006F0C6B" w:rsidRDefault="001E0866" w:rsidP="006F0C6B">
      <w:pPr>
        <w:pStyle w:val="a3"/>
        <w:spacing w:before="0" w:beforeAutospacing="0" w:after="0" w:afterAutospacing="0"/>
        <w:jc w:val="both"/>
        <w:rPr>
          <w:sz w:val="20"/>
          <w:szCs w:val="20"/>
          <w:lang w:val="uk-UA"/>
        </w:rPr>
      </w:pPr>
      <w:r w:rsidRPr="006F0C6B">
        <w:rPr>
          <w:sz w:val="20"/>
          <w:szCs w:val="20"/>
          <w:lang w:val="uk-UA"/>
        </w:rPr>
        <w:t xml:space="preserve">► нові зразки марок акцизного податку для тютюнових виробів </w:t>
      </w:r>
    </w:p>
    <w:p w:rsidR="001E0866" w:rsidRPr="006F0C6B" w:rsidRDefault="001E0866" w:rsidP="006F0C6B">
      <w:pPr>
        <w:pStyle w:val="a3"/>
        <w:spacing w:before="0" w:beforeAutospacing="0" w:after="0" w:afterAutospacing="0"/>
        <w:jc w:val="both"/>
        <w:rPr>
          <w:sz w:val="20"/>
          <w:szCs w:val="20"/>
          <w:lang w:val="uk-UA"/>
        </w:rPr>
      </w:pPr>
      <w:r w:rsidRPr="006F0C6B">
        <w:rPr>
          <w:sz w:val="20"/>
          <w:szCs w:val="20"/>
          <w:lang w:val="uk-UA"/>
        </w:rPr>
        <w:t xml:space="preserve">► зразки марок акцизного податку для рідин, що використовуються в електронних сигаретах, вітчизняного та імпортного виробництва. </w:t>
      </w:r>
    </w:p>
    <w:p w:rsidR="001E0866" w:rsidRPr="006F0C6B" w:rsidRDefault="001E0866" w:rsidP="006F0C6B">
      <w:pPr>
        <w:pStyle w:val="a3"/>
        <w:spacing w:before="0" w:beforeAutospacing="0" w:after="0" w:afterAutospacing="0"/>
        <w:jc w:val="both"/>
        <w:rPr>
          <w:sz w:val="20"/>
          <w:szCs w:val="20"/>
          <w:lang w:val="uk-UA"/>
        </w:rPr>
      </w:pPr>
      <w:r w:rsidRPr="006F0C6B">
        <w:rPr>
          <w:sz w:val="20"/>
          <w:szCs w:val="20"/>
          <w:lang w:val="uk-UA"/>
        </w:rPr>
        <w:t xml:space="preserve">Нові зразки запроваджуються 01.01.2021. </w:t>
      </w:r>
    </w:p>
    <w:p w:rsidR="001E0866" w:rsidRPr="006F0C6B" w:rsidRDefault="001E0866" w:rsidP="006F0C6B">
      <w:pPr>
        <w:pStyle w:val="a3"/>
        <w:spacing w:before="0" w:beforeAutospacing="0" w:after="0" w:afterAutospacing="0"/>
        <w:jc w:val="both"/>
        <w:rPr>
          <w:sz w:val="20"/>
          <w:szCs w:val="20"/>
          <w:lang w:val="uk-UA"/>
        </w:rPr>
      </w:pPr>
      <w:r w:rsidRPr="006F0C6B">
        <w:rPr>
          <w:sz w:val="20"/>
          <w:szCs w:val="20"/>
          <w:lang w:val="uk-UA"/>
        </w:rPr>
        <w:t xml:space="preserve">Постановою № 1037 також внесено зміни до постанови Кабінету Міністрів України від 27 грудня 2010 року № 1251 «Про затвердження Положення про виготовлення, зберігання, продаж марок акцизного податку та маркування алкогольних напоїв і тютюнових виробів». </w:t>
      </w:r>
    </w:p>
    <w:p w:rsidR="001E0866" w:rsidRPr="006F0C6B" w:rsidRDefault="001E0866" w:rsidP="006F0C6B">
      <w:pPr>
        <w:pStyle w:val="a3"/>
        <w:spacing w:before="0" w:beforeAutospacing="0" w:after="0" w:afterAutospacing="0"/>
        <w:jc w:val="both"/>
        <w:rPr>
          <w:sz w:val="20"/>
          <w:szCs w:val="20"/>
          <w:lang w:val="uk-UA"/>
        </w:rPr>
      </w:pPr>
      <w:r w:rsidRPr="006F0C6B">
        <w:rPr>
          <w:sz w:val="20"/>
          <w:szCs w:val="20"/>
          <w:lang w:val="uk-UA"/>
        </w:rPr>
        <w:t xml:space="preserve">Постанова № 1037 опубліковано в офіційному виданні «Урядовому кур’єрі» від 03.11.2020 № 213 та розміщено на Урядовому порталі «Єдиний </w:t>
      </w:r>
      <w:proofErr w:type="spellStart"/>
      <w:r w:rsidRPr="006F0C6B">
        <w:rPr>
          <w:sz w:val="20"/>
          <w:szCs w:val="20"/>
          <w:lang w:val="uk-UA"/>
        </w:rPr>
        <w:t>вебпортал</w:t>
      </w:r>
      <w:proofErr w:type="spellEnd"/>
      <w:r w:rsidRPr="006F0C6B">
        <w:rPr>
          <w:sz w:val="20"/>
          <w:szCs w:val="20"/>
          <w:lang w:val="uk-UA"/>
        </w:rPr>
        <w:t xml:space="preserve"> органів виконавчої влади України» за посиланням </w:t>
      </w:r>
    </w:p>
    <w:p w:rsidR="001E0866" w:rsidRDefault="00645FA5" w:rsidP="006F0C6B">
      <w:pPr>
        <w:pStyle w:val="a3"/>
        <w:spacing w:before="0" w:beforeAutospacing="0" w:after="0" w:afterAutospacing="0"/>
        <w:jc w:val="both"/>
        <w:rPr>
          <w:sz w:val="20"/>
          <w:szCs w:val="20"/>
          <w:lang w:val="uk-UA"/>
        </w:rPr>
      </w:pPr>
      <w:hyperlink r:id="rId5" w:history="1">
        <w:r w:rsidR="001E0866" w:rsidRPr="006F0C6B">
          <w:rPr>
            <w:rStyle w:val="a4"/>
            <w:b/>
            <w:bCs/>
            <w:sz w:val="20"/>
            <w:szCs w:val="20"/>
            <w:lang w:val="uk-UA"/>
          </w:rPr>
          <w:t>https://www.kmu.gov.ua/npas/deyaki-pitannya-markuvannya-markami-akciznogo-podatku-tyutyunovih-virobiv-i-ridin-shcho-vikoristovuyutsya-v-elektronnih-sigaretah-i291020-1037</w:t>
        </w:r>
      </w:hyperlink>
      <w:r w:rsidR="001E0866" w:rsidRPr="006F0C6B">
        <w:rPr>
          <w:sz w:val="20"/>
          <w:szCs w:val="20"/>
          <w:lang w:val="uk-UA"/>
        </w:rPr>
        <w:t xml:space="preserve"> </w:t>
      </w:r>
    </w:p>
    <w:p w:rsidR="006F0C6B" w:rsidRPr="006F0C6B" w:rsidRDefault="006F0C6B" w:rsidP="006F0C6B">
      <w:pPr>
        <w:pStyle w:val="a3"/>
        <w:spacing w:before="0" w:beforeAutospacing="0" w:after="0" w:afterAutospacing="0"/>
        <w:jc w:val="both"/>
        <w:rPr>
          <w:sz w:val="20"/>
          <w:szCs w:val="20"/>
          <w:lang w:val="uk-UA"/>
        </w:rPr>
      </w:pPr>
    </w:p>
    <w:p w:rsidR="001E0866" w:rsidRPr="001E0866" w:rsidRDefault="001E0866" w:rsidP="006F0C6B">
      <w:pPr>
        <w:outlineLvl w:val="0"/>
        <w:rPr>
          <w:rFonts w:ascii="Times New Roman" w:eastAsia="Times New Roman" w:hAnsi="Times New Roman" w:cs="Times New Roman"/>
          <w:b/>
          <w:bCs/>
          <w:kern w:val="36"/>
          <w:sz w:val="20"/>
          <w:szCs w:val="20"/>
          <w:lang w:val="uk-UA" w:eastAsia="ru-RU"/>
        </w:rPr>
      </w:pPr>
      <w:r w:rsidRPr="001E0866">
        <w:rPr>
          <w:rFonts w:ascii="Times New Roman" w:eastAsia="Times New Roman" w:hAnsi="Times New Roman" w:cs="Times New Roman"/>
          <w:b/>
          <w:bCs/>
          <w:kern w:val="36"/>
          <w:sz w:val="20"/>
          <w:szCs w:val="20"/>
          <w:lang w:val="uk-UA" w:eastAsia="ru-RU"/>
        </w:rPr>
        <w:t xml:space="preserve">Внесено зміни у назви стандартів бухгалтерського обліку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Міністерство фінансів України наказом від 29.09.2020 № 588 «Про внесення змін до деяких нормативно-правових актів Міністерства фінансів України з бухгалтерського обліку» (далі – Наказ № 588) (зареєстрований в Міністерстві юстиції України 19.10.2020 за № 1020/35303) вніс зміни до більшості Положень (стандартів) бухгалтерського обліку (далі – П(С)БО).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Наказом № 588 у назви 25-ти стандартів бухгалтерського обліку додано слово «національні».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Також внесено певні уточнення та доповнення до НП(С)БО, а саме: до НП(С)БО 25 «Спрощена фінансова звітність» та НП(С)БО 17 «Податок на прибуток».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Так, у П(С)БО 17 уточнено, що відстрочені податкові активи та відстрочені податкові зобов'язання відображаються в балансі окремими статтями необоротних активів і довгострокових зобов'язань за </w:t>
      </w:r>
      <w:proofErr w:type="spellStart"/>
      <w:r w:rsidRPr="001E0866">
        <w:rPr>
          <w:rFonts w:ascii="Times New Roman" w:eastAsia="Times New Roman" w:hAnsi="Times New Roman" w:cs="Times New Roman"/>
          <w:sz w:val="20"/>
          <w:szCs w:val="20"/>
          <w:lang w:val="uk-UA" w:eastAsia="ru-RU"/>
        </w:rPr>
        <w:t>недисконтованою</w:t>
      </w:r>
      <w:proofErr w:type="spellEnd"/>
      <w:r w:rsidRPr="001E0866">
        <w:rPr>
          <w:rFonts w:ascii="Times New Roman" w:eastAsia="Times New Roman" w:hAnsi="Times New Roman" w:cs="Times New Roman"/>
          <w:sz w:val="20"/>
          <w:szCs w:val="20"/>
          <w:lang w:val="uk-UA" w:eastAsia="ru-RU"/>
        </w:rPr>
        <w:t xml:space="preserve"> сумою, що підлягає відшкодуванню або сплаті.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З НП(С)БО 25 виключено згадку про заборгованість засновників з формування статутного капіталу зі статті «Поточна дебіторська заборгованість». Крім того, уточнено, що у статті «Неоплачений капітал» відображається сума заборгованості власників (учасників) за внесками до статутного капіталу. Суми за цією статтею вираховуються під час визначення підсумку власного капіталу.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Форму № 1-мс після позиції «Нерозподілений прибуток (непокритий збиток)» доповнили новою позицією «Неоплачений капітал». </w:t>
      </w:r>
    </w:p>
    <w:p w:rsidR="001E0866" w:rsidRPr="001E0866"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 xml:space="preserve">Відповідно мікропідприємства отримають нову форму Балансу за ф. №1-мс та після її набрання чинності саме її мають заповнювати. </w:t>
      </w:r>
    </w:p>
    <w:p w:rsidR="006F0C6B" w:rsidRDefault="001E0866" w:rsidP="006F0C6B">
      <w:pPr>
        <w:rPr>
          <w:rFonts w:ascii="Times New Roman" w:eastAsia="Times New Roman" w:hAnsi="Times New Roman" w:cs="Times New Roman"/>
          <w:sz w:val="20"/>
          <w:szCs w:val="20"/>
          <w:lang w:val="uk-UA" w:eastAsia="ru-RU"/>
        </w:rPr>
      </w:pPr>
      <w:r w:rsidRPr="001E0866">
        <w:rPr>
          <w:rFonts w:ascii="Times New Roman" w:eastAsia="Times New Roman" w:hAnsi="Times New Roman" w:cs="Times New Roman"/>
          <w:sz w:val="20"/>
          <w:szCs w:val="20"/>
          <w:lang w:val="uk-UA" w:eastAsia="ru-RU"/>
        </w:rPr>
        <w:t>Наказ № 588 опубліковано у бюлетені «Офіційному віснику» від 03.11.2020 № 86 і він набрав чинності також 03.11.2020.</w:t>
      </w:r>
    </w:p>
    <w:p w:rsidR="001E0866" w:rsidRPr="001E0866" w:rsidRDefault="001E0866" w:rsidP="006F0C6B">
      <w:pPr>
        <w:rPr>
          <w:rFonts w:ascii="Times New Roman" w:eastAsia="Times New Roman" w:hAnsi="Times New Roman" w:cs="Times New Roman"/>
          <w:sz w:val="20"/>
          <w:szCs w:val="20"/>
          <w:lang w:val="uk-UA" w:eastAsia="ru-RU"/>
        </w:rPr>
      </w:pPr>
    </w:p>
    <w:p w:rsidR="006F0C6B" w:rsidRPr="006F0C6B" w:rsidRDefault="006F0C6B" w:rsidP="006F0C6B">
      <w:pPr>
        <w:outlineLvl w:val="0"/>
        <w:rPr>
          <w:rFonts w:ascii="Times New Roman" w:eastAsia="Times New Roman" w:hAnsi="Times New Roman" w:cs="Times New Roman"/>
          <w:b/>
          <w:bCs/>
          <w:kern w:val="36"/>
          <w:sz w:val="20"/>
          <w:szCs w:val="20"/>
          <w:lang w:val="uk-UA" w:eastAsia="ru-RU"/>
        </w:rPr>
      </w:pPr>
      <w:r w:rsidRPr="006F0C6B">
        <w:rPr>
          <w:rFonts w:ascii="Times New Roman" w:eastAsia="Times New Roman" w:hAnsi="Times New Roman" w:cs="Times New Roman"/>
          <w:b/>
          <w:bCs/>
          <w:kern w:val="36"/>
          <w:sz w:val="20"/>
          <w:szCs w:val="20"/>
          <w:lang w:val="uk-UA" w:eastAsia="ru-RU"/>
        </w:rPr>
        <w:t xml:space="preserve">До уваги платників: електронний цифровий підпис діє до 07.11.2020! </w:t>
      </w:r>
    </w:p>
    <w:p w:rsidR="006F0C6B" w:rsidRPr="006F0C6B" w:rsidRDefault="006F0C6B" w:rsidP="006F0C6B">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6F0C6B">
        <w:rPr>
          <w:rFonts w:ascii="Times New Roman" w:eastAsia="Times New Roman" w:hAnsi="Times New Roman" w:cs="Times New Roman"/>
          <w:sz w:val="20"/>
          <w:szCs w:val="20"/>
          <w:lang w:val="uk-UA" w:eastAsia="ru-RU"/>
        </w:rPr>
        <w:t>агадує</w:t>
      </w:r>
      <w:r>
        <w:rPr>
          <w:rFonts w:ascii="Times New Roman" w:eastAsia="Times New Roman" w:hAnsi="Times New Roman" w:cs="Times New Roman"/>
          <w:sz w:val="20"/>
          <w:szCs w:val="20"/>
          <w:lang w:val="uk-UA" w:eastAsia="ru-RU"/>
        </w:rPr>
        <w:t>мо</w:t>
      </w:r>
      <w:r w:rsidRPr="006F0C6B">
        <w:rPr>
          <w:rFonts w:ascii="Times New Roman" w:eastAsia="Times New Roman" w:hAnsi="Times New Roman" w:cs="Times New Roman"/>
          <w:sz w:val="20"/>
          <w:szCs w:val="20"/>
          <w:lang w:val="uk-UA" w:eastAsia="ru-RU"/>
        </w:rPr>
        <w:t>,</w:t>
      </w:r>
      <w:r w:rsidR="004F3970" w:rsidRPr="004F3970">
        <w:rPr>
          <w:rFonts w:ascii="Times New Roman" w:eastAsia="Times New Roman" w:hAnsi="Times New Roman" w:cs="Times New Roman"/>
          <w:sz w:val="20"/>
          <w:szCs w:val="20"/>
          <w:lang w:val="uk-UA" w:eastAsia="ru-RU"/>
        </w:rPr>
        <w:t xml:space="preserve"> </w:t>
      </w:r>
      <w:r w:rsidRPr="006F0C6B">
        <w:rPr>
          <w:rFonts w:ascii="Times New Roman" w:eastAsia="Times New Roman" w:hAnsi="Times New Roman" w:cs="Times New Roman"/>
          <w:sz w:val="20"/>
          <w:szCs w:val="20"/>
          <w:lang w:val="uk-UA" w:eastAsia="ru-RU"/>
        </w:rPr>
        <w:t xml:space="preserve">що 07.11.2018 набув чинності оновлений Закон України від 05 жовтня  2017 року  № 2155-VIII «Про електронні довірчі послуги» (далі – Закон № 2155), який ввів поняття нового, більш захищеного електронного підпису –  кваліфікованого електронного підпису (далі – КЕП) та скасував поняття електронного цифрового підпису (далі – ЕЦП).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Законом № 2155 було введено поступовий перехід на КЕП. Згідно із частиною 5 розділу VII Закону № 2155 платники податків мали можливість повноцінно використовувати ЕЦП протягом двох років з моменту набуття чинності нових норм та замінити ЕЦП на КЕП у зручний для себе час, щоб з 07.11.2020 і у подальшому підписувати електронні документи і звітність.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lastRenderedPageBreak/>
        <w:t xml:space="preserve">Якщо платником було отримано електронний підпис до 07.11.2018, то такий ЕЦП припиняє свою дію 07.11.2020. У цьому випадку необхідно отримати актуальний КЕП, звернувшись до надавача електронних довірчих послуг.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Якщо отримано електронний підпис після 07.11.2020, то необхідно впевнитися у тому, що це КЕП, щоб і надалі комфортно продовжувати свою роботу після 07.11.2020.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Оскільки КЕП є електронним файлом, для його зберігання потрібен фізичний носій. Відповідно до норм Закону № 2155 такий носій має назву «засіб кваліфікованого електронного підпису чи печатки», який є: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 звичайним пристроєм, на якому створюється та зберігається КЕП (будь-який флеш-накопичувач, жорсткий диск комп’ютера тощо), згідно з п. 17    ч. 1 ст. 1 Закону № 2155 він називається простим засобом КЕП;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 пристрій із вбудованими апаратно-програмними засобами, що забезпечують захист записаних на ньому даних від несанкціонованого доступу, копіювання чи ознайомлення з параметрами особистого ключа. Даний пристрій є захищеним носієм особистих ключів та відповідає умовам п. 2 Порядку використання електронних довірчих послуг, затвердженого постановою Кабінету Міністрів України від 19 вересня 2018 року № 749. Прикладом такого носія є </w:t>
      </w:r>
      <w:proofErr w:type="spellStart"/>
      <w:r w:rsidRPr="006F0C6B">
        <w:rPr>
          <w:rFonts w:ascii="Times New Roman" w:eastAsia="Times New Roman" w:hAnsi="Times New Roman" w:cs="Times New Roman"/>
          <w:b/>
          <w:bCs/>
          <w:i/>
          <w:iCs/>
          <w:sz w:val="20"/>
          <w:szCs w:val="20"/>
          <w:lang w:val="uk-UA" w:eastAsia="ru-RU"/>
        </w:rPr>
        <w:t>токен</w:t>
      </w:r>
      <w:proofErr w:type="spellEnd"/>
      <w:r w:rsidRPr="006F0C6B">
        <w:rPr>
          <w:rFonts w:ascii="Times New Roman" w:eastAsia="Times New Roman" w:hAnsi="Times New Roman" w:cs="Times New Roman"/>
          <w:i/>
          <w:iCs/>
          <w:sz w:val="20"/>
          <w:szCs w:val="20"/>
          <w:lang w:val="uk-UA" w:eastAsia="ru-RU"/>
        </w:rPr>
        <w:t>.</w:t>
      </w:r>
      <w:r w:rsidRPr="006F0C6B">
        <w:rPr>
          <w:rFonts w:ascii="Times New Roman" w:eastAsia="Times New Roman" w:hAnsi="Times New Roman" w:cs="Times New Roman"/>
          <w:sz w:val="20"/>
          <w:szCs w:val="20"/>
          <w:lang w:val="uk-UA" w:eastAsia="ru-RU"/>
        </w:rPr>
        <w:t xml:space="preserve">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В якому вигляді має зберігатися КЕП, залежить від виду діяльності суб’єкта господарювання.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Так, згідно з вимогами абзацу. 2 ч. 2 ст. 17 Закону № 2155, з 07.11.2020 зберігати КЕП на захищених носіях особистих ключів </w:t>
      </w:r>
      <w:r w:rsidRPr="006F0C6B">
        <w:rPr>
          <w:rFonts w:ascii="Times New Roman" w:eastAsia="Times New Roman" w:hAnsi="Times New Roman" w:cs="Times New Roman"/>
          <w:b/>
          <w:bCs/>
          <w:i/>
          <w:iCs/>
          <w:sz w:val="20"/>
          <w:szCs w:val="20"/>
          <w:lang w:val="uk-UA" w:eastAsia="ru-RU"/>
        </w:rPr>
        <w:t>(</w:t>
      </w:r>
      <w:proofErr w:type="spellStart"/>
      <w:r w:rsidRPr="006F0C6B">
        <w:rPr>
          <w:rFonts w:ascii="Times New Roman" w:eastAsia="Times New Roman" w:hAnsi="Times New Roman" w:cs="Times New Roman"/>
          <w:b/>
          <w:bCs/>
          <w:i/>
          <w:iCs/>
          <w:sz w:val="20"/>
          <w:szCs w:val="20"/>
          <w:lang w:val="uk-UA" w:eastAsia="ru-RU"/>
        </w:rPr>
        <w:t>токенах</w:t>
      </w:r>
      <w:proofErr w:type="spellEnd"/>
      <w:r w:rsidRPr="006F0C6B">
        <w:rPr>
          <w:rFonts w:ascii="Times New Roman" w:eastAsia="Times New Roman" w:hAnsi="Times New Roman" w:cs="Times New Roman"/>
          <w:b/>
          <w:bCs/>
          <w:i/>
          <w:iCs/>
          <w:sz w:val="20"/>
          <w:szCs w:val="20"/>
          <w:lang w:val="uk-UA" w:eastAsia="ru-RU"/>
        </w:rPr>
        <w:t>)</w:t>
      </w:r>
      <w:r w:rsidRPr="006F0C6B">
        <w:rPr>
          <w:rFonts w:ascii="Times New Roman" w:eastAsia="Times New Roman" w:hAnsi="Times New Roman" w:cs="Times New Roman"/>
          <w:sz w:val="20"/>
          <w:szCs w:val="20"/>
          <w:lang w:val="uk-UA" w:eastAsia="ru-RU"/>
        </w:rPr>
        <w:t xml:space="preserve"> зобов’язані наступні суб’єкти: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 представники органів державної влади;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 представники органів місцевого самоврядування;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 працівників державних установ, підприємств, організацій;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 нотаріуси; </w:t>
      </w:r>
    </w:p>
    <w:p w:rsid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 державні реєстратори та суб’єкти, що виконують їхні обов’язки згідно з уповноваженням держави. </w:t>
      </w:r>
    </w:p>
    <w:p w:rsidR="006F0C6B" w:rsidRPr="006F0C6B" w:rsidRDefault="006F0C6B" w:rsidP="006F0C6B">
      <w:pPr>
        <w:rPr>
          <w:rFonts w:ascii="Times New Roman" w:eastAsia="Times New Roman" w:hAnsi="Times New Roman" w:cs="Times New Roman"/>
          <w:sz w:val="20"/>
          <w:szCs w:val="20"/>
          <w:lang w:val="uk-UA" w:eastAsia="ru-RU"/>
        </w:rPr>
      </w:pPr>
    </w:p>
    <w:p w:rsidR="006F0C6B" w:rsidRPr="006F0C6B" w:rsidRDefault="006F0C6B" w:rsidP="006F0C6B">
      <w:pPr>
        <w:pStyle w:val="1"/>
        <w:spacing w:before="0" w:beforeAutospacing="0" w:after="0" w:afterAutospacing="0"/>
        <w:jc w:val="both"/>
        <w:rPr>
          <w:sz w:val="20"/>
          <w:szCs w:val="20"/>
          <w:lang w:val="uk-UA"/>
        </w:rPr>
      </w:pPr>
      <w:r w:rsidRPr="006F0C6B">
        <w:rPr>
          <w:sz w:val="20"/>
          <w:szCs w:val="20"/>
          <w:lang w:val="uk-UA"/>
        </w:rPr>
        <w:t xml:space="preserve">Використання програмних РРО має переваги перед класичними </w:t>
      </w:r>
    </w:p>
    <w:p w:rsidR="006F0C6B" w:rsidRPr="006F0C6B" w:rsidRDefault="006F0C6B" w:rsidP="006F0C6B">
      <w:pPr>
        <w:pStyle w:val="a3"/>
        <w:spacing w:before="0" w:beforeAutospacing="0" w:after="0" w:afterAutospacing="0"/>
        <w:jc w:val="both"/>
        <w:rPr>
          <w:sz w:val="20"/>
          <w:szCs w:val="20"/>
          <w:lang w:val="uk-UA"/>
        </w:rPr>
      </w:pPr>
      <w:r>
        <w:rPr>
          <w:sz w:val="20"/>
          <w:szCs w:val="20"/>
          <w:lang w:val="uk-UA"/>
        </w:rPr>
        <w:t>З</w:t>
      </w:r>
      <w:r w:rsidRPr="006F0C6B">
        <w:rPr>
          <w:sz w:val="20"/>
          <w:szCs w:val="20"/>
          <w:lang w:val="uk-UA"/>
        </w:rPr>
        <w:t>вертає</w:t>
      </w:r>
      <w:r>
        <w:rPr>
          <w:sz w:val="20"/>
          <w:szCs w:val="20"/>
          <w:lang w:val="uk-UA"/>
        </w:rPr>
        <w:t>мо</w:t>
      </w:r>
      <w:r w:rsidRPr="006F0C6B">
        <w:rPr>
          <w:sz w:val="20"/>
          <w:szCs w:val="20"/>
          <w:lang w:val="uk-UA"/>
        </w:rPr>
        <w:t xml:space="preserve"> увагу, що з 01.08.2020 суб’єкти господарювання можуть здійснювати готівкові розрахунки із споживачами застосовуючи програмні реєстратори розрахункових операцій (далі – програмний РРО). </w:t>
      </w:r>
    </w:p>
    <w:p w:rsidR="006F0C6B" w:rsidRPr="006F0C6B" w:rsidRDefault="006F0C6B" w:rsidP="006F0C6B">
      <w:pPr>
        <w:pStyle w:val="a3"/>
        <w:spacing w:before="0" w:beforeAutospacing="0" w:after="0" w:afterAutospacing="0"/>
        <w:jc w:val="both"/>
        <w:rPr>
          <w:sz w:val="20"/>
          <w:szCs w:val="20"/>
          <w:lang w:val="uk-UA"/>
        </w:rPr>
      </w:pPr>
      <w:r w:rsidRPr="006F0C6B">
        <w:rPr>
          <w:sz w:val="20"/>
          <w:szCs w:val="20"/>
          <w:lang w:val="uk-UA"/>
        </w:rPr>
        <w:t xml:space="preserve">Програмне забезпечення, яке фактично є програмним РРО, можна безкоштовно скачати з сайту ДПС і встановити на свій пристрій. Безкоштовною є не тільки сама програма, але і її підтримка. Допомогу з питань реєстрації та застосування ПРРО можна отримати в Центрах обслуговування платників. </w:t>
      </w:r>
    </w:p>
    <w:p w:rsidR="006F0C6B" w:rsidRPr="006F0C6B" w:rsidRDefault="006F0C6B" w:rsidP="006F0C6B">
      <w:pPr>
        <w:pStyle w:val="a3"/>
        <w:spacing w:before="0" w:beforeAutospacing="0" w:after="0" w:afterAutospacing="0"/>
        <w:jc w:val="both"/>
        <w:rPr>
          <w:sz w:val="20"/>
          <w:szCs w:val="20"/>
          <w:lang w:val="uk-UA"/>
        </w:rPr>
      </w:pPr>
      <w:r w:rsidRPr="006F0C6B">
        <w:rPr>
          <w:sz w:val="20"/>
          <w:szCs w:val="20"/>
          <w:lang w:val="uk-UA"/>
        </w:rPr>
        <w:t xml:space="preserve">Використання програмних РРО мають переваги перед класичними РРО, а саме: </w:t>
      </w:r>
    </w:p>
    <w:p w:rsidR="006F0C6B" w:rsidRPr="006F0C6B" w:rsidRDefault="006F0C6B" w:rsidP="006F0C6B">
      <w:pPr>
        <w:pStyle w:val="a3"/>
        <w:spacing w:before="0" w:beforeAutospacing="0" w:after="0" w:afterAutospacing="0"/>
        <w:jc w:val="both"/>
        <w:rPr>
          <w:sz w:val="20"/>
          <w:szCs w:val="20"/>
          <w:lang w:val="uk-UA"/>
        </w:rPr>
      </w:pPr>
      <w:r w:rsidRPr="006F0C6B">
        <w:rPr>
          <w:sz w:val="20"/>
          <w:szCs w:val="20"/>
          <w:lang w:val="uk-UA"/>
        </w:rPr>
        <w:t xml:space="preserve">► за допомогою різних </w:t>
      </w:r>
      <w:proofErr w:type="spellStart"/>
      <w:r w:rsidRPr="006F0C6B">
        <w:rPr>
          <w:sz w:val="20"/>
          <w:szCs w:val="20"/>
          <w:lang w:val="uk-UA"/>
        </w:rPr>
        <w:t>гаджетів</w:t>
      </w:r>
      <w:proofErr w:type="spellEnd"/>
      <w:r w:rsidRPr="006F0C6B">
        <w:rPr>
          <w:sz w:val="20"/>
          <w:szCs w:val="20"/>
          <w:lang w:val="uk-UA"/>
        </w:rPr>
        <w:t xml:space="preserve"> (програмне забезпечення можна скачати на </w:t>
      </w:r>
      <w:proofErr w:type="spellStart"/>
      <w:r w:rsidRPr="006F0C6B">
        <w:rPr>
          <w:sz w:val="20"/>
          <w:szCs w:val="20"/>
          <w:lang w:val="uk-UA"/>
        </w:rPr>
        <w:t>смартфон</w:t>
      </w:r>
      <w:proofErr w:type="spellEnd"/>
      <w:r w:rsidRPr="006F0C6B">
        <w:rPr>
          <w:sz w:val="20"/>
          <w:szCs w:val="20"/>
          <w:lang w:val="uk-UA"/>
        </w:rPr>
        <w:t xml:space="preserve">, планшет, комп’ютер тощо); </w:t>
      </w:r>
    </w:p>
    <w:p w:rsidR="006F0C6B" w:rsidRPr="006F0C6B" w:rsidRDefault="006F0C6B" w:rsidP="006F0C6B">
      <w:pPr>
        <w:pStyle w:val="a3"/>
        <w:spacing w:before="0" w:beforeAutospacing="0" w:after="0" w:afterAutospacing="0"/>
        <w:jc w:val="both"/>
        <w:rPr>
          <w:sz w:val="20"/>
          <w:szCs w:val="20"/>
          <w:lang w:val="uk-UA"/>
        </w:rPr>
      </w:pPr>
      <w:r w:rsidRPr="006F0C6B">
        <w:rPr>
          <w:sz w:val="20"/>
          <w:szCs w:val="20"/>
          <w:lang w:val="uk-UA"/>
        </w:rPr>
        <w:t xml:space="preserve">► швидка та зручна реєстрація програмного РРО через Електронний кабінет; </w:t>
      </w:r>
    </w:p>
    <w:p w:rsidR="006F0C6B" w:rsidRPr="006F0C6B" w:rsidRDefault="006F0C6B" w:rsidP="006F0C6B">
      <w:pPr>
        <w:pStyle w:val="a3"/>
        <w:spacing w:before="0" w:beforeAutospacing="0" w:after="0" w:afterAutospacing="0"/>
        <w:jc w:val="both"/>
        <w:rPr>
          <w:sz w:val="20"/>
          <w:szCs w:val="20"/>
          <w:lang w:val="uk-UA"/>
        </w:rPr>
      </w:pPr>
      <w:r w:rsidRPr="006F0C6B">
        <w:rPr>
          <w:sz w:val="20"/>
          <w:szCs w:val="20"/>
          <w:lang w:val="uk-UA"/>
        </w:rPr>
        <w:t>► можливість використання режиму «</w:t>
      </w:r>
      <w:proofErr w:type="spellStart"/>
      <w:r w:rsidRPr="006F0C6B">
        <w:rPr>
          <w:sz w:val="20"/>
          <w:szCs w:val="20"/>
          <w:lang w:val="uk-UA"/>
        </w:rPr>
        <w:t>офлайн</w:t>
      </w:r>
      <w:proofErr w:type="spellEnd"/>
      <w:r w:rsidRPr="006F0C6B">
        <w:rPr>
          <w:sz w:val="20"/>
          <w:szCs w:val="20"/>
          <w:lang w:val="uk-UA"/>
        </w:rPr>
        <w:t xml:space="preserve">»; </w:t>
      </w:r>
    </w:p>
    <w:p w:rsidR="006F0C6B" w:rsidRPr="006F0C6B" w:rsidRDefault="006F0C6B" w:rsidP="006F0C6B">
      <w:pPr>
        <w:pStyle w:val="a3"/>
        <w:spacing w:before="0" w:beforeAutospacing="0" w:after="0" w:afterAutospacing="0"/>
        <w:jc w:val="both"/>
        <w:rPr>
          <w:sz w:val="20"/>
          <w:szCs w:val="20"/>
          <w:lang w:val="uk-UA"/>
        </w:rPr>
      </w:pPr>
      <w:r w:rsidRPr="006F0C6B">
        <w:rPr>
          <w:sz w:val="20"/>
          <w:szCs w:val="20"/>
          <w:lang w:val="uk-UA"/>
        </w:rPr>
        <w:t xml:space="preserve">► відсутність необхідності ведення книг обліку розрахункових операцій; </w:t>
      </w:r>
    </w:p>
    <w:p w:rsidR="006F0C6B" w:rsidRPr="006F0C6B" w:rsidRDefault="006F0C6B" w:rsidP="006F0C6B">
      <w:pPr>
        <w:pStyle w:val="a3"/>
        <w:spacing w:before="0" w:beforeAutospacing="0" w:after="0" w:afterAutospacing="0"/>
        <w:jc w:val="both"/>
        <w:rPr>
          <w:sz w:val="20"/>
          <w:szCs w:val="20"/>
          <w:lang w:val="uk-UA"/>
        </w:rPr>
      </w:pPr>
      <w:r w:rsidRPr="006F0C6B">
        <w:rPr>
          <w:sz w:val="20"/>
          <w:szCs w:val="20"/>
          <w:lang w:val="uk-UA"/>
        </w:rPr>
        <w:t xml:space="preserve">► електронні чеки замість паперових. </w:t>
      </w:r>
    </w:p>
    <w:p w:rsidR="006F0C6B" w:rsidRPr="006F0C6B" w:rsidRDefault="006F0C6B" w:rsidP="006F0C6B">
      <w:pPr>
        <w:pStyle w:val="a3"/>
        <w:spacing w:before="0" w:beforeAutospacing="0" w:after="0" w:afterAutospacing="0"/>
        <w:jc w:val="both"/>
        <w:rPr>
          <w:sz w:val="20"/>
          <w:szCs w:val="20"/>
          <w:lang w:val="uk-UA"/>
        </w:rPr>
      </w:pPr>
      <w:r w:rsidRPr="006F0C6B">
        <w:rPr>
          <w:sz w:val="20"/>
          <w:szCs w:val="20"/>
          <w:lang w:val="uk-UA"/>
        </w:rPr>
        <w:t xml:space="preserve">Нагадуємо, що Інструкції з встановлення та налаштування програмного РРО розміщено за посиланнями: </w:t>
      </w:r>
    </w:p>
    <w:p w:rsidR="006F0C6B" w:rsidRPr="006F0C6B" w:rsidRDefault="00645FA5" w:rsidP="006F0C6B">
      <w:pPr>
        <w:pStyle w:val="a3"/>
        <w:spacing w:before="0" w:beforeAutospacing="0" w:after="0" w:afterAutospacing="0"/>
        <w:jc w:val="both"/>
        <w:rPr>
          <w:sz w:val="20"/>
          <w:szCs w:val="20"/>
          <w:lang w:val="uk-UA"/>
        </w:rPr>
      </w:pPr>
      <w:hyperlink r:id="rId6" w:tgtFrame="_blank" w:history="1">
        <w:r w:rsidR="006F0C6B" w:rsidRPr="006F0C6B">
          <w:rPr>
            <w:rStyle w:val="a4"/>
            <w:b/>
            <w:bCs/>
            <w:sz w:val="20"/>
            <w:szCs w:val="20"/>
            <w:lang w:val="uk-UA"/>
          </w:rPr>
          <w:t>https://tax.gov.ua/baneryi/programni-rro/programniy-reestrator-rozrahunkovih-operatsiy/programniy-reestrator-rozrahunkovih-operatsiy-/</w:t>
        </w:r>
      </w:hyperlink>
      <w:r w:rsidR="006F0C6B" w:rsidRPr="006F0C6B">
        <w:rPr>
          <w:sz w:val="20"/>
          <w:szCs w:val="20"/>
          <w:lang w:val="uk-UA"/>
        </w:rPr>
        <w:t xml:space="preserve"> </w:t>
      </w:r>
    </w:p>
    <w:p w:rsidR="006F0C6B" w:rsidRPr="006F0C6B" w:rsidRDefault="00645FA5" w:rsidP="006F0C6B">
      <w:pPr>
        <w:pStyle w:val="a3"/>
        <w:spacing w:before="0" w:beforeAutospacing="0" w:after="0" w:afterAutospacing="0"/>
        <w:jc w:val="both"/>
        <w:rPr>
          <w:sz w:val="20"/>
          <w:szCs w:val="20"/>
          <w:lang w:val="uk-UA"/>
        </w:rPr>
      </w:pPr>
      <w:hyperlink r:id="rId7" w:tgtFrame="_blank" w:history="1">
        <w:r w:rsidR="006F0C6B" w:rsidRPr="006F0C6B">
          <w:rPr>
            <w:rStyle w:val="a4"/>
            <w:b/>
            <w:bCs/>
            <w:sz w:val="20"/>
            <w:szCs w:val="20"/>
            <w:lang w:val="uk-UA"/>
          </w:rPr>
          <w:t>https://tax.gov.ua/baneryi/programni-rro/programniy-reestrator-rozrahunkovih-operatsiy/fiskalniy-dodatok-prrosto/</w:t>
        </w:r>
      </w:hyperlink>
      <w:r w:rsidR="006F0C6B" w:rsidRPr="006F0C6B">
        <w:rPr>
          <w:sz w:val="20"/>
          <w:szCs w:val="20"/>
          <w:lang w:val="uk-UA"/>
        </w:rPr>
        <w:t xml:space="preserve"> </w:t>
      </w:r>
    </w:p>
    <w:p w:rsidR="006F0C6B" w:rsidRPr="006F0C6B" w:rsidRDefault="006F0C6B" w:rsidP="006F0C6B">
      <w:pPr>
        <w:pStyle w:val="a3"/>
        <w:spacing w:before="0" w:beforeAutospacing="0" w:after="0" w:afterAutospacing="0"/>
        <w:jc w:val="both"/>
        <w:rPr>
          <w:sz w:val="20"/>
          <w:szCs w:val="20"/>
          <w:lang w:val="uk-UA"/>
        </w:rPr>
      </w:pPr>
      <w:r w:rsidRPr="006F0C6B">
        <w:rPr>
          <w:sz w:val="20"/>
          <w:szCs w:val="20"/>
          <w:lang w:val="uk-UA"/>
        </w:rPr>
        <w:t xml:space="preserve">Інструкції щодо заповнення реєстраційної форми та повідомлення про  надання інформації щодо кваліфікованого сертифіката відкритого ключа розміщено за посиланням </w:t>
      </w:r>
    </w:p>
    <w:p w:rsidR="006F0C6B" w:rsidRDefault="00645FA5" w:rsidP="006F0C6B">
      <w:pPr>
        <w:pStyle w:val="a3"/>
        <w:spacing w:before="0" w:beforeAutospacing="0" w:after="0" w:afterAutospacing="0"/>
        <w:jc w:val="both"/>
        <w:rPr>
          <w:sz w:val="20"/>
          <w:szCs w:val="20"/>
          <w:lang w:val="uk-UA"/>
        </w:rPr>
      </w:pPr>
      <w:hyperlink r:id="rId8" w:tgtFrame="_blank" w:history="1">
        <w:r w:rsidR="006F0C6B" w:rsidRPr="006F0C6B">
          <w:rPr>
            <w:rStyle w:val="a4"/>
            <w:b/>
            <w:bCs/>
            <w:sz w:val="20"/>
            <w:szCs w:val="20"/>
            <w:lang w:val="uk-UA"/>
          </w:rPr>
          <w:t>https://tax.gov.ua/baneryi/programni-rro/formi-prro/instruktsii-schodo-zapovnennya-form/</w:t>
        </w:r>
      </w:hyperlink>
      <w:r w:rsidR="006F0C6B" w:rsidRPr="006F0C6B">
        <w:rPr>
          <w:sz w:val="20"/>
          <w:szCs w:val="20"/>
          <w:lang w:val="uk-UA"/>
        </w:rPr>
        <w:t xml:space="preserve"> </w:t>
      </w:r>
    </w:p>
    <w:p w:rsidR="006F0C6B" w:rsidRPr="006F0C6B" w:rsidRDefault="006F0C6B" w:rsidP="006F0C6B">
      <w:pPr>
        <w:pStyle w:val="a3"/>
        <w:spacing w:before="0" w:beforeAutospacing="0" w:after="0" w:afterAutospacing="0"/>
        <w:jc w:val="both"/>
        <w:rPr>
          <w:sz w:val="20"/>
          <w:szCs w:val="20"/>
          <w:lang w:val="uk-UA"/>
        </w:rPr>
      </w:pPr>
    </w:p>
    <w:p w:rsidR="006F0C6B" w:rsidRPr="006F0C6B" w:rsidRDefault="006F0C6B" w:rsidP="006F0C6B">
      <w:pPr>
        <w:outlineLvl w:val="0"/>
        <w:rPr>
          <w:rFonts w:ascii="Times New Roman" w:eastAsia="Times New Roman" w:hAnsi="Times New Roman" w:cs="Times New Roman"/>
          <w:b/>
          <w:bCs/>
          <w:kern w:val="36"/>
          <w:sz w:val="20"/>
          <w:szCs w:val="20"/>
          <w:lang w:val="uk-UA" w:eastAsia="ru-RU"/>
        </w:rPr>
      </w:pPr>
      <w:r w:rsidRPr="006F0C6B">
        <w:rPr>
          <w:rFonts w:ascii="Times New Roman" w:eastAsia="Times New Roman" w:hAnsi="Times New Roman" w:cs="Times New Roman"/>
          <w:b/>
          <w:bCs/>
          <w:kern w:val="36"/>
          <w:sz w:val="20"/>
          <w:szCs w:val="20"/>
          <w:lang w:val="uk-UA" w:eastAsia="ru-RU"/>
        </w:rPr>
        <w:t xml:space="preserve">Про зміну особистих даних необхідно повідомити контролюючий орган </w:t>
      </w:r>
    </w:p>
    <w:p w:rsidR="006F0C6B" w:rsidRPr="006F0C6B" w:rsidRDefault="006F0C6B" w:rsidP="006F0C6B">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6F0C6B">
        <w:rPr>
          <w:rFonts w:ascii="Times New Roman" w:eastAsia="Times New Roman" w:hAnsi="Times New Roman" w:cs="Times New Roman"/>
          <w:sz w:val="20"/>
          <w:szCs w:val="20"/>
          <w:lang w:val="uk-UA" w:eastAsia="ru-RU"/>
        </w:rPr>
        <w:t>агадує</w:t>
      </w:r>
      <w:r>
        <w:rPr>
          <w:rFonts w:ascii="Times New Roman" w:eastAsia="Times New Roman" w:hAnsi="Times New Roman" w:cs="Times New Roman"/>
          <w:sz w:val="20"/>
          <w:szCs w:val="20"/>
          <w:lang w:val="uk-UA" w:eastAsia="ru-RU"/>
        </w:rPr>
        <w:t>мо</w:t>
      </w:r>
      <w:r w:rsidRPr="006F0C6B">
        <w:rPr>
          <w:rFonts w:ascii="Times New Roman" w:eastAsia="Times New Roman" w:hAnsi="Times New Roman" w:cs="Times New Roman"/>
          <w:sz w:val="20"/>
          <w:szCs w:val="20"/>
          <w:lang w:val="uk-UA" w:eastAsia="ru-RU"/>
        </w:rPr>
        <w:t xml:space="preserve">, що фізичні особи – платники податків у разі зміни особистих даних, а саме: місця проживання (податкової адреси), прізвища, імені, по батькові, тощо, зобов’язані інформувати контролюючі органи.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Про зміну таких даних, фізичні особи повідомляють податкову шляхом подання Заяви про внесення змін до Державного реєстру фізичних осіб – платників податків (форма № 5 ДР) або Заяви про внесення змін до окремого реєстру Державного реєстру фізичних осіб – платників податків щодо фізичних осіб, які обліковуються за серією та/або номером паспорта (форма № 5 ДРП).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Заява за ф. № 5ДР або Заява за ф. № 5ДРП подається особисто або через представника до контролюючого органу за своєю податковою адресою (місцем проживання), а у разі зміни місця проживання – до контролюючого органу за новим місцем проживання. Фізичні особи, які тимчасово перебувають за межами населеного пункту проживання, подають зазначені заяви особисто або через представника до будь-якого контролюючого органу.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Крім того, фізичні особи, які отримали електронний цифровий підпис, можуть повідомити податкові органи про зміну особистих даних, скориставшись сервісом ДПС України Електронний кабінет. </w:t>
      </w:r>
    </w:p>
    <w:p w:rsidR="006F0C6B" w:rsidRDefault="006F0C6B" w:rsidP="006F0C6B">
      <w:pPr>
        <w:rPr>
          <w:rFonts w:ascii="Times New Roman" w:eastAsia="Times New Roman" w:hAnsi="Times New Roman" w:cs="Times New Roman"/>
          <w:sz w:val="20"/>
          <w:szCs w:val="20"/>
          <w:lang w:val="uk-UA" w:eastAsia="ru-RU"/>
        </w:rPr>
      </w:pPr>
      <w:proofErr w:type="spellStart"/>
      <w:r w:rsidRPr="006F0C6B">
        <w:rPr>
          <w:rFonts w:ascii="Times New Roman" w:eastAsia="Times New Roman" w:hAnsi="Times New Roman" w:cs="Times New Roman"/>
          <w:b/>
          <w:bCs/>
          <w:i/>
          <w:iCs/>
          <w:sz w:val="20"/>
          <w:szCs w:val="20"/>
          <w:lang w:val="uk-UA" w:eastAsia="ru-RU"/>
        </w:rPr>
        <w:t>Довідково</w:t>
      </w:r>
      <w:proofErr w:type="spellEnd"/>
      <w:r w:rsidRPr="006F0C6B">
        <w:rPr>
          <w:rFonts w:ascii="Times New Roman" w:eastAsia="Times New Roman" w:hAnsi="Times New Roman" w:cs="Times New Roman"/>
          <w:b/>
          <w:bCs/>
          <w:i/>
          <w:iCs/>
          <w:sz w:val="20"/>
          <w:szCs w:val="20"/>
          <w:lang w:val="uk-UA" w:eastAsia="ru-RU"/>
        </w:rPr>
        <w:t>:</w:t>
      </w:r>
      <w:r w:rsidRPr="006F0C6B">
        <w:rPr>
          <w:rFonts w:ascii="Times New Roman" w:eastAsia="Times New Roman" w:hAnsi="Times New Roman" w:cs="Times New Roman"/>
          <w:sz w:val="20"/>
          <w:szCs w:val="20"/>
          <w:lang w:val="uk-UA" w:eastAsia="ru-RU"/>
        </w:rPr>
        <w:t xml:space="preserve"> податковою адресою фізичної особи – платника податків визнається місце її проживання, за яким вона береться на облік як платник податків у контролюючому органі (п. 45.1 ст. 45 Податкового кодексу України). </w:t>
      </w:r>
    </w:p>
    <w:p w:rsidR="006F0C6B" w:rsidRPr="006F0C6B" w:rsidRDefault="006F0C6B" w:rsidP="006F0C6B">
      <w:pPr>
        <w:rPr>
          <w:rFonts w:ascii="Times New Roman" w:eastAsia="Times New Roman" w:hAnsi="Times New Roman" w:cs="Times New Roman"/>
          <w:sz w:val="20"/>
          <w:szCs w:val="20"/>
          <w:lang w:val="uk-UA" w:eastAsia="ru-RU"/>
        </w:rPr>
      </w:pPr>
    </w:p>
    <w:p w:rsidR="006F0C6B" w:rsidRPr="006F0C6B" w:rsidRDefault="006F0C6B" w:rsidP="006F0C6B">
      <w:pPr>
        <w:outlineLvl w:val="0"/>
        <w:rPr>
          <w:rFonts w:ascii="Times New Roman" w:eastAsia="Times New Roman" w:hAnsi="Times New Roman" w:cs="Times New Roman"/>
          <w:b/>
          <w:bCs/>
          <w:kern w:val="36"/>
          <w:sz w:val="20"/>
          <w:szCs w:val="20"/>
          <w:lang w:val="uk-UA" w:eastAsia="ru-RU"/>
        </w:rPr>
      </w:pPr>
      <w:r w:rsidRPr="006F0C6B">
        <w:rPr>
          <w:rFonts w:ascii="Times New Roman" w:eastAsia="Times New Roman" w:hAnsi="Times New Roman" w:cs="Times New Roman"/>
          <w:b/>
          <w:bCs/>
          <w:kern w:val="36"/>
          <w:sz w:val="20"/>
          <w:szCs w:val="20"/>
          <w:lang w:val="uk-UA" w:eastAsia="ru-RU"/>
        </w:rPr>
        <w:t xml:space="preserve">Електронний кабінет – сервіс ДПС для отримання послуг в режимі он-лайн </w:t>
      </w:r>
    </w:p>
    <w:p w:rsidR="006F0C6B" w:rsidRPr="006F0C6B" w:rsidRDefault="006F0C6B" w:rsidP="006F0C6B">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w:t>
      </w:r>
      <w:r w:rsidRPr="006F0C6B">
        <w:rPr>
          <w:rFonts w:ascii="Times New Roman" w:eastAsia="Times New Roman" w:hAnsi="Times New Roman" w:cs="Times New Roman"/>
          <w:sz w:val="20"/>
          <w:szCs w:val="20"/>
          <w:lang w:val="uk-UA" w:eastAsia="ru-RU"/>
        </w:rPr>
        <w:t>овідомляє</w:t>
      </w:r>
      <w:r>
        <w:rPr>
          <w:rFonts w:ascii="Times New Roman" w:eastAsia="Times New Roman" w:hAnsi="Times New Roman" w:cs="Times New Roman"/>
          <w:sz w:val="20"/>
          <w:szCs w:val="20"/>
          <w:lang w:val="uk-UA" w:eastAsia="ru-RU"/>
        </w:rPr>
        <w:t>мо</w:t>
      </w:r>
      <w:r w:rsidRPr="006F0C6B">
        <w:rPr>
          <w:rFonts w:ascii="Times New Roman" w:eastAsia="Times New Roman" w:hAnsi="Times New Roman" w:cs="Times New Roman"/>
          <w:sz w:val="20"/>
          <w:szCs w:val="20"/>
          <w:lang w:val="uk-UA" w:eastAsia="ru-RU"/>
        </w:rPr>
        <w:t xml:space="preserve">, що доступ до відкритої (загальнодоступної) частини Електронного кабінету мають усі користувачі без використання електронних довірчих послуг.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Доступ до приватної частини (особистого кабінету) надається користувачам після проходження електронної ідентифікації за допомогою інтегрованої системи електронної ідентифікації та відповідно до вимог Закону України «Про електронні довірчі послуги»,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затвердженого постановою Кабінету Міністрів України від 19 вересня 2018 року № 749.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Відкрита (загальнодоступна) частина Електронного кабінету забезпечує можливість отримання користувачем інформації, яка відповідно до законодавства є відкритою та підлягає оприлюдненню.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lastRenderedPageBreak/>
        <w:t>Приватна частина (особистий кабінет) Електронного кабінету забезпечує надання платнику податків послуг, перелік яких визначено пунктом 42</w:t>
      </w:r>
      <w:r w:rsidRPr="006F0C6B">
        <w:rPr>
          <w:rFonts w:ascii="Times New Roman" w:eastAsia="Times New Roman" w:hAnsi="Times New Roman" w:cs="Times New Roman"/>
          <w:b/>
          <w:bCs/>
          <w:sz w:val="20"/>
          <w:szCs w:val="20"/>
          <w:vertAlign w:val="superscript"/>
          <w:lang w:val="uk-UA" w:eastAsia="ru-RU"/>
        </w:rPr>
        <w:t>1</w:t>
      </w:r>
      <w:r w:rsidRPr="006F0C6B">
        <w:rPr>
          <w:rFonts w:ascii="Times New Roman" w:eastAsia="Times New Roman" w:hAnsi="Times New Roman" w:cs="Times New Roman"/>
          <w:sz w:val="20"/>
          <w:szCs w:val="20"/>
          <w:lang w:val="uk-UA" w:eastAsia="ru-RU"/>
        </w:rPr>
        <w:t>.2 ст. 42</w:t>
      </w:r>
      <w:r w:rsidRPr="006F0C6B">
        <w:rPr>
          <w:rFonts w:ascii="Times New Roman" w:eastAsia="Times New Roman" w:hAnsi="Times New Roman" w:cs="Times New Roman"/>
          <w:b/>
          <w:bCs/>
          <w:sz w:val="20"/>
          <w:szCs w:val="20"/>
          <w:vertAlign w:val="superscript"/>
          <w:lang w:val="uk-UA" w:eastAsia="ru-RU"/>
        </w:rPr>
        <w:t>1</w:t>
      </w:r>
      <w:r w:rsidRPr="006F0C6B">
        <w:rPr>
          <w:rFonts w:ascii="Times New Roman" w:eastAsia="Times New Roman" w:hAnsi="Times New Roman" w:cs="Times New Roman"/>
          <w:sz w:val="20"/>
          <w:szCs w:val="20"/>
          <w:lang w:val="uk-UA" w:eastAsia="ru-RU"/>
        </w:rPr>
        <w:t xml:space="preserve"> глави 1 розділу II Податкового кодексу України (далі – ПКУ). Усі подані платником податків документи, звернення, заяви, листи відображаються у приватній частині (особистому кабінеті) Електронного кабінету та завантажуються до інформаційних ресурсів ДПС.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Користувачами Електронного кабінету є: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 </w:t>
      </w:r>
      <w:r w:rsidRPr="006F0C6B">
        <w:rPr>
          <w:rFonts w:ascii="Times New Roman" w:eastAsia="Times New Roman" w:hAnsi="Times New Roman" w:cs="Times New Roman"/>
          <w:i/>
          <w:iCs/>
          <w:sz w:val="20"/>
          <w:szCs w:val="20"/>
          <w:lang w:val="uk-UA" w:eastAsia="ru-RU"/>
        </w:rPr>
        <w:t>відкритої частини:</w:t>
      </w:r>
      <w:r w:rsidRPr="006F0C6B">
        <w:rPr>
          <w:rFonts w:ascii="Times New Roman" w:eastAsia="Times New Roman" w:hAnsi="Times New Roman" w:cs="Times New Roman"/>
          <w:sz w:val="20"/>
          <w:szCs w:val="20"/>
          <w:lang w:val="uk-UA" w:eastAsia="ru-RU"/>
        </w:rPr>
        <w:t xml:space="preserve">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 фізичні та юридичні особи, які мають вільний доступ до мережі Інтернет;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 </w:t>
      </w:r>
      <w:r w:rsidRPr="006F0C6B">
        <w:rPr>
          <w:rFonts w:ascii="Times New Roman" w:eastAsia="Times New Roman" w:hAnsi="Times New Roman" w:cs="Times New Roman"/>
          <w:i/>
          <w:iCs/>
          <w:sz w:val="20"/>
          <w:szCs w:val="20"/>
          <w:lang w:val="uk-UA" w:eastAsia="ru-RU"/>
        </w:rPr>
        <w:t>приватної частини (особистого кабінету):</w:t>
      </w:r>
      <w:r w:rsidRPr="006F0C6B">
        <w:rPr>
          <w:rFonts w:ascii="Times New Roman" w:eastAsia="Times New Roman" w:hAnsi="Times New Roman" w:cs="Times New Roman"/>
          <w:sz w:val="20"/>
          <w:szCs w:val="20"/>
          <w:lang w:val="uk-UA" w:eastAsia="ru-RU"/>
        </w:rPr>
        <w:t xml:space="preserve">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 платники податків, які здійснили вхід після проходження електронної ідентифікації за допомогою інтегрованої системи електронної ідентифікації та відповідно до вимог Закону України «Про електронні довірчі послуги»;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 уповноважені посадові особи державних органів, визначених відповідно до спільних наказів, укладених договорів (угод, протоколів) про інформаційну взаємодію між ДФС та державними органами, які здійснили вхід після проходження електронної ідентифікації за допомогою інтегрованої системи електронної ідентифікації та відповідно до вимог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затвердженого постановою Кабінету Міністрів України від 19 вересня 2018 року № 749 (далі – уповноважені особи).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Для забезпечення взаємодії з контролюючими органами засобами Електронного кабінету користувачі безпосередньо або через відповідальних осіб такого користувача (директор/бухгалтер/ особа, яка має право підпису) здійснюють вхід шляхом авторизації такого користувача.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Платник податків під час проходження електронної ідентифікації зазначає свою електронну адресу, підтверджує правильність своїх ідентифікаційних даних та визначає спосіб взаємодії з контролюючими органами.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За достовірність відомостей, зазначених під час електронної ідентифікації, відповідає користувач.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Після електронної ідентифікації особи платник податків має право доступу до приватної частини (особистого кабінету) Електронного кабінету, яка є індивідуальною персоніфікованою </w:t>
      </w:r>
      <w:proofErr w:type="spellStart"/>
      <w:r w:rsidRPr="006F0C6B">
        <w:rPr>
          <w:rFonts w:ascii="Times New Roman" w:eastAsia="Times New Roman" w:hAnsi="Times New Roman" w:cs="Times New Roman"/>
          <w:sz w:val="20"/>
          <w:szCs w:val="20"/>
          <w:lang w:val="uk-UA" w:eastAsia="ru-RU"/>
        </w:rPr>
        <w:t>веб-сторінкою</w:t>
      </w:r>
      <w:proofErr w:type="spellEnd"/>
      <w:r w:rsidRPr="006F0C6B">
        <w:rPr>
          <w:rFonts w:ascii="Times New Roman" w:eastAsia="Times New Roman" w:hAnsi="Times New Roman" w:cs="Times New Roman"/>
          <w:sz w:val="20"/>
          <w:szCs w:val="20"/>
          <w:lang w:val="uk-UA" w:eastAsia="ru-RU"/>
        </w:rPr>
        <w:t xml:space="preserve"> користувача.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Послуги засобами Електронного кабінету уповноваженим особам надаються виключно з метою виконання прав та обов’язків, покладених на державні органи відповідно до законодавства.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Надання послуг засобами Електронного кабінету уповноваженим особам здійснюється шляхом формування та направлення такими особами до ДПС запитів і надання відповідей на такі запити.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Перелік інформації, строки її надання, форми та електронні формати запитів (відповідей) визначаються ДПС спільно з державними органами (оформлюються угодами, протоколами в установленому законодавством порядку).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Для забезпечення контролю за роботою та адміністрування Електронного кабінету технічному адміністратору надається право перегляду журналу всіх дій (подій), що відбуваються в Електронному кабінеті, включаючи, зокрема, фіксацію дати і часу відправлення, отримання документів через Електронний кабінет та будь-якої зміни даних, доступних в Електронному кабінеті, за допомогою кваліфікованої електронної позначки часу.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Платникам податків та уповноваженим посадовим особам державних, у тому числі контролюючих, органів надається право перегляду журналу всіх дій (подій), що відбуваються у приватній частині Електронного кабінету (особистому кабінеті), включаючи, зокрема, фіксацію дати і часу відправлення, отримання документів через Електронний кабінет та будь-якої зміни даних, доступних в Електронному кабінеті, за допомогою кваліфікованої електронної позначки часу.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Платник податків має право в будь-який момент відмовитися від електронної форми взаємодії з контролюючим органом шляхом надіслання повідомлення про відмову через Електронний кабінет за формою заяви про припинення дії договору про визнання електронних документів згідно з додатком 3 до Порядку обміну електронними документами з контролюючими органами, затвердженого наказом Міністерства фінансів України від 06 червня 2017 року № 557, зареєстрованого в Міністерстві юстиції України 03 серпня 2017 року за № 959/30827. </w:t>
      </w:r>
    </w:p>
    <w:p w:rsid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Починаючи з дня, що настає за днем надіслання такого повідомлення, взаємодія платника податків з контролюючим органом в електронній формі припиняється і здійснюється в загальному порядку, встановленому ПКУ. </w:t>
      </w:r>
    </w:p>
    <w:p w:rsidR="006F0C6B" w:rsidRPr="006F0C6B" w:rsidRDefault="006F0C6B" w:rsidP="006F0C6B">
      <w:pPr>
        <w:rPr>
          <w:rFonts w:ascii="Times New Roman" w:eastAsia="Times New Roman" w:hAnsi="Times New Roman" w:cs="Times New Roman"/>
          <w:sz w:val="20"/>
          <w:szCs w:val="20"/>
          <w:lang w:val="uk-UA" w:eastAsia="ru-RU"/>
        </w:rPr>
      </w:pPr>
    </w:p>
    <w:p w:rsidR="006F0C6B" w:rsidRPr="006F0C6B" w:rsidRDefault="006F0C6B" w:rsidP="006F0C6B">
      <w:pPr>
        <w:outlineLvl w:val="0"/>
        <w:rPr>
          <w:rFonts w:ascii="Times New Roman" w:eastAsia="Times New Roman" w:hAnsi="Times New Roman" w:cs="Times New Roman"/>
          <w:b/>
          <w:bCs/>
          <w:kern w:val="36"/>
          <w:sz w:val="20"/>
          <w:szCs w:val="20"/>
          <w:lang w:val="uk-UA" w:eastAsia="ru-RU"/>
        </w:rPr>
      </w:pPr>
      <w:r w:rsidRPr="006F0C6B">
        <w:rPr>
          <w:rFonts w:ascii="Times New Roman" w:eastAsia="Times New Roman" w:hAnsi="Times New Roman" w:cs="Times New Roman"/>
          <w:b/>
          <w:bCs/>
          <w:kern w:val="36"/>
          <w:sz w:val="20"/>
          <w:szCs w:val="20"/>
          <w:lang w:val="uk-UA" w:eastAsia="ru-RU"/>
        </w:rPr>
        <w:t xml:space="preserve">Олексій Любченко обговорив актуальні питання з Українською Радою Бізнесу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Державна податкова служба України продовжує практику відкритого конструктивного діалогу з бізнес-спільнотою. Сьогодні відбулась </w:t>
      </w:r>
      <w:proofErr w:type="spellStart"/>
      <w:r w:rsidRPr="006F0C6B">
        <w:rPr>
          <w:rFonts w:ascii="Times New Roman" w:eastAsia="Times New Roman" w:hAnsi="Times New Roman" w:cs="Times New Roman"/>
          <w:sz w:val="20"/>
          <w:szCs w:val="20"/>
          <w:lang w:val="uk-UA" w:eastAsia="ru-RU"/>
        </w:rPr>
        <w:t>відеоконференція</w:t>
      </w:r>
      <w:proofErr w:type="spellEnd"/>
      <w:r w:rsidRPr="006F0C6B">
        <w:rPr>
          <w:rFonts w:ascii="Times New Roman" w:eastAsia="Times New Roman" w:hAnsi="Times New Roman" w:cs="Times New Roman"/>
          <w:sz w:val="20"/>
          <w:szCs w:val="20"/>
          <w:lang w:val="uk-UA" w:eastAsia="ru-RU"/>
        </w:rPr>
        <w:t xml:space="preserve"> за участі Голови ДПС Олексія Любченка, його заступників Наталії </w:t>
      </w:r>
      <w:proofErr w:type="spellStart"/>
      <w:r w:rsidRPr="006F0C6B">
        <w:rPr>
          <w:rFonts w:ascii="Times New Roman" w:eastAsia="Times New Roman" w:hAnsi="Times New Roman" w:cs="Times New Roman"/>
          <w:sz w:val="20"/>
          <w:szCs w:val="20"/>
          <w:lang w:val="uk-UA" w:eastAsia="ru-RU"/>
        </w:rPr>
        <w:t>Калєніченко</w:t>
      </w:r>
      <w:proofErr w:type="spellEnd"/>
      <w:r w:rsidRPr="006F0C6B">
        <w:rPr>
          <w:rFonts w:ascii="Times New Roman" w:eastAsia="Times New Roman" w:hAnsi="Times New Roman" w:cs="Times New Roman"/>
          <w:sz w:val="20"/>
          <w:szCs w:val="20"/>
          <w:lang w:val="uk-UA" w:eastAsia="ru-RU"/>
        </w:rPr>
        <w:t xml:space="preserve"> та Євгена </w:t>
      </w:r>
      <w:proofErr w:type="spellStart"/>
      <w:r w:rsidRPr="006F0C6B">
        <w:rPr>
          <w:rFonts w:ascii="Times New Roman" w:eastAsia="Times New Roman" w:hAnsi="Times New Roman" w:cs="Times New Roman"/>
          <w:sz w:val="20"/>
          <w:szCs w:val="20"/>
          <w:lang w:val="uk-UA" w:eastAsia="ru-RU"/>
        </w:rPr>
        <w:t>Олейнікова</w:t>
      </w:r>
      <w:proofErr w:type="spellEnd"/>
      <w:r w:rsidRPr="006F0C6B">
        <w:rPr>
          <w:rFonts w:ascii="Times New Roman" w:eastAsia="Times New Roman" w:hAnsi="Times New Roman" w:cs="Times New Roman"/>
          <w:sz w:val="20"/>
          <w:szCs w:val="20"/>
          <w:lang w:val="uk-UA" w:eastAsia="ru-RU"/>
        </w:rPr>
        <w:t xml:space="preserve">, керівників структурних підрозділів та представників 18 бізнес-асоціацій, які входять до складу Української Ради Бізнесу.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Під час заходу розглядалися, зокрема, питання сфери застосування реєстраторів розрахункових операцій, переваги та недоліки законопроектів  щодо змін у застосуванні РРО, результати впровадження програмних РРО, функціонування системи моніторингу ризиків при реєстрації податкових накладних/розрахунків коригування.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«Ми, як і бізнес, зацікавлені у тому, щоб всі працювали чесно та за єдиними правилами, у здійсненні дієвого контролю за розрахунковими операціями, захисті прав споживачів. Тому ДПС підтримує всі пропозиції, які будуть сприяти підвищенню комфортності ведення бізнесу, що неможливе без подальшої </w:t>
      </w:r>
      <w:proofErr w:type="spellStart"/>
      <w:r w:rsidRPr="006F0C6B">
        <w:rPr>
          <w:rFonts w:ascii="Times New Roman" w:eastAsia="Times New Roman" w:hAnsi="Times New Roman" w:cs="Times New Roman"/>
          <w:sz w:val="20"/>
          <w:szCs w:val="20"/>
          <w:lang w:val="uk-UA" w:eastAsia="ru-RU"/>
        </w:rPr>
        <w:t>детінізації</w:t>
      </w:r>
      <w:proofErr w:type="spellEnd"/>
      <w:r w:rsidRPr="006F0C6B">
        <w:rPr>
          <w:rFonts w:ascii="Times New Roman" w:eastAsia="Times New Roman" w:hAnsi="Times New Roman" w:cs="Times New Roman"/>
          <w:sz w:val="20"/>
          <w:szCs w:val="20"/>
          <w:lang w:val="uk-UA" w:eastAsia="ru-RU"/>
        </w:rPr>
        <w:t xml:space="preserve"> економіки», - зазначив Олексій Любченко.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Учасники зустрічі також відзначили важливість роботи СМКОР, яка вже довела свою ефективність при адмініструванні ПДВ, обговорили шляхи її подальшого удосконалення та застосування критеріїв </w:t>
      </w:r>
      <w:proofErr w:type="spellStart"/>
      <w:r w:rsidRPr="006F0C6B">
        <w:rPr>
          <w:rFonts w:ascii="Times New Roman" w:eastAsia="Times New Roman" w:hAnsi="Times New Roman" w:cs="Times New Roman"/>
          <w:sz w:val="20"/>
          <w:szCs w:val="20"/>
          <w:lang w:val="uk-UA" w:eastAsia="ru-RU"/>
        </w:rPr>
        <w:t>ризиковості</w:t>
      </w:r>
      <w:proofErr w:type="spellEnd"/>
      <w:r w:rsidRPr="006F0C6B">
        <w:rPr>
          <w:rFonts w:ascii="Times New Roman" w:eastAsia="Times New Roman" w:hAnsi="Times New Roman" w:cs="Times New Roman"/>
          <w:sz w:val="20"/>
          <w:szCs w:val="20"/>
          <w:lang w:val="uk-UA" w:eastAsia="ru-RU"/>
        </w:rPr>
        <w:t xml:space="preserve"> платників. </w:t>
      </w:r>
    </w:p>
    <w:p w:rsidR="006F0C6B" w:rsidRP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Представники бізнес-асоціацій підкреслили відкритість та оперативність ДПС у реагуванні на звернення бізнесу. </w:t>
      </w:r>
    </w:p>
    <w:p w:rsidR="006F0C6B" w:rsidRDefault="006F0C6B" w:rsidP="006F0C6B">
      <w:pPr>
        <w:rPr>
          <w:rFonts w:ascii="Times New Roman" w:eastAsia="Times New Roman" w:hAnsi="Times New Roman" w:cs="Times New Roman"/>
          <w:sz w:val="20"/>
          <w:szCs w:val="20"/>
          <w:lang w:val="uk-UA" w:eastAsia="ru-RU"/>
        </w:rPr>
      </w:pPr>
      <w:r w:rsidRPr="006F0C6B">
        <w:rPr>
          <w:rFonts w:ascii="Times New Roman" w:eastAsia="Times New Roman" w:hAnsi="Times New Roman" w:cs="Times New Roman"/>
          <w:sz w:val="20"/>
          <w:szCs w:val="20"/>
          <w:lang w:val="uk-UA" w:eastAsia="ru-RU"/>
        </w:rPr>
        <w:t xml:space="preserve">Зокрема, Президент Всеукраїнської громадського об’єднання «Асоціація платників податків України» </w:t>
      </w:r>
      <w:proofErr w:type="spellStart"/>
      <w:r w:rsidRPr="006F0C6B">
        <w:rPr>
          <w:rFonts w:ascii="Times New Roman" w:eastAsia="Times New Roman" w:hAnsi="Times New Roman" w:cs="Times New Roman"/>
          <w:sz w:val="20"/>
          <w:szCs w:val="20"/>
          <w:lang w:val="uk-UA" w:eastAsia="ru-RU"/>
        </w:rPr>
        <w:t>Грігол</w:t>
      </w:r>
      <w:proofErr w:type="spellEnd"/>
      <w:r w:rsidRPr="006F0C6B">
        <w:rPr>
          <w:rFonts w:ascii="Times New Roman" w:eastAsia="Times New Roman" w:hAnsi="Times New Roman" w:cs="Times New Roman"/>
          <w:sz w:val="20"/>
          <w:szCs w:val="20"/>
          <w:lang w:val="uk-UA" w:eastAsia="ru-RU"/>
        </w:rPr>
        <w:t xml:space="preserve"> </w:t>
      </w:r>
      <w:proofErr w:type="spellStart"/>
      <w:r w:rsidRPr="006F0C6B">
        <w:rPr>
          <w:rFonts w:ascii="Times New Roman" w:eastAsia="Times New Roman" w:hAnsi="Times New Roman" w:cs="Times New Roman"/>
          <w:sz w:val="20"/>
          <w:szCs w:val="20"/>
          <w:lang w:val="uk-UA" w:eastAsia="ru-RU"/>
        </w:rPr>
        <w:t>Катамадзе</w:t>
      </w:r>
      <w:proofErr w:type="spellEnd"/>
      <w:r w:rsidRPr="006F0C6B">
        <w:rPr>
          <w:rFonts w:ascii="Times New Roman" w:eastAsia="Times New Roman" w:hAnsi="Times New Roman" w:cs="Times New Roman"/>
          <w:sz w:val="20"/>
          <w:szCs w:val="20"/>
          <w:lang w:val="uk-UA" w:eastAsia="ru-RU"/>
        </w:rPr>
        <w:t xml:space="preserve"> відзначив досягнення податкової служби у покращенні адміністрування податків та забезпеченні надходжень до бюджетів, політику відкритості і готовності до відвертого спілкування. Він також запевнив у готовності бізнес-асоціацій до продовження співпраці у напрямі вирішення проблемних питань у податковій сфері. </w:t>
      </w:r>
    </w:p>
    <w:p w:rsidR="006F0C6B" w:rsidRPr="006F0C6B" w:rsidRDefault="006F0C6B" w:rsidP="006F0C6B">
      <w:pPr>
        <w:rPr>
          <w:rFonts w:ascii="Times New Roman" w:eastAsia="Times New Roman" w:hAnsi="Times New Roman" w:cs="Times New Roman"/>
          <w:sz w:val="20"/>
          <w:szCs w:val="20"/>
          <w:lang w:val="uk-UA" w:eastAsia="ru-RU"/>
        </w:rPr>
      </w:pPr>
    </w:p>
    <w:p w:rsidR="00A914F0" w:rsidRPr="006F0C6B" w:rsidRDefault="00A914F0" w:rsidP="00A914F0">
      <w:pPr>
        <w:pStyle w:val="a3"/>
        <w:spacing w:before="0" w:beforeAutospacing="0" w:after="0" w:afterAutospacing="0"/>
        <w:jc w:val="both"/>
        <w:rPr>
          <w:b/>
          <w:sz w:val="20"/>
          <w:szCs w:val="20"/>
          <w:lang w:val="uk-UA"/>
        </w:rPr>
      </w:pPr>
      <w:r w:rsidRPr="006F0C6B">
        <w:rPr>
          <w:b/>
          <w:sz w:val="20"/>
          <w:szCs w:val="20"/>
          <w:lang w:val="uk-UA"/>
        </w:rPr>
        <w:t>У День працівників радіо, телебачення та зв’язку пройшов брифінг начальника Головного управління ДПС у Дніпропетровській області Ганни Чуб</w:t>
      </w:r>
    </w:p>
    <w:p w:rsidR="00A914F0" w:rsidRPr="006F0C6B" w:rsidRDefault="00A914F0" w:rsidP="00A914F0">
      <w:pPr>
        <w:shd w:val="clear" w:color="auto" w:fill="FFFFFF"/>
        <w:textAlignment w:val="baseline"/>
        <w:rPr>
          <w:rFonts w:ascii="Times New Roman" w:eastAsia="Calibri" w:hAnsi="Times New Roman" w:cs="Times New Roman"/>
          <w:sz w:val="20"/>
          <w:szCs w:val="20"/>
          <w:lang w:val="uk-UA" w:eastAsia="uk-UA"/>
        </w:rPr>
      </w:pPr>
      <w:r w:rsidRPr="006F0C6B">
        <w:rPr>
          <w:rFonts w:ascii="Times New Roman" w:eastAsia="Calibri" w:hAnsi="Times New Roman" w:cs="Times New Roman"/>
          <w:sz w:val="20"/>
          <w:szCs w:val="20"/>
          <w:lang w:val="uk-UA" w:eastAsia="uk-UA"/>
        </w:rPr>
        <w:lastRenderedPageBreak/>
        <w:t xml:space="preserve">В сучасну епоху інформація є одним з найважливіших і глобальних ресурсів, а доступ до неї є необхідним елементом успіху у будь-якій сфері діяльності, у тому числі і у сфері справляння податків. </w:t>
      </w:r>
    </w:p>
    <w:p w:rsidR="00A914F0" w:rsidRPr="006F0C6B" w:rsidRDefault="00A914F0" w:rsidP="00A914F0">
      <w:pPr>
        <w:shd w:val="clear" w:color="auto" w:fill="FFFFFF"/>
        <w:textAlignment w:val="baseline"/>
        <w:rPr>
          <w:rFonts w:ascii="Times New Roman" w:eastAsia="Calibri" w:hAnsi="Times New Roman" w:cs="Times New Roman"/>
          <w:sz w:val="20"/>
          <w:szCs w:val="20"/>
          <w:lang w:val="uk-UA" w:eastAsia="uk-UA"/>
        </w:rPr>
      </w:pPr>
      <w:r w:rsidRPr="006F0C6B">
        <w:rPr>
          <w:rFonts w:ascii="Times New Roman" w:eastAsia="Calibri" w:hAnsi="Times New Roman" w:cs="Times New Roman"/>
          <w:sz w:val="20"/>
          <w:szCs w:val="20"/>
          <w:lang w:val="uk-UA" w:eastAsia="uk-UA"/>
        </w:rPr>
        <w:t>Переорієнтація суспільства на засади цифрової креативної економіки створює нову реальність, у якій частка інформаційного продукту зростає, а швидкість, зручність та надійність операцій з інформацією стають визначальними чинниками розвитку суспільства.</w:t>
      </w:r>
    </w:p>
    <w:p w:rsidR="00A914F0" w:rsidRPr="006F0C6B" w:rsidRDefault="00A914F0" w:rsidP="00A914F0">
      <w:pPr>
        <w:pStyle w:val="a3"/>
        <w:spacing w:before="0" w:beforeAutospacing="0" w:after="0" w:afterAutospacing="0"/>
        <w:jc w:val="both"/>
        <w:rPr>
          <w:sz w:val="20"/>
          <w:szCs w:val="20"/>
          <w:lang w:val="uk-UA" w:eastAsia="uk-UA"/>
        </w:rPr>
      </w:pPr>
      <w:r w:rsidRPr="006F0C6B">
        <w:rPr>
          <w:sz w:val="20"/>
          <w:szCs w:val="20"/>
          <w:lang w:val="uk-UA" w:eastAsia="uk-UA"/>
        </w:rPr>
        <w:t>Податкова служба Дніпропетровської області приділяє особливу увагу комунікаціям із засобами масової інформації (ЗМІ).</w:t>
      </w:r>
    </w:p>
    <w:p w:rsidR="00A914F0" w:rsidRPr="006F0C6B" w:rsidRDefault="00A914F0" w:rsidP="00A914F0">
      <w:pPr>
        <w:pStyle w:val="a3"/>
        <w:spacing w:before="0" w:beforeAutospacing="0" w:after="0" w:afterAutospacing="0"/>
        <w:jc w:val="both"/>
        <w:rPr>
          <w:sz w:val="20"/>
          <w:szCs w:val="20"/>
          <w:lang w:val="uk-UA"/>
        </w:rPr>
      </w:pPr>
      <w:r w:rsidRPr="006F0C6B">
        <w:rPr>
          <w:sz w:val="20"/>
          <w:szCs w:val="20"/>
          <w:lang w:val="uk-UA" w:eastAsia="uk-UA"/>
        </w:rPr>
        <w:t>У д</w:t>
      </w:r>
      <w:r w:rsidRPr="006F0C6B">
        <w:rPr>
          <w:sz w:val="20"/>
          <w:szCs w:val="20"/>
          <w:lang w:val="uk-UA"/>
        </w:rPr>
        <w:t>ень працівників радіо, телебачення та зв’язку, представники радіо і телебачення – партнери податкової були запрошені на брифінг начальника Головного управління ДПС у Дніпропетровській області (далі – ГУ ДПС) Ганни Чуб, присвячений їх професійному святу.</w:t>
      </w:r>
    </w:p>
    <w:p w:rsidR="00A914F0" w:rsidRPr="006F0C6B" w:rsidRDefault="00A914F0" w:rsidP="00A914F0">
      <w:pPr>
        <w:pStyle w:val="a3"/>
        <w:spacing w:before="0" w:beforeAutospacing="0" w:after="0" w:afterAutospacing="0"/>
        <w:jc w:val="both"/>
        <w:rPr>
          <w:sz w:val="20"/>
          <w:szCs w:val="20"/>
          <w:lang w:val="uk-UA"/>
        </w:rPr>
      </w:pPr>
      <w:r w:rsidRPr="006F0C6B">
        <w:rPr>
          <w:sz w:val="20"/>
          <w:szCs w:val="20"/>
          <w:lang w:val="uk-UA"/>
        </w:rPr>
        <w:t xml:space="preserve">Брифінг з урахуванням сьогодення проведено у режимі </w:t>
      </w:r>
      <w:proofErr w:type="spellStart"/>
      <w:r w:rsidRPr="006F0C6B">
        <w:rPr>
          <w:sz w:val="20"/>
          <w:szCs w:val="20"/>
          <w:lang w:val="uk-UA"/>
        </w:rPr>
        <w:t>онлайн</w:t>
      </w:r>
      <w:proofErr w:type="spellEnd"/>
      <w:r w:rsidRPr="006F0C6B">
        <w:rPr>
          <w:sz w:val="20"/>
          <w:szCs w:val="20"/>
          <w:lang w:val="uk-UA"/>
        </w:rPr>
        <w:t>.</w:t>
      </w:r>
    </w:p>
    <w:p w:rsidR="00A914F0" w:rsidRPr="006F0C6B" w:rsidRDefault="00A914F0" w:rsidP="00A914F0">
      <w:pPr>
        <w:pStyle w:val="a3"/>
        <w:spacing w:before="0" w:beforeAutospacing="0" w:after="0" w:afterAutospacing="0"/>
        <w:jc w:val="both"/>
        <w:rPr>
          <w:sz w:val="20"/>
          <w:szCs w:val="20"/>
          <w:lang w:val="uk-UA" w:eastAsia="uk-UA"/>
        </w:rPr>
      </w:pPr>
      <w:r w:rsidRPr="006F0C6B">
        <w:rPr>
          <w:sz w:val="20"/>
          <w:szCs w:val="20"/>
          <w:lang w:val="uk-UA"/>
        </w:rPr>
        <w:t xml:space="preserve">Начальник ГУ ДПС привітала представників ЗМІ зі святом та зауважила, що </w:t>
      </w:r>
      <w:r w:rsidRPr="006F0C6B">
        <w:rPr>
          <w:sz w:val="20"/>
          <w:szCs w:val="20"/>
          <w:lang w:val="uk-UA" w:eastAsia="uk-UA"/>
        </w:rPr>
        <w:t xml:space="preserve">відкрите суспільство неможливо збудувати без засобів масової інформації, важливими елементами яких є радіо і телебачення. </w:t>
      </w:r>
    </w:p>
    <w:p w:rsidR="00A914F0" w:rsidRPr="006F0C6B" w:rsidRDefault="00A914F0" w:rsidP="00A914F0">
      <w:pPr>
        <w:pStyle w:val="a3"/>
        <w:spacing w:before="0" w:beforeAutospacing="0" w:after="0" w:afterAutospacing="0"/>
        <w:jc w:val="both"/>
        <w:rPr>
          <w:sz w:val="20"/>
          <w:szCs w:val="20"/>
          <w:lang w:val="uk-UA" w:eastAsia="uk-UA"/>
        </w:rPr>
      </w:pPr>
      <w:r w:rsidRPr="006F0C6B">
        <w:rPr>
          <w:sz w:val="20"/>
          <w:szCs w:val="20"/>
          <w:lang w:val="uk-UA" w:eastAsia="uk-UA"/>
        </w:rPr>
        <w:t>В основу діяльності податкової служби покладено якісну систему обслуговування платників податків, яка передбачає співпрацю з ними на партнерських засадах. Відомство відкрите до діалогу, який сприятиме як розвитку підприємництва в країні, так і наповненню бюджету.</w:t>
      </w:r>
    </w:p>
    <w:p w:rsidR="00A914F0" w:rsidRPr="006F0C6B" w:rsidRDefault="00A914F0" w:rsidP="00A914F0">
      <w:pPr>
        <w:pStyle w:val="a3"/>
        <w:spacing w:before="0" w:beforeAutospacing="0" w:after="0" w:afterAutospacing="0"/>
        <w:jc w:val="both"/>
        <w:rPr>
          <w:sz w:val="20"/>
          <w:szCs w:val="20"/>
          <w:lang w:val="uk-UA" w:eastAsia="uk-UA"/>
        </w:rPr>
      </w:pPr>
      <w:r w:rsidRPr="006F0C6B">
        <w:rPr>
          <w:sz w:val="20"/>
          <w:szCs w:val="20"/>
          <w:lang w:val="uk-UA" w:eastAsia="uk-UA"/>
        </w:rPr>
        <w:t>І в цьому напрямку неоціниму допомогу надають ЗМІ. Високий професіоналізм дніпровських редакцій і мовників, які доносять до суспільства достовірну податкову інформацію, що відіграє важливу роль у вихованні сумлінного платника податків, є основним позитивним чинником у взаємодії податкових органів із ЗМІ.</w:t>
      </w:r>
    </w:p>
    <w:p w:rsidR="00A914F0" w:rsidRPr="006F0C6B" w:rsidRDefault="00A914F0" w:rsidP="00A914F0">
      <w:pPr>
        <w:rPr>
          <w:rFonts w:ascii="Times New Roman" w:eastAsia="Calibri" w:hAnsi="Times New Roman" w:cs="Times New Roman"/>
          <w:sz w:val="20"/>
          <w:szCs w:val="20"/>
          <w:lang w:val="uk-UA"/>
        </w:rPr>
      </w:pPr>
      <w:r w:rsidRPr="006F0C6B">
        <w:rPr>
          <w:rFonts w:ascii="Times New Roman" w:eastAsia="Calibri" w:hAnsi="Times New Roman" w:cs="Times New Roman"/>
          <w:sz w:val="20"/>
          <w:szCs w:val="20"/>
          <w:lang w:val="uk-UA"/>
        </w:rPr>
        <w:t xml:space="preserve"> «Вже сьогодні податкова служба – це сервісна служба, яка надає якісні електронні послуги. Ми вийшли на сучасний рівень спілкування з платником, контакт із бізнесом відбувається у новому форматі. </w:t>
      </w:r>
    </w:p>
    <w:p w:rsidR="00A914F0" w:rsidRPr="006F0C6B" w:rsidRDefault="00A914F0" w:rsidP="00A914F0">
      <w:pPr>
        <w:rPr>
          <w:rFonts w:ascii="Times New Roman" w:eastAsia="Calibri" w:hAnsi="Times New Roman" w:cs="Times New Roman"/>
          <w:sz w:val="20"/>
          <w:szCs w:val="20"/>
          <w:lang w:val="uk-UA"/>
        </w:rPr>
      </w:pPr>
      <w:r w:rsidRPr="006F0C6B">
        <w:rPr>
          <w:rFonts w:ascii="Times New Roman" w:eastAsia="Calibri" w:hAnsi="Times New Roman" w:cs="Times New Roman"/>
          <w:sz w:val="20"/>
          <w:szCs w:val="20"/>
          <w:lang w:val="uk-UA"/>
        </w:rPr>
        <w:t xml:space="preserve">Найбільш популярний із сервісів – Електронний кабінет. Цим сервісом можна скористатись цілодобово як з комп’ютерів, так і з </w:t>
      </w:r>
      <w:proofErr w:type="spellStart"/>
      <w:r w:rsidRPr="006F0C6B">
        <w:rPr>
          <w:rFonts w:ascii="Times New Roman" w:eastAsia="Calibri" w:hAnsi="Times New Roman" w:cs="Times New Roman"/>
          <w:sz w:val="20"/>
          <w:szCs w:val="20"/>
          <w:lang w:val="uk-UA"/>
        </w:rPr>
        <w:t>смартпристроїв</w:t>
      </w:r>
      <w:proofErr w:type="spellEnd"/>
      <w:r w:rsidRPr="006F0C6B">
        <w:rPr>
          <w:rFonts w:ascii="Times New Roman" w:eastAsia="Calibri" w:hAnsi="Times New Roman" w:cs="Times New Roman"/>
          <w:sz w:val="20"/>
          <w:szCs w:val="20"/>
          <w:lang w:val="uk-UA"/>
        </w:rPr>
        <w:t xml:space="preserve"> у режимі </w:t>
      </w:r>
      <w:proofErr w:type="spellStart"/>
      <w:r w:rsidRPr="006F0C6B">
        <w:rPr>
          <w:rFonts w:ascii="Times New Roman" w:eastAsia="Calibri" w:hAnsi="Times New Roman" w:cs="Times New Roman"/>
          <w:sz w:val="20"/>
          <w:szCs w:val="20"/>
          <w:lang w:val="uk-UA"/>
        </w:rPr>
        <w:t>онлайн</w:t>
      </w:r>
      <w:proofErr w:type="spellEnd"/>
      <w:r w:rsidRPr="006F0C6B">
        <w:rPr>
          <w:rFonts w:ascii="Times New Roman" w:eastAsia="Calibri" w:hAnsi="Times New Roman" w:cs="Times New Roman"/>
          <w:sz w:val="20"/>
          <w:szCs w:val="20"/>
          <w:lang w:val="uk-UA"/>
        </w:rPr>
        <w:t xml:space="preserve">, що спрощує ведення бізнесу. </w:t>
      </w:r>
    </w:p>
    <w:p w:rsidR="00A914F0" w:rsidRPr="006F0C6B" w:rsidRDefault="00A914F0" w:rsidP="00A914F0">
      <w:pPr>
        <w:rPr>
          <w:rFonts w:ascii="Times New Roman" w:eastAsia="Calibri" w:hAnsi="Times New Roman" w:cs="Times New Roman"/>
          <w:sz w:val="20"/>
          <w:szCs w:val="20"/>
          <w:lang w:val="uk-UA"/>
        </w:rPr>
      </w:pPr>
      <w:r w:rsidRPr="006F0C6B">
        <w:rPr>
          <w:rFonts w:ascii="Times New Roman" w:eastAsia="Calibri" w:hAnsi="Times New Roman" w:cs="Times New Roman"/>
          <w:sz w:val="20"/>
          <w:szCs w:val="20"/>
          <w:lang w:val="uk-UA"/>
        </w:rPr>
        <w:t xml:space="preserve">Ми є у соціальних мережах – це і </w:t>
      </w:r>
      <w:proofErr w:type="spellStart"/>
      <w:r w:rsidRPr="006F0C6B">
        <w:rPr>
          <w:rFonts w:ascii="Times New Roman" w:eastAsia="Calibri" w:hAnsi="Times New Roman" w:cs="Times New Roman"/>
          <w:sz w:val="20"/>
          <w:szCs w:val="20"/>
          <w:lang w:val="uk-UA"/>
        </w:rPr>
        <w:t>Фейсбук</w:t>
      </w:r>
      <w:proofErr w:type="spellEnd"/>
      <w:r w:rsidRPr="006F0C6B">
        <w:rPr>
          <w:rFonts w:ascii="Times New Roman" w:eastAsia="Calibri" w:hAnsi="Times New Roman" w:cs="Times New Roman"/>
          <w:sz w:val="20"/>
          <w:szCs w:val="20"/>
          <w:lang w:val="uk-UA"/>
        </w:rPr>
        <w:t xml:space="preserve">, і </w:t>
      </w:r>
      <w:proofErr w:type="spellStart"/>
      <w:r w:rsidRPr="006F0C6B">
        <w:rPr>
          <w:rFonts w:ascii="Times New Roman" w:eastAsia="Calibri" w:hAnsi="Times New Roman" w:cs="Times New Roman"/>
          <w:sz w:val="20"/>
          <w:szCs w:val="20"/>
          <w:lang w:val="uk-UA"/>
        </w:rPr>
        <w:t>Ютуб</w:t>
      </w:r>
      <w:proofErr w:type="spellEnd"/>
      <w:r w:rsidRPr="006F0C6B">
        <w:rPr>
          <w:rFonts w:ascii="Times New Roman" w:eastAsia="Calibri" w:hAnsi="Times New Roman" w:cs="Times New Roman"/>
          <w:sz w:val="20"/>
          <w:szCs w:val="20"/>
          <w:lang w:val="uk-UA"/>
        </w:rPr>
        <w:t>. Крім того, корисну інформацію можна отримати у телеграм каналі «Податкова служба».</w:t>
      </w:r>
    </w:p>
    <w:p w:rsidR="00A914F0" w:rsidRPr="006F0C6B" w:rsidRDefault="00A914F0" w:rsidP="00A914F0">
      <w:pPr>
        <w:rPr>
          <w:rFonts w:ascii="Times New Roman" w:eastAsia="Calibri" w:hAnsi="Times New Roman" w:cs="Times New Roman"/>
          <w:sz w:val="20"/>
          <w:szCs w:val="20"/>
          <w:lang w:val="uk-UA"/>
        </w:rPr>
      </w:pPr>
      <w:r w:rsidRPr="006F0C6B">
        <w:rPr>
          <w:rFonts w:ascii="Times New Roman" w:eastAsia="Calibri" w:hAnsi="Times New Roman" w:cs="Times New Roman"/>
          <w:sz w:val="20"/>
          <w:szCs w:val="20"/>
          <w:lang w:val="uk-UA"/>
        </w:rPr>
        <w:t xml:space="preserve">Також податкова служба долучилася до впровадження нового проекту «Е-малятко», який стартував на початку цього року. Новий сервіс дозволяє дітям, яким виповнилося 14 років, отримати 2 послуги за однією заявою – оформлення паспорта та номера платника податків. Тобто стала доступною </w:t>
      </w:r>
      <w:proofErr w:type="spellStart"/>
      <w:r w:rsidRPr="006F0C6B">
        <w:rPr>
          <w:rFonts w:ascii="Times New Roman" w:eastAsia="Calibri" w:hAnsi="Times New Roman" w:cs="Times New Roman"/>
          <w:sz w:val="20"/>
          <w:szCs w:val="20"/>
          <w:lang w:val="uk-UA"/>
        </w:rPr>
        <w:t>офлайн</w:t>
      </w:r>
      <w:proofErr w:type="spellEnd"/>
      <w:r w:rsidRPr="006F0C6B">
        <w:rPr>
          <w:rFonts w:ascii="Times New Roman" w:eastAsia="Calibri" w:hAnsi="Times New Roman" w:cs="Times New Roman"/>
          <w:sz w:val="20"/>
          <w:szCs w:val="20"/>
          <w:lang w:val="uk-UA"/>
        </w:rPr>
        <w:t xml:space="preserve"> послуга оформлення і видача паспорта громадянина України з безконтактним електронним носієм з одночасною реєстрацією у Державному реєстрі фізичних осіб – платників податків» – зазначила Ганна Чуб.</w:t>
      </w:r>
    </w:p>
    <w:p w:rsidR="00A914F0" w:rsidRPr="006F0C6B" w:rsidRDefault="00A914F0" w:rsidP="00A914F0">
      <w:pPr>
        <w:shd w:val="clear" w:color="auto" w:fill="FFFFFF"/>
        <w:rPr>
          <w:rFonts w:ascii="Times New Roman" w:eastAsia="Calibri" w:hAnsi="Times New Roman" w:cs="Times New Roman"/>
          <w:color w:val="000000"/>
          <w:sz w:val="20"/>
          <w:szCs w:val="20"/>
          <w:lang w:val="uk-UA" w:eastAsia="uk-UA"/>
        </w:rPr>
      </w:pPr>
      <w:r w:rsidRPr="006F0C6B">
        <w:rPr>
          <w:rFonts w:ascii="Times New Roman" w:eastAsia="Calibri" w:hAnsi="Times New Roman" w:cs="Times New Roman"/>
          <w:sz w:val="20"/>
          <w:szCs w:val="20"/>
          <w:lang w:val="uk-UA" w:eastAsia="uk-UA"/>
        </w:rPr>
        <w:t xml:space="preserve">Захід відбувся в форматі </w:t>
      </w:r>
      <w:r w:rsidRPr="006F0C6B">
        <w:rPr>
          <w:rFonts w:ascii="Times New Roman" w:eastAsia="Calibri" w:hAnsi="Times New Roman" w:cs="Times New Roman"/>
          <w:color w:val="000000"/>
          <w:sz w:val="20"/>
          <w:szCs w:val="20"/>
          <w:lang w:val="uk-UA" w:eastAsia="uk-UA"/>
        </w:rPr>
        <w:t xml:space="preserve">конструктивного діалогу. Представники ЗМІ отримали від </w:t>
      </w:r>
      <w:proofErr w:type="spellStart"/>
      <w:r w:rsidRPr="006F0C6B">
        <w:rPr>
          <w:rFonts w:ascii="Times New Roman" w:eastAsia="Calibri" w:hAnsi="Times New Roman" w:cs="Times New Roman"/>
          <w:color w:val="000000"/>
          <w:sz w:val="20"/>
          <w:szCs w:val="20"/>
          <w:lang w:val="uk-UA" w:eastAsia="uk-UA"/>
        </w:rPr>
        <w:t>очільниці</w:t>
      </w:r>
      <w:proofErr w:type="spellEnd"/>
      <w:r w:rsidRPr="006F0C6B">
        <w:rPr>
          <w:rFonts w:ascii="Times New Roman" w:eastAsia="Calibri" w:hAnsi="Times New Roman" w:cs="Times New Roman"/>
          <w:color w:val="000000"/>
          <w:sz w:val="20"/>
          <w:szCs w:val="20"/>
          <w:lang w:val="uk-UA" w:eastAsia="uk-UA"/>
        </w:rPr>
        <w:t xml:space="preserve"> ГУ ДПС відповіді на поставлені питання, які стосуються діяльності служби.</w:t>
      </w:r>
    </w:p>
    <w:p w:rsidR="00A914F0" w:rsidRPr="006F0C6B" w:rsidRDefault="00A914F0" w:rsidP="00A914F0">
      <w:pPr>
        <w:rPr>
          <w:rFonts w:ascii="Times New Roman" w:eastAsia="Calibri" w:hAnsi="Times New Roman" w:cs="Times New Roman"/>
          <w:sz w:val="20"/>
          <w:szCs w:val="20"/>
          <w:lang w:val="uk-UA" w:eastAsia="uk-UA"/>
        </w:rPr>
      </w:pPr>
      <w:r w:rsidRPr="006F0C6B">
        <w:rPr>
          <w:rFonts w:ascii="Times New Roman" w:eastAsia="Calibri" w:hAnsi="Times New Roman" w:cs="Times New Roman"/>
          <w:color w:val="000000"/>
          <w:sz w:val="20"/>
          <w:szCs w:val="20"/>
          <w:lang w:val="uk-UA" w:eastAsia="uk-UA"/>
        </w:rPr>
        <w:t>Наприкінці заходу</w:t>
      </w:r>
      <w:r w:rsidRPr="006F0C6B">
        <w:rPr>
          <w:rFonts w:ascii="Times New Roman" w:eastAsia="Calibri" w:hAnsi="Times New Roman" w:cs="Times New Roman"/>
          <w:sz w:val="20"/>
          <w:szCs w:val="20"/>
          <w:lang w:val="uk-UA"/>
        </w:rPr>
        <w:t xml:space="preserve"> Ганна Чуб подякувала представникам ЗМІ за співпрацю з податковою службою області, за їх внесок у становленні податкової культури та висвітленні основних напрямів діяльності служби та побажала</w:t>
      </w:r>
      <w:r w:rsidRPr="006F0C6B">
        <w:rPr>
          <w:rFonts w:ascii="Times New Roman" w:eastAsia="Calibri" w:hAnsi="Times New Roman" w:cs="Times New Roman"/>
          <w:sz w:val="20"/>
          <w:szCs w:val="20"/>
          <w:lang w:val="uk-UA" w:eastAsia="uk-UA"/>
        </w:rPr>
        <w:t xml:space="preserve"> міцного здоров’я, нових яскравих проектів і подальшого професійного зростання.</w:t>
      </w:r>
    </w:p>
    <w:p w:rsidR="001E0866" w:rsidRPr="006F0C6B" w:rsidRDefault="001E0866" w:rsidP="006F0C6B">
      <w:pPr>
        <w:pStyle w:val="a3"/>
        <w:spacing w:before="0" w:beforeAutospacing="0" w:after="0" w:afterAutospacing="0"/>
        <w:jc w:val="both"/>
        <w:rPr>
          <w:b/>
          <w:sz w:val="20"/>
          <w:szCs w:val="20"/>
          <w:lang w:val="uk-UA"/>
        </w:rPr>
      </w:pPr>
    </w:p>
    <w:p w:rsidR="001E0866" w:rsidRPr="006F0C6B" w:rsidRDefault="001E0866" w:rsidP="006F0C6B">
      <w:pPr>
        <w:rPr>
          <w:rFonts w:ascii="Times New Roman" w:hAnsi="Times New Roman" w:cs="Times New Roman"/>
          <w:sz w:val="20"/>
          <w:szCs w:val="20"/>
          <w:lang w:val="uk-UA"/>
        </w:rPr>
      </w:pPr>
    </w:p>
    <w:sectPr w:rsidR="001E0866" w:rsidRPr="006F0C6B" w:rsidSect="0020143F">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0143F"/>
    <w:rsid w:val="000C57F3"/>
    <w:rsid w:val="000E5266"/>
    <w:rsid w:val="00154CCB"/>
    <w:rsid w:val="001E0866"/>
    <w:rsid w:val="0020143F"/>
    <w:rsid w:val="00312871"/>
    <w:rsid w:val="00314BE1"/>
    <w:rsid w:val="00350BAB"/>
    <w:rsid w:val="00365653"/>
    <w:rsid w:val="003B125B"/>
    <w:rsid w:val="003B4607"/>
    <w:rsid w:val="003B6419"/>
    <w:rsid w:val="004D094B"/>
    <w:rsid w:val="004F3970"/>
    <w:rsid w:val="0053113F"/>
    <w:rsid w:val="00645FA5"/>
    <w:rsid w:val="006F0C6B"/>
    <w:rsid w:val="00784E55"/>
    <w:rsid w:val="007C291B"/>
    <w:rsid w:val="008028F5"/>
    <w:rsid w:val="00A914F0"/>
    <w:rsid w:val="00E1798F"/>
    <w:rsid w:val="00EE3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3F"/>
  </w:style>
  <w:style w:type="paragraph" w:styleId="1">
    <w:name w:val="heading 1"/>
    <w:basedOn w:val="a"/>
    <w:link w:val="10"/>
    <w:uiPriority w:val="9"/>
    <w:qFormat/>
    <w:rsid w:val="001E0866"/>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B4607"/>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rsid w:val="003B4607"/>
    <w:rPr>
      <w:color w:val="0000FF"/>
      <w:u w:val="single"/>
    </w:rPr>
  </w:style>
  <w:style w:type="character" w:customStyle="1" w:styleId="10">
    <w:name w:val="Заголовок 1 Знак"/>
    <w:basedOn w:val="a0"/>
    <w:link w:val="1"/>
    <w:uiPriority w:val="9"/>
    <w:rsid w:val="001E0866"/>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1E0866"/>
    <w:rPr>
      <w:b/>
      <w:bCs/>
    </w:rPr>
  </w:style>
  <w:style w:type="paragraph" w:styleId="a6">
    <w:name w:val="Balloon Text"/>
    <w:basedOn w:val="a"/>
    <w:link w:val="a7"/>
    <w:uiPriority w:val="99"/>
    <w:semiHidden/>
    <w:unhideWhenUsed/>
    <w:rsid w:val="001E0866"/>
    <w:rPr>
      <w:rFonts w:ascii="Tahoma" w:hAnsi="Tahoma" w:cs="Tahoma"/>
      <w:sz w:val="16"/>
      <w:szCs w:val="16"/>
    </w:rPr>
  </w:style>
  <w:style w:type="character" w:customStyle="1" w:styleId="a7">
    <w:name w:val="Текст выноски Знак"/>
    <w:basedOn w:val="a0"/>
    <w:link w:val="a6"/>
    <w:uiPriority w:val="99"/>
    <w:semiHidden/>
    <w:rsid w:val="001E0866"/>
    <w:rPr>
      <w:rFonts w:ascii="Tahoma" w:hAnsi="Tahoma" w:cs="Tahoma"/>
      <w:sz w:val="16"/>
      <w:szCs w:val="16"/>
    </w:rPr>
  </w:style>
  <w:style w:type="character" w:styleId="a8">
    <w:name w:val="Emphasis"/>
    <w:basedOn w:val="a0"/>
    <w:uiPriority w:val="20"/>
    <w:qFormat/>
    <w:rsid w:val="001E0866"/>
    <w:rPr>
      <w:i/>
      <w:iCs/>
    </w:rPr>
  </w:style>
  <w:style w:type="paragraph" w:customStyle="1" w:styleId="rvps2">
    <w:name w:val="rvps2"/>
    <w:basedOn w:val="a"/>
    <w:rsid w:val="006F0C6B"/>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407682">
      <w:bodyDiv w:val="1"/>
      <w:marLeft w:val="0"/>
      <w:marRight w:val="0"/>
      <w:marTop w:val="0"/>
      <w:marBottom w:val="0"/>
      <w:divBdr>
        <w:top w:val="none" w:sz="0" w:space="0" w:color="auto"/>
        <w:left w:val="none" w:sz="0" w:space="0" w:color="auto"/>
        <w:bottom w:val="none" w:sz="0" w:space="0" w:color="auto"/>
        <w:right w:val="none" w:sz="0" w:space="0" w:color="auto"/>
      </w:divBdr>
      <w:divsChild>
        <w:div w:id="568423329">
          <w:marLeft w:val="0"/>
          <w:marRight w:val="0"/>
          <w:marTop w:val="0"/>
          <w:marBottom w:val="0"/>
          <w:divBdr>
            <w:top w:val="none" w:sz="0" w:space="0" w:color="auto"/>
            <w:left w:val="none" w:sz="0" w:space="0" w:color="auto"/>
            <w:bottom w:val="none" w:sz="0" w:space="0" w:color="auto"/>
            <w:right w:val="none" w:sz="0" w:space="0" w:color="auto"/>
          </w:divBdr>
          <w:divsChild>
            <w:div w:id="17821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3957">
      <w:bodyDiv w:val="1"/>
      <w:marLeft w:val="0"/>
      <w:marRight w:val="0"/>
      <w:marTop w:val="0"/>
      <w:marBottom w:val="0"/>
      <w:divBdr>
        <w:top w:val="none" w:sz="0" w:space="0" w:color="auto"/>
        <w:left w:val="none" w:sz="0" w:space="0" w:color="auto"/>
        <w:bottom w:val="none" w:sz="0" w:space="0" w:color="auto"/>
        <w:right w:val="none" w:sz="0" w:space="0" w:color="auto"/>
      </w:divBdr>
      <w:divsChild>
        <w:div w:id="1922905936">
          <w:marLeft w:val="0"/>
          <w:marRight w:val="0"/>
          <w:marTop w:val="0"/>
          <w:marBottom w:val="0"/>
          <w:divBdr>
            <w:top w:val="none" w:sz="0" w:space="0" w:color="auto"/>
            <w:left w:val="none" w:sz="0" w:space="0" w:color="auto"/>
            <w:bottom w:val="none" w:sz="0" w:space="0" w:color="auto"/>
            <w:right w:val="none" w:sz="0" w:space="0" w:color="auto"/>
          </w:divBdr>
          <w:divsChild>
            <w:div w:id="7816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6681">
      <w:bodyDiv w:val="1"/>
      <w:marLeft w:val="0"/>
      <w:marRight w:val="0"/>
      <w:marTop w:val="0"/>
      <w:marBottom w:val="0"/>
      <w:divBdr>
        <w:top w:val="none" w:sz="0" w:space="0" w:color="auto"/>
        <w:left w:val="none" w:sz="0" w:space="0" w:color="auto"/>
        <w:bottom w:val="none" w:sz="0" w:space="0" w:color="auto"/>
        <w:right w:val="none" w:sz="0" w:space="0" w:color="auto"/>
      </w:divBdr>
      <w:divsChild>
        <w:div w:id="18052188">
          <w:marLeft w:val="0"/>
          <w:marRight w:val="0"/>
          <w:marTop w:val="0"/>
          <w:marBottom w:val="0"/>
          <w:divBdr>
            <w:top w:val="none" w:sz="0" w:space="0" w:color="auto"/>
            <w:left w:val="none" w:sz="0" w:space="0" w:color="auto"/>
            <w:bottom w:val="none" w:sz="0" w:space="0" w:color="auto"/>
            <w:right w:val="none" w:sz="0" w:space="0" w:color="auto"/>
          </w:divBdr>
          <w:divsChild>
            <w:div w:id="2140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7690">
      <w:bodyDiv w:val="1"/>
      <w:marLeft w:val="0"/>
      <w:marRight w:val="0"/>
      <w:marTop w:val="0"/>
      <w:marBottom w:val="0"/>
      <w:divBdr>
        <w:top w:val="none" w:sz="0" w:space="0" w:color="auto"/>
        <w:left w:val="none" w:sz="0" w:space="0" w:color="auto"/>
        <w:bottom w:val="none" w:sz="0" w:space="0" w:color="auto"/>
        <w:right w:val="none" w:sz="0" w:space="0" w:color="auto"/>
      </w:divBdr>
      <w:divsChild>
        <w:div w:id="2014188136">
          <w:marLeft w:val="0"/>
          <w:marRight w:val="0"/>
          <w:marTop w:val="0"/>
          <w:marBottom w:val="0"/>
          <w:divBdr>
            <w:top w:val="none" w:sz="0" w:space="0" w:color="auto"/>
            <w:left w:val="none" w:sz="0" w:space="0" w:color="auto"/>
            <w:bottom w:val="none" w:sz="0" w:space="0" w:color="auto"/>
            <w:right w:val="none" w:sz="0" w:space="0" w:color="auto"/>
          </w:divBdr>
          <w:divsChild>
            <w:div w:id="7078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947">
      <w:bodyDiv w:val="1"/>
      <w:marLeft w:val="0"/>
      <w:marRight w:val="0"/>
      <w:marTop w:val="0"/>
      <w:marBottom w:val="0"/>
      <w:divBdr>
        <w:top w:val="none" w:sz="0" w:space="0" w:color="auto"/>
        <w:left w:val="none" w:sz="0" w:space="0" w:color="auto"/>
        <w:bottom w:val="none" w:sz="0" w:space="0" w:color="auto"/>
        <w:right w:val="none" w:sz="0" w:space="0" w:color="auto"/>
      </w:divBdr>
      <w:divsChild>
        <w:div w:id="218784923">
          <w:marLeft w:val="0"/>
          <w:marRight w:val="0"/>
          <w:marTop w:val="0"/>
          <w:marBottom w:val="0"/>
          <w:divBdr>
            <w:top w:val="none" w:sz="0" w:space="0" w:color="auto"/>
            <w:left w:val="none" w:sz="0" w:space="0" w:color="auto"/>
            <w:bottom w:val="none" w:sz="0" w:space="0" w:color="auto"/>
            <w:right w:val="none" w:sz="0" w:space="0" w:color="auto"/>
          </w:divBdr>
          <w:divsChild>
            <w:div w:id="13845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3330">
      <w:bodyDiv w:val="1"/>
      <w:marLeft w:val="0"/>
      <w:marRight w:val="0"/>
      <w:marTop w:val="0"/>
      <w:marBottom w:val="0"/>
      <w:divBdr>
        <w:top w:val="none" w:sz="0" w:space="0" w:color="auto"/>
        <w:left w:val="none" w:sz="0" w:space="0" w:color="auto"/>
        <w:bottom w:val="none" w:sz="0" w:space="0" w:color="auto"/>
        <w:right w:val="none" w:sz="0" w:space="0" w:color="auto"/>
      </w:divBdr>
      <w:divsChild>
        <w:div w:id="905576973">
          <w:marLeft w:val="0"/>
          <w:marRight w:val="0"/>
          <w:marTop w:val="0"/>
          <w:marBottom w:val="0"/>
          <w:divBdr>
            <w:top w:val="none" w:sz="0" w:space="0" w:color="auto"/>
            <w:left w:val="none" w:sz="0" w:space="0" w:color="auto"/>
            <w:bottom w:val="none" w:sz="0" w:space="0" w:color="auto"/>
            <w:right w:val="none" w:sz="0" w:space="0" w:color="auto"/>
          </w:divBdr>
          <w:divsChild>
            <w:div w:id="16281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4032">
      <w:bodyDiv w:val="1"/>
      <w:marLeft w:val="0"/>
      <w:marRight w:val="0"/>
      <w:marTop w:val="0"/>
      <w:marBottom w:val="0"/>
      <w:divBdr>
        <w:top w:val="none" w:sz="0" w:space="0" w:color="auto"/>
        <w:left w:val="none" w:sz="0" w:space="0" w:color="auto"/>
        <w:bottom w:val="none" w:sz="0" w:space="0" w:color="auto"/>
        <w:right w:val="none" w:sz="0" w:space="0" w:color="auto"/>
      </w:divBdr>
      <w:divsChild>
        <w:div w:id="2058775510">
          <w:marLeft w:val="0"/>
          <w:marRight w:val="0"/>
          <w:marTop w:val="0"/>
          <w:marBottom w:val="0"/>
          <w:divBdr>
            <w:top w:val="none" w:sz="0" w:space="0" w:color="auto"/>
            <w:left w:val="none" w:sz="0" w:space="0" w:color="auto"/>
            <w:bottom w:val="none" w:sz="0" w:space="0" w:color="auto"/>
            <w:right w:val="none" w:sz="0" w:space="0" w:color="auto"/>
          </w:divBdr>
          <w:divsChild>
            <w:div w:id="19491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7506">
      <w:bodyDiv w:val="1"/>
      <w:marLeft w:val="0"/>
      <w:marRight w:val="0"/>
      <w:marTop w:val="0"/>
      <w:marBottom w:val="0"/>
      <w:divBdr>
        <w:top w:val="none" w:sz="0" w:space="0" w:color="auto"/>
        <w:left w:val="none" w:sz="0" w:space="0" w:color="auto"/>
        <w:bottom w:val="none" w:sz="0" w:space="0" w:color="auto"/>
        <w:right w:val="none" w:sz="0" w:space="0" w:color="auto"/>
      </w:divBdr>
      <w:divsChild>
        <w:div w:id="1568028944">
          <w:marLeft w:val="0"/>
          <w:marRight w:val="0"/>
          <w:marTop w:val="0"/>
          <w:marBottom w:val="0"/>
          <w:divBdr>
            <w:top w:val="none" w:sz="0" w:space="0" w:color="auto"/>
            <w:left w:val="none" w:sz="0" w:space="0" w:color="auto"/>
            <w:bottom w:val="none" w:sz="0" w:space="0" w:color="auto"/>
            <w:right w:val="none" w:sz="0" w:space="0" w:color="auto"/>
          </w:divBdr>
          <w:divsChild>
            <w:div w:id="15526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8904">
      <w:bodyDiv w:val="1"/>
      <w:marLeft w:val="0"/>
      <w:marRight w:val="0"/>
      <w:marTop w:val="0"/>
      <w:marBottom w:val="0"/>
      <w:divBdr>
        <w:top w:val="none" w:sz="0" w:space="0" w:color="auto"/>
        <w:left w:val="none" w:sz="0" w:space="0" w:color="auto"/>
        <w:bottom w:val="none" w:sz="0" w:space="0" w:color="auto"/>
        <w:right w:val="none" w:sz="0" w:space="0" w:color="auto"/>
      </w:divBdr>
      <w:divsChild>
        <w:div w:id="1104688733">
          <w:marLeft w:val="0"/>
          <w:marRight w:val="0"/>
          <w:marTop w:val="0"/>
          <w:marBottom w:val="0"/>
          <w:divBdr>
            <w:top w:val="none" w:sz="0" w:space="0" w:color="auto"/>
            <w:left w:val="none" w:sz="0" w:space="0" w:color="auto"/>
            <w:bottom w:val="none" w:sz="0" w:space="0" w:color="auto"/>
            <w:right w:val="none" w:sz="0" w:space="0" w:color="auto"/>
          </w:divBdr>
          <w:divsChild>
            <w:div w:id="17394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5708">
      <w:bodyDiv w:val="1"/>
      <w:marLeft w:val="0"/>
      <w:marRight w:val="0"/>
      <w:marTop w:val="0"/>
      <w:marBottom w:val="0"/>
      <w:divBdr>
        <w:top w:val="none" w:sz="0" w:space="0" w:color="auto"/>
        <w:left w:val="none" w:sz="0" w:space="0" w:color="auto"/>
        <w:bottom w:val="none" w:sz="0" w:space="0" w:color="auto"/>
        <w:right w:val="none" w:sz="0" w:space="0" w:color="auto"/>
      </w:divBdr>
      <w:divsChild>
        <w:div w:id="1512140085">
          <w:marLeft w:val="0"/>
          <w:marRight w:val="0"/>
          <w:marTop w:val="0"/>
          <w:marBottom w:val="0"/>
          <w:divBdr>
            <w:top w:val="none" w:sz="0" w:space="0" w:color="auto"/>
            <w:left w:val="none" w:sz="0" w:space="0" w:color="auto"/>
            <w:bottom w:val="none" w:sz="0" w:space="0" w:color="auto"/>
            <w:right w:val="none" w:sz="0" w:space="0" w:color="auto"/>
          </w:divBdr>
          <w:divsChild>
            <w:div w:id="19673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1508">
      <w:bodyDiv w:val="1"/>
      <w:marLeft w:val="0"/>
      <w:marRight w:val="0"/>
      <w:marTop w:val="0"/>
      <w:marBottom w:val="0"/>
      <w:divBdr>
        <w:top w:val="none" w:sz="0" w:space="0" w:color="auto"/>
        <w:left w:val="none" w:sz="0" w:space="0" w:color="auto"/>
        <w:bottom w:val="none" w:sz="0" w:space="0" w:color="auto"/>
        <w:right w:val="none" w:sz="0" w:space="0" w:color="auto"/>
      </w:divBdr>
      <w:divsChild>
        <w:div w:id="362637010">
          <w:marLeft w:val="0"/>
          <w:marRight w:val="0"/>
          <w:marTop w:val="0"/>
          <w:marBottom w:val="0"/>
          <w:divBdr>
            <w:top w:val="none" w:sz="0" w:space="0" w:color="auto"/>
            <w:left w:val="none" w:sz="0" w:space="0" w:color="auto"/>
            <w:bottom w:val="none" w:sz="0" w:space="0" w:color="auto"/>
            <w:right w:val="none" w:sz="0" w:space="0" w:color="auto"/>
          </w:divBdr>
          <w:divsChild>
            <w:div w:id="11085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2274">
      <w:bodyDiv w:val="1"/>
      <w:marLeft w:val="0"/>
      <w:marRight w:val="0"/>
      <w:marTop w:val="0"/>
      <w:marBottom w:val="0"/>
      <w:divBdr>
        <w:top w:val="none" w:sz="0" w:space="0" w:color="auto"/>
        <w:left w:val="none" w:sz="0" w:space="0" w:color="auto"/>
        <w:bottom w:val="none" w:sz="0" w:space="0" w:color="auto"/>
        <w:right w:val="none" w:sz="0" w:space="0" w:color="auto"/>
      </w:divBdr>
      <w:divsChild>
        <w:div w:id="905723546">
          <w:marLeft w:val="0"/>
          <w:marRight w:val="0"/>
          <w:marTop w:val="0"/>
          <w:marBottom w:val="0"/>
          <w:divBdr>
            <w:top w:val="none" w:sz="0" w:space="0" w:color="auto"/>
            <w:left w:val="none" w:sz="0" w:space="0" w:color="auto"/>
            <w:bottom w:val="none" w:sz="0" w:space="0" w:color="auto"/>
            <w:right w:val="none" w:sz="0" w:space="0" w:color="auto"/>
          </w:divBdr>
          <w:divsChild>
            <w:div w:id="15378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9758">
      <w:bodyDiv w:val="1"/>
      <w:marLeft w:val="0"/>
      <w:marRight w:val="0"/>
      <w:marTop w:val="0"/>
      <w:marBottom w:val="0"/>
      <w:divBdr>
        <w:top w:val="none" w:sz="0" w:space="0" w:color="auto"/>
        <w:left w:val="none" w:sz="0" w:space="0" w:color="auto"/>
        <w:bottom w:val="none" w:sz="0" w:space="0" w:color="auto"/>
        <w:right w:val="none" w:sz="0" w:space="0" w:color="auto"/>
      </w:divBdr>
      <w:divsChild>
        <w:div w:id="545990477">
          <w:marLeft w:val="0"/>
          <w:marRight w:val="0"/>
          <w:marTop w:val="0"/>
          <w:marBottom w:val="0"/>
          <w:divBdr>
            <w:top w:val="none" w:sz="0" w:space="0" w:color="auto"/>
            <w:left w:val="none" w:sz="0" w:space="0" w:color="auto"/>
            <w:bottom w:val="none" w:sz="0" w:space="0" w:color="auto"/>
            <w:right w:val="none" w:sz="0" w:space="0" w:color="auto"/>
          </w:divBdr>
          <w:divsChild>
            <w:div w:id="10824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832">
      <w:bodyDiv w:val="1"/>
      <w:marLeft w:val="0"/>
      <w:marRight w:val="0"/>
      <w:marTop w:val="0"/>
      <w:marBottom w:val="0"/>
      <w:divBdr>
        <w:top w:val="none" w:sz="0" w:space="0" w:color="auto"/>
        <w:left w:val="none" w:sz="0" w:space="0" w:color="auto"/>
        <w:bottom w:val="none" w:sz="0" w:space="0" w:color="auto"/>
        <w:right w:val="none" w:sz="0" w:space="0" w:color="auto"/>
      </w:divBdr>
      <w:divsChild>
        <w:div w:id="610479242">
          <w:marLeft w:val="0"/>
          <w:marRight w:val="0"/>
          <w:marTop w:val="0"/>
          <w:marBottom w:val="0"/>
          <w:divBdr>
            <w:top w:val="none" w:sz="0" w:space="0" w:color="auto"/>
            <w:left w:val="none" w:sz="0" w:space="0" w:color="auto"/>
            <w:bottom w:val="none" w:sz="0" w:space="0" w:color="auto"/>
            <w:right w:val="none" w:sz="0" w:space="0" w:color="auto"/>
          </w:divBdr>
          <w:divsChild>
            <w:div w:id="9780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8392">
      <w:bodyDiv w:val="1"/>
      <w:marLeft w:val="0"/>
      <w:marRight w:val="0"/>
      <w:marTop w:val="0"/>
      <w:marBottom w:val="0"/>
      <w:divBdr>
        <w:top w:val="none" w:sz="0" w:space="0" w:color="auto"/>
        <w:left w:val="none" w:sz="0" w:space="0" w:color="auto"/>
        <w:bottom w:val="none" w:sz="0" w:space="0" w:color="auto"/>
        <w:right w:val="none" w:sz="0" w:space="0" w:color="auto"/>
      </w:divBdr>
      <w:divsChild>
        <w:div w:id="88238239">
          <w:marLeft w:val="0"/>
          <w:marRight w:val="0"/>
          <w:marTop w:val="0"/>
          <w:marBottom w:val="0"/>
          <w:divBdr>
            <w:top w:val="none" w:sz="0" w:space="0" w:color="auto"/>
            <w:left w:val="none" w:sz="0" w:space="0" w:color="auto"/>
            <w:bottom w:val="none" w:sz="0" w:space="0" w:color="auto"/>
            <w:right w:val="none" w:sz="0" w:space="0" w:color="auto"/>
          </w:divBdr>
          <w:divsChild>
            <w:div w:id="13795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5039">
      <w:bodyDiv w:val="1"/>
      <w:marLeft w:val="0"/>
      <w:marRight w:val="0"/>
      <w:marTop w:val="0"/>
      <w:marBottom w:val="0"/>
      <w:divBdr>
        <w:top w:val="none" w:sz="0" w:space="0" w:color="auto"/>
        <w:left w:val="none" w:sz="0" w:space="0" w:color="auto"/>
        <w:bottom w:val="none" w:sz="0" w:space="0" w:color="auto"/>
        <w:right w:val="none" w:sz="0" w:space="0" w:color="auto"/>
      </w:divBdr>
      <w:divsChild>
        <w:div w:id="1882858497">
          <w:marLeft w:val="0"/>
          <w:marRight w:val="0"/>
          <w:marTop w:val="0"/>
          <w:marBottom w:val="0"/>
          <w:divBdr>
            <w:top w:val="none" w:sz="0" w:space="0" w:color="auto"/>
            <w:left w:val="none" w:sz="0" w:space="0" w:color="auto"/>
            <w:bottom w:val="none" w:sz="0" w:space="0" w:color="auto"/>
            <w:right w:val="none" w:sz="0" w:space="0" w:color="auto"/>
          </w:divBdr>
          <w:divsChild>
            <w:div w:id="21054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4799">
      <w:bodyDiv w:val="1"/>
      <w:marLeft w:val="0"/>
      <w:marRight w:val="0"/>
      <w:marTop w:val="0"/>
      <w:marBottom w:val="0"/>
      <w:divBdr>
        <w:top w:val="none" w:sz="0" w:space="0" w:color="auto"/>
        <w:left w:val="none" w:sz="0" w:space="0" w:color="auto"/>
        <w:bottom w:val="none" w:sz="0" w:space="0" w:color="auto"/>
        <w:right w:val="none" w:sz="0" w:space="0" w:color="auto"/>
      </w:divBdr>
      <w:divsChild>
        <w:div w:id="1690526125">
          <w:marLeft w:val="0"/>
          <w:marRight w:val="0"/>
          <w:marTop w:val="0"/>
          <w:marBottom w:val="0"/>
          <w:divBdr>
            <w:top w:val="none" w:sz="0" w:space="0" w:color="auto"/>
            <w:left w:val="none" w:sz="0" w:space="0" w:color="auto"/>
            <w:bottom w:val="none" w:sz="0" w:space="0" w:color="auto"/>
            <w:right w:val="none" w:sz="0" w:space="0" w:color="auto"/>
          </w:divBdr>
          <w:divsChild>
            <w:div w:id="4753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0718">
      <w:bodyDiv w:val="1"/>
      <w:marLeft w:val="0"/>
      <w:marRight w:val="0"/>
      <w:marTop w:val="0"/>
      <w:marBottom w:val="0"/>
      <w:divBdr>
        <w:top w:val="none" w:sz="0" w:space="0" w:color="auto"/>
        <w:left w:val="none" w:sz="0" w:space="0" w:color="auto"/>
        <w:bottom w:val="none" w:sz="0" w:space="0" w:color="auto"/>
        <w:right w:val="none" w:sz="0" w:space="0" w:color="auto"/>
      </w:divBdr>
      <w:divsChild>
        <w:div w:id="1375041527">
          <w:marLeft w:val="0"/>
          <w:marRight w:val="0"/>
          <w:marTop w:val="0"/>
          <w:marBottom w:val="0"/>
          <w:divBdr>
            <w:top w:val="none" w:sz="0" w:space="0" w:color="auto"/>
            <w:left w:val="none" w:sz="0" w:space="0" w:color="auto"/>
            <w:bottom w:val="none" w:sz="0" w:space="0" w:color="auto"/>
            <w:right w:val="none" w:sz="0" w:space="0" w:color="auto"/>
          </w:divBdr>
          <w:divsChild>
            <w:div w:id="615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6859">
      <w:bodyDiv w:val="1"/>
      <w:marLeft w:val="0"/>
      <w:marRight w:val="0"/>
      <w:marTop w:val="0"/>
      <w:marBottom w:val="0"/>
      <w:divBdr>
        <w:top w:val="none" w:sz="0" w:space="0" w:color="auto"/>
        <w:left w:val="none" w:sz="0" w:space="0" w:color="auto"/>
        <w:bottom w:val="none" w:sz="0" w:space="0" w:color="auto"/>
        <w:right w:val="none" w:sz="0" w:space="0" w:color="auto"/>
      </w:divBdr>
      <w:divsChild>
        <w:div w:id="1155028494">
          <w:marLeft w:val="0"/>
          <w:marRight w:val="0"/>
          <w:marTop w:val="0"/>
          <w:marBottom w:val="0"/>
          <w:divBdr>
            <w:top w:val="none" w:sz="0" w:space="0" w:color="auto"/>
            <w:left w:val="none" w:sz="0" w:space="0" w:color="auto"/>
            <w:bottom w:val="none" w:sz="0" w:space="0" w:color="auto"/>
            <w:right w:val="none" w:sz="0" w:space="0" w:color="auto"/>
          </w:divBdr>
          <w:divsChild>
            <w:div w:id="12853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5877">
      <w:bodyDiv w:val="1"/>
      <w:marLeft w:val="0"/>
      <w:marRight w:val="0"/>
      <w:marTop w:val="0"/>
      <w:marBottom w:val="0"/>
      <w:divBdr>
        <w:top w:val="none" w:sz="0" w:space="0" w:color="auto"/>
        <w:left w:val="none" w:sz="0" w:space="0" w:color="auto"/>
        <w:bottom w:val="none" w:sz="0" w:space="0" w:color="auto"/>
        <w:right w:val="none" w:sz="0" w:space="0" w:color="auto"/>
      </w:divBdr>
      <w:divsChild>
        <w:div w:id="637997597">
          <w:marLeft w:val="0"/>
          <w:marRight w:val="0"/>
          <w:marTop w:val="0"/>
          <w:marBottom w:val="0"/>
          <w:divBdr>
            <w:top w:val="none" w:sz="0" w:space="0" w:color="auto"/>
            <w:left w:val="none" w:sz="0" w:space="0" w:color="auto"/>
            <w:bottom w:val="none" w:sz="0" w:space="0" w:color="auto"/>
            <w:right w:val="none" w:sz="0" w:space="0" w:color="auto"/>
          </w:divBdr>
          <w:divsChild>
            <w:div w:id="21351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2458">
      <w:bodyDiv w:val="1"/>
      <w:marLeft w:val="0"/>
      <w:marRight w:val="0"/>
      <w:marTop w:val="0"/>
      <w:marBottom w:val="0"/>
      <w:divBdr>
        <w:top w:val="none" w:sz="0" w:space="0" w:color="auto"/>
        <w:left w:val="none" w:sz="0" w:space="0" w:color="auto"/>
        <w:bottom w:val="none" w:sz="0" w:space="0" w:color="auto"/>
        <w:right w:val="none" w:sz="0" w:space="0" w:color="auto"/>
      </w:divBdr>
      <w:divsChild>
        <w:div w:id="461311180">
          <w:marLeft w:val="0"/>
          <w:marRight w:val="0"/>
          <w:marTop w:val="0"/>
          <w:marBottom w:val="0"/>
          <w:divBdr>
            <w:top w:val="none" w:sz="0" w:space="0" w:color="auto"/>
            <w:left w:val="none" w:sz="0" w:space="0" w:color="auto"/>
            <w:bottom w:val="none" w:sz="0" w:space="0" w:color="auto"/>
            <w:right w:val="none" w:sz="0" w:space="0" w:color="auto"/>
          </w:divBdr>
          <w:divsChild>
            <w:div w:id="2271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8563">
      <w:bodyDiv w:val="1"/>
      <w:marLeft w:val="0"/>
      <w:marRight w:val="0"/>
      <w:marTop w:val="0"/>
      <w:marBottom w:val="0"/>
      <w:divBdr>
        <w:top w:val="none" w:sz="0" w:space="0" w:color="auto"/>
        <w:left w:val="none" w:sz="0" w:space="0" w:color="auto"/>
        <w:bottom w:val="none" w:sz="0" w:space="0" w:color="auto"/>
        <w:right w:val="none" w:sz="0" w:space="0" w:color="auto"/>
      </w:divBdr>
      <w:divsChild>
        <w:div w:id="2060780297">
          <w:marLeft w:val="0"/>
          <w:marRight w:val="0"/>
          <w:marTop w:val="0"/>
          <w:marBottom w:val="0"/>
          <w:divBdr>
            <w:top w:val="none" w:sz="0" w:space="0" w:color="auto"/>
            <w:left w:val="none" w:sz="0" w:space="0" w:color="auto"/>
            <w:bottom w:val="none" w:sz="0" w:space="0" w:color="auto"/>
            <w:right w:val="none" w:sz="0" w:space="0" w:color="auto"/>
          </w:divBdr>
          <w:divsChild>
            <w:div w:id="14245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gov.ua/baneryi/programni-rro/formi-prro/instruktsii-schodo-zapovnennya-form/" TargetMode="External"/><Relationship Id="rId3" Type="http://schemas.openxmlformats.org/officeDocument/2006/relationships/webSettings" Target="webSettings.xml"/><Relationship Id="rId7" Type="http://schemas.openxmlformats.org/officeDocument/2006/relationships/hyperlink" Target="https://tax.gov.ua/baneryi/programni-rro/programniy-reestrator-rozrahunkovih-operatsiy/fiskalniy-dodatok-prros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ov.ua/baneryi/programni-rro/programniy-reestrator-rozrahunkovih-operatsiy/programniy-reestrator-rozrahunkovih-operatsiy-/" TargetMode="External"/><Relationship Id="rId5" Type="http://schemas.openxmlformats.org/officeDocument/2006/relationships/hyperlink" Target="https://www.kmu.gov.ua/npas/deyaki-pitannya-markuvannya-markami-akciznogo-podatku-tyutyunovih-virobiv-i-ridin-shcho-vikoristovuyutsya-v-elektronnih-sigaretah-i291020-1037" TargetMode="External"/><Relationship Id="rId10" Type="http://schemas.openxmlformats.org/officeDocument/2006/relationships/theme" Target="theme/theme1.xml"/><Relationship Id="rId4" Type="http://schemas.openxmlformats.org/officeDocument/2006/relationships/hyperlink" Target="https://tax.gov.ua/nove-pro-podatki--novini-/439251.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10320</Words>
  <Characters>58825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Маренич Ольга Миколаївна</dc:creator>
  <cp:lastModifiedBy>Маренич Ольга Миколаївна</cp:lastModifiedBy>
  <cp:revision>4</cp:revision>
  <dcterms:created xsi:type="dcterms:W3CDTF">2020-11-20T09:30:00Z</dcterms:created>
  <dcterms:modified xsi:type="dcterms:W3CDTF">2020-11-20T09:34:00Z</dcterms:modified>
</cp:coreProperties>
</file>