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0269" w:rsidRPr="00056315" w:rsidRDefault="00DE0269" w:rsidP="00DE0269">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Щодо програмування кодів УКТ ЗЕД при продажу алкогольних коктейлів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 01.08.2020 набрали чинності зміни до Закону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щодо обов’язку суб’єктів господарювання попереднього програмування кодів згідно з УКТ ЗЕД для всіх підакцизних товарів.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 огляду на це звертаємо увагу платників податків, що алкогольні коктейлі відносяться до коду 22089069 товарної </w:t>
      </w:r>
      <w:proofErr w:type="spellStart"/>
      <w:r w:rsidRPr="00056315">
        <w:rPr>
          <w:rFonts w:ascii="Times New Roman" w:eastAsia="Times New Roman" w:hAnsi="Times New Roman" w:cs="Times New Roman"/>
          <w:sz w:val="20"/>
          <w:szCs w:val="20"/>
          <w:lang w:val="uk-UA" w:eastAsia="ru-RU"/>
        </w:rPr>
        <w:t>підкатегорії</w:t>
      </w:r>
      <w:proofErr w:type="spellEnd"/>
      <w:r w:rsidRPr="00056315">
        <w:rPr>
          <w:rFonts w:ascii="Times New Roman" w:eastAsia="Times New Roman" w:hAnsi="Times New Roman" w:cs="Times New Roman"/>
          <w:sz w:val="20"/>
          <w:szCs w:val="20"/>
          <w:lang w:val="uk-UA" w:eastAsia="ru-RU"/>
        </w:rPr>
        <w:t xml:space="preserve"> згідно з УКТ ЗЕД.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Суб’єкти господарювання при продажу алкогольних коктейлів зобов’язані проводити розрахункові операції на повну суму покупки через реєстратори розрахункових операцій (далі – РРО) або через зареєстровані фіскальним сервером контролюючого органу програмні РРО (далі – ПРРО) та в обов’язковому порядку надавати споживачу розрахунковий документ встановленої форми та змісту на повну суму проведеної операції, створений в паперовій та/або електронній формі, із зазначенням у такому розрахунковому документі попередньо запрограмованого коду УКТ ЗЕД для алкогольних коктейлів.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 правовідносини у цій сфері регулюються Законом № 265 та Законом України від 04 червня 2020 року № 674-IX «Про Митний тариф України» (далі – Закон № 674).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Відповідно до ст. 1 Закону № 674, який набрав чинності 03.07.2020, митний тариф України є невід’ємною частиною Закону № 674 та містить перелік ставок загальнодержавного податку – ввізного мита на товари, що ввозяться на митну територію України і систематизовані згідно з Українською класифікацією товарів зовнішньоекономічної діяльності (УКТ ЗЕД), складеною на основі Гармонізованої системи опису та кодування товарів.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Коди товарів згідно з УКТ ЗЕД (версії 2017 року), затверджені Законом № 674, застосовуються, починаючи з 03.07.2020 року.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Окремі позиції кодів товарів згідно з УКТ ЗЕД (версії 2017 року), визначених у митному тарифі України, встановленому Законом № 674, відрізняються від тих кодів товарів згідно з УКТ ЗЕД (версії 2012 року), які були визначені у митному тарифі України, встановленому Законом України від 19 вересня 2013 року № 584-VII «Про Митний тариф України», чинному до 02.07.2020 (включно).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Наказом Державної митної служби України від 01.07.2020 № 234 було затверджено Перехідні таблиці від УКТ ЗЕД версії 2012 року до УКТ ЗЕД версії 2017 року, які є довідковим матеріалом для зручнішого використання УКТ ЗЕД (версії 2017 року).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Зазначеним наказом, зокрема, визначено, що код УКТ ЗЕД </w:t>
      </w:r>
      <w:r w:rsidRPr="00056315">
        <w:rPr>
          <w:rFonts w:ascii="Times New Roman" w:eastAsia="Times New Roman" w:hAnsi="Times New Roman" w:cs="Times New Roman"/>
          <w:b/>
          <w:bCs/>
          <w:sz w:val="20"/>
          <w:szCs w:val="20"/>
          <w:lang w:val="uk-UA" w:eastAsia="ru-RU"/>
        </w:rPr>
        <w:t>2208906900</w:t>
      </w:r>
      <w:r w:rsidRPr="00056315">
        <w:rPr>
          <w:rFonts w:ascii="Times New Roman" w:eastAsia="Times New Roman" w:hAnsi="Times New Roman" w:cs="Times New Roman"/>
          <w:sz w:val="20"/>
          <w:szCs w:val="20"/>
          <w:lang w:val="uk-UA" w:eastAsia="ru-RU"/>
        </w:rPr>
        <w:t xml:space="preserve"> </w:t>
      </w:r>
      <w:r w:rsidRPr="00056315">
        <w:rPr>
          <w:rFonts w:ascii="Times New Roman" w:eastAsia="Times New Roman" w:hAnsi="Times New Roman" w:cs="Times New Roman"/>
          <w:b/>
          <w:bCs/>
          <w:sz w:val="20"/>
          <w:szCs w:val="20"/>
          <w:lang w:val="uk-UA" w:eastAsia="ru-RU"/>
        </w:rPr>
        <w:t>«Інші напої, що містять спирт»</w:t>
      </w:r>
      <w:r w:rsidRPr="00056315">
        <w:rPr>
          <w:rFonts w:ascii="Times New Roman" w:eastAsia="Times New Roman" w:hAnsi="Times New Roman" w:cs="Times New Roman"/>
          <w:sz w:val="20"/>
          <w:szCs w:val="20"/>
          <w:lang w:val="uk-UA" w:eastAsia="ru-RU"/>
        </w:rPr>
        <w:t xml:space="preserve"> (версії 2012 року) повторно застосовано для коду  УКТ ЗЕД </w:t>
      </w:r>
      <w:r w:rsidRPr="00056315">
        <w:rPr>
          <w:rFonts w:ascii="Times New Roman" w:eastAsia="Times New Roman" w:hAnsi="Times New Roman" w:cs="Times New Roman"/>
          <w:b/>
          <w:bCs/>
          <w:sz w:val="20"/>
          <w:szCs w:val="20"/>
          <w:lang w:val="uk-UA" w:eastAsia="ru-RU"/>
        </w:rPr>
        <w:t>2208906900</w:t>
      </w:r>
      <w:r w:rsidRPr="00056315">
        <w:rPr>
          <w:rFonts w:ascii="Times New Roman" w:eastAsia="Times New Roman" w:hAnsi="Times New Roman" w:cs="Times New Roman"/>
          <w:sz w:val="20"/>
          <w:szCs w:val="20"/>
          <w:lang w:val="uk-UA" w:eastAsia="ru-RU"/>
        </w:rPr>
        <w:t xml:space="preserve"> «Інші напої, що містять спирт» (версії 2017 року) без змін обсягів товарів, що класифікуються в них. Тобто фактично код УКТ ЗЕД </w:t>
      </w:r>
      <w:r w:rsidRPr="00056315">
        <w:rPr>
          <w:rFonts w:ascii="Times New Roman" w:eastAsia="Times New Roman" w:hAnsi="Times New Roman" w:cs="Times New Roman"/>
          <w:b/>
          <w:bCs/>
          <w:sz w:val="20"/>
          <w:szCs w:val="20"/>
          <w:lang w:val="uk-UA" w:eastAsia="ru-RU"/>
        </w:rPr>
        <w:t>2208906900</w:t>
      </w:r>
      <w:r w:rsidRPr="00056315">
        <w:rPr>
          <w:rFonts w:ascii="Times New Roman" w:eastAsia="Times New Roman" w:hAnsi="Times New Roman" w:cs="Times New Roman"/>
          <w:sz w:val="20"/>
          <w:szCs w:val="20"/>
          <w:lang w:val="uk-UA" w:eastAsia="ru-RU"/>
        </w:rPr>
        <w:t xml:space="preserve"> </w:t>
      </w:r>
      <w:r w:rsidRPr="00056315">
        <w:rPr>
          <w:rFonts w:ascii="Times New Roman" w:eastAsia="Times New Roman" w:hAnsi="Times New Roman" w:cs="Times New Roman"/>
          <w:b/>
          <w:bCs/>
          <w:sz w:val="20"/>
          <w:szCs w:val="20"/>
          <w:lang w:val="uk-UA" w:eastAsia="ru-RU"/>
        </w:rPr>
        <w:t>«Інші напої, що містять спирт»</w:t>
      </w:r>
      <w:r w:rsidRPr="00056315">
        <w:rPr>
          <w:rFonts w:ascii="Times New Roman" w:eastAsia="Times New Roman" w:hAnsi="Times New Roman" w:cs="Times New Roman"/>
          <w:sz w:val="20"/>
          <w:szCs w:val="20"/>
          <w:lang w:val="uk-UA" w:eastAsia="ru-RU"/>
        </w:rPr>
        <w:t xml:space="preserve"> Законом № 674 не змінено.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Згідно з Поясненням до Української класифікації товарів зовнішньоекономічної діяльності, затверджених наказом Державної фіскальної служби України від 09.06.2015 № 401 (із змінами, внесеними наказом ДФС від 11.01.2019 № 20), товарна категорія 22089069 включає також спиртні напої, змішані одне з одним, або спиртні напої, змішані з фруктовими або овочевими соками (коктейлі).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Відповідно до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 2 ст. 3 Закону № 265 </w:t>
      </w:r>
      <w:proofErr w:type="spellStart"/>
      <w:r w:rsidRPr="00056315">
        <w:rPr>
          <w:rFonts w:ascii="Times New Roman" w:eastAsia="Times New Roman" w:hAnsi="Times New Roman" w:cs="Times New Roman"/>
          <w:sz w:val="20"/>
          <w:szCs w:val="20"/>
          <w:lang w:val="uk-UA" w:eastAsia="ru-RU"/>
        </w:rPr>
        <w:t>cуб’єкти</w:t>
      </w:r>
      <w:proofErr w:type="spellEnd"/>
      <w:r w:rsidRPr="00056315">
        <w:rPr>
          <w:rFonts w:ascii="Times New Roman" w:eastAsia="Times New Roman" w:hAnsi="Times New Roman" w:cs="Times New Roman"/>
          <w:sz w:val="20"/>
          <w:szCs w:val="20"/>
          <w:lang w:val="uk-UA" w:eastAsia="ru-RU"/>
        </w:rPr>
        <w:t xml:space="preserve">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w:t>
      </w:r>
      <w:proofErr w:type="spellStart"/>
      <w:r w:rsidRPr="00056315">
        <w:rPr>
          <w:rFonts w:ascii="Times New Roman" w:eastAsia="Times New Roman" w:hAnsi="Times New Roman" w:cs="Times New Roman"/>
          <w:sz w:val="20"/>
          <w:szCs w:val="20"/>
          <w:lang w:val="uk-UA" w:eastAsia="ru-RU"/>
        </w:rPr>
        <w:t>чеків</w:t>
      </w:r>
      <w:proofErr w:type="spellEnd"/>
      <w:r w:rsidRPr="00056315">
        <w:rPr>
          <w:rFonts w:ascii="Times New Roman" w:eastAsia="Times New Roman" w:hAnsi="Times New Roman" w:cs="Times New Roman"/>
          <w:sz w:val="20"/>
          <w:szCs w:val="20"/>
          <w:lang w:val="uk-UA" w:eastAsia="ru-RU"/>
        </w:rPr>
        <w:t xml:space="preserve">,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реєстратори розрахункових операцій або через зареєстровані фіскальним сервером контролюючого органу ПРРО із створенням у паперовій та/або електронній формі відповідних розрахункових документів, що підтверджують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надавати особі, яка отримує або повертає товар, отримує послугу або відмовляється від неї, включаючи ті, замовлення або оплата яких здійснюється з використанням мережі Інтернет, при отриманні товарів (послуг) в обов’язковому порядку розрахунковий документ встановленої форми та змісту на повну суму проведеної операції, створений в паперовій та/або електронній формі (у тому числі, але не виключно, з відтворюванням на дисплеї РРО чи дисплеї пристрою, на якому встановлений ПРРО QR-коду, який дозволяє особі здійснювати його зчитування та ідентифікацію із розрахунковим документом за структурою даних, що в ньому міститься, та/або надсиланням електронного розрахункового документа на наданий такою особою абонентський номер або адресу електронної пошти).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Пунктом 11 ст. 3 Закону № 265 визначено,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w:t>
      </w:r>
      <w:proofErr w:type="spellStart"/>
      <w:r w:rsidRPr="00056315">
        <w:rPr>
          <w:rFonts w:ascii="Times New Roman" w:eastAsia="Times New Roman" w:hAnsi="Times New Roman" w:cs="Times New Roman"/>
          <w:sz w:val="20"/>
          <w:szCs w:val="20"/>
          <w:lang w:val="uk-UA" w:eastAsia="ru-RU"/>
        </w:rPr>
        <w:t>чеків</w:t>
      </w:r>
      <w:proofErr w:type="spellEnd"/>
      <w:r w:rsidRPr="00056315">
        <w:rPr>
          <w:rFonts w:ascii="Times New Roman" w:eastAsia="Times New Roman" w:hAnsi="Times New Roman" w:cs="Times New Roman"/>
          <w:sz w:val="20"/>
          <w:szCs w:val="20"/>
          <w:lang w:val="uk-UA" w:eastAsia="ru-RU"/>
        </w:rPr>
        <w:t xml:space="preserve">,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через РРО та/або через ПРРО з використанням режиму попереднього програмування найменування товарів (послуг) (із зазначенням коду товарної </w:t>
      </w:r>
      <w:proofErr w:type="spellStart"/>
      <w:r w:rsidRPr="00056315">
        <w:rPr>
          <w:rFonts w:ascii="Times New Roman" w:eastAsia="Times New Roman" w:hAnsi="Times New Roman" w:cs="Times New Roman"/>
          <w:sz w:val="20"/>
          <w:szCs w:val="20"/>
          <w:lang w:val="uk-UA" w:eastAsia="ru-RU"/>
        </w:rPr>
        <w:t>підкатегорії</w:t>
      </w:r>
      <w:proofErr w:type="spellEnd"/>
      <w:r w:rsidRPr="00056315">
        <w:rPr>
          <w:rFonts w:ascii="Times New Roman" w:eastAsia="Times New Roman" w:hAnsi="Times New Roman" w:cs="Times New Roman"/>
          <w:sz w:val="20"/>
          <w:szCs w:val="20"/>
          <w:lang w:val="uk-UA" w:eastAsia="ru-RU"/>
        </w:rPr>
        <w:t xml:space="preserve"> згідно з УКТ ЗЕД для підакцизних товарів), цін товарів (послуг) та обліку їх кількості.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Форму та зміст розрахункового документа визначено Положенням про форму та зміст розрахункових документів, яке затверджене наказом Міністерства фінансів України від 21.01.2016 № 13 із змінами та доповненнями, (далі – Положення № 13).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 пунктами 1 та 2 розділу ІІ Положення № 13 визначено, що фіскальний касовий чек на товари (послуги) – це розрахунковий документ, надрукований РРО при проведенні розрахунків за продані товари (надані послуги), який повинен містити обов’язкові реквізити згідно з визначеним переліком. Одним з таких обов’язкових реквізитів є, зокрема, код УКТ ЗЕД для підакцизних товарів (у тому числі алкогольних коктейлів).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Інформацію розміщено на офіційному </w:t>
      </w:r>
      <w:proofErr w:type="spellStart"/>
      <w:r w:rsidRPr="00056315">
        <w:rPr>
          <w:rFonts w:ascii="Times New Roman" w:eastAsia="Times New Roman" w:hAnsi="Times New Roman" w:cs="Times New Roman"/>
          <w:sz w:val="20"/>
          <w:szCs w:val="20"/>
          <w:lang w:val="uk-UA" w:eastAsia="ru-RU"/>
        </w:rPr>
        <w:t>вебпорталі</w:t>
      </w:r>
      <w:proofErr w:type="spellEnd"/>
      <w:r w:rsidRPr="00056315">
        <w:rPr>
          <w:rFonts w:ascii="Times New Roman" w:eastAsia="Times New Roman" w:hAnsi="Times New Roman" w:cs="Times New Roman"/>
          <w:sz w:val="20"/>
          <w:szCs w:val="20"/>
          <w:lang w:val="uk-UA" w:eastAsia="ru-RU"/>
        </w:rPr>
        <w:t xml:space="preserve"> ДПС України за посиланням:  </w:t>
      </w:r>
      <w:hyperlink r:id="rId6" w:history="1">
        <w:r w:rsidRPr="00056315">
          <w:rPr>
            <w:rFonts w:ascii="Times New Roman" w:eastAsia="Times New Roman" w:hAnsi="Times New Roman" w:cs="Times New Roman"/>
            <w:color w:val="0000FF"/>
            <w:sz w:val="20"/>
            <w:szCs w:val="20"/>
            <w:u w:val="single"/>
            <w:lang w:val="uk-UA" w:eastAsia="ru-RU"/>
          </w:rPr>
          <w:t>https://tax.gov.ua/nove-pro-podatki--</w:t>
        </w:r>
        <w:proofErr w:type="spellStart"/>
        <w:r w:rsidRPr="00056315">
          <w:rPr>
            <w:rFonts w:ascii="Times New Roman" w:eastAsia="Times New Roman" w:hAnsi="Times New Roman" w:cs="Times New Roman"/>
            <w:color w:val="0000FF"/>
            <w:sz w:val="20"/>
            <w:szCs w:val="20"/>
            <w:u w:val="single"/>
            <w:lang w:val="uk-UA" w:eastAsia="ru-RU"/>
          </w:rPr>
          <w:t>novini</w:t>
        </w:r>
        <w:proofErr w:type="spellEnd"/>
        <w:r w:rsidRPr="00056315">
          <w:rPr>
            <w:rFonts w:ascii="Times New Roman" w:eastAsia="Times New Roman" w:hAnsi="Times New Roman" w:cs="Times New Roman"/>
            <w:color w:val="0000FF"/>
            <w:sz w:val="20"/>
            <w:szCs w:val="20"/>
            <w:u w:val="single"/>
            <w:lang w:val="uk-UA" w:eastAsia="ru-RU"/>
          </w:rPr>
          <w:t>-/433883.html</w:t>
        </w:r>
      </w:hyperlink>
      <w:r w:rsidRPr="00056315">
        <w:rPr>
          <w:rFonts w:ascii="Times New Roman" w:eastAsia="Times New Roman" w:hAnsi="Times New Roman" w:cs="Times New Roman"/>
          <w:sz w:val="20"/>
          <w:szCs w:val="20"/>
          <w:lang w:val="uk-UA" w:eastAsia="ru-RU"/>
        </w:rPr>
        <w:t xml:space="preserve"> </w:t>
      </w:r>
    </w:p>
    <w:p w:rsidR="00056315" w:rsidRPr="00056315" w:rsidRDefault="00056315" w:rsidP="00DE0269">
      <w:pPr>
        <w:rPr>
          <w:rFonts w:ascii="Times New Roman" w:eastAsia="Times New Roman" w:hAnsi="Times New Roman" w:cs="Times New Roman"/>
          <w:sz w:val="20"/>
          <w:szCs w:val="20"/>
          <w:lang w:val="uk-UA" w:eastAsia="ru-RU"/>
        </w:rPr>
      </w:pPr>
    </w:p>
    <w:p w:rsidR="00DE0269" w:rsidRPr="00056315" w:rsidRDefault="00DE0269" w:rsidP="00DE0269">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Виграш фізичної особи у державну грошову лотерею підлягає оподаткуванню ПДФО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lastRenderedPageBreak/>
        <w:t xml:space="preserve">Повідомляємо, що основні засади державного регулювання лотерейної сфери в Україні, створення сприятливих умов для розвитку лотерейного ринку встановлено Законом України від 06 вересня 2012 року № 5204-VI «Про державні лотереї в Україні» із змінами.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Приз (виграш) – це кошти, майно, майнові чи немайнові права, які підлягають виплаті (видачі) учаснику у разі його виграшу в державну лотерею відповідно до оприлюднених умов її проведення (ст. 1 Закону № 5204).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Оподаткування доходів фізичних осіб регулюється розділом IV Податкового кодексу України.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Так, до загального місячного (річного) оподатковуваного доходу платника податку на доходи фізичних осіб  включаються, зокрема, доходи у вигляді виграшів, призів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164.2.8 п. 164.2 ст. 164 ПКУ).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Особливості нарахування (виплати) та оподаткування виграшів та призів регулюється п. 170.6 ст. 170 ПКУ, згідно з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170.6.1 якого податковим агентом платника ПДФО під час нарахування (виплати, надання) на його користь доходу у вигляді виграшів (призів) у лотерею чи в інші розіграші, є особа, яка здійснює таке нарахування (виплату).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Відповідно до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170.6.2 п. 170.6 ст. 170 ПКУ податковим агентом – оператором лотереї у строки, визначені ПКУ для місячного податкового періоду, до бюджету сплачується (перераховується) загальна сума ПДФО, нарахованого за ставкою, визначеною п. 167.1 ст. 167 ПКУ (18 відсотків), із загальної суми виграшів (призів), виплачених за податковий (звітний) місяць гравцям у лотерею.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Крім того, податкові агенти – оператори лотереї у податковому розрахунку, подання якого передбачено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«б» п. 176.2 ст. 176 ПКУ, відображають загальну суму нарахованих (виплачених) у звітному податковому періоді доходів у вигляді виграшів (призів) та загальну суму утриманого з них ПДФО. При цьому у податковому розрахунку не зазначається інформація про суми окремого виграшу, суми нарахованого на нього ПДФО, а також відомості про фізичну особу – платника ПДФО, яка одержала дохід у вигляді виграшу (призу)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170.6.2 п. 170.6 ст. 170 ПКУ).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Також слід зазначити, що під час нарахування (виплати) доходів у вигляді виграшів у лотерею або в інших розіграшах, які передбачають попереднє придбання платником ПДФО права на участь у таких лотереях чи розіграшах, не беруться до уваги витрати платника ПДФО у зв’язку з отриманням такого доходу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170.6.4 п. 170.6 ст. 170 ПКУ).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Доходи, зазначені у п. 170.6 ст. 170 ПКУ, остаточно оподатковуються під час їх виплати за їх рахунок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170.6.5 п. 170.6 ст. 170 ПКУ). </w:t>
      </w:r>
    </w:p>
    <w:p w:rsidR="00DE0269" w:rsidRPr="00056315" w:rsidRDefault="00DE0269" w:rsidP="00DE0269">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Отже, дохід у вигляді виграшів (призів) у державну грошову лотерею включається до загального місячного (річного) оподаткованого доходу платника ПДФО та оподатковується ПДФО за ставкою 18 відсотків. </w:t>
      </w:r>
    </w:p>
    <w:p w:rsidR="00BD5098" w:rsidRDefault="00BD5098" w:rsidP="00DE0269">
      <w:pPr>
        <w:rPr>
          <w:rFonts w:ascii="Times New Roman" w:eastAsia="Times New Roman" w:hAnsi="Times New Roman" w:cs="Times New Roman"/>
          <w:sz w:val="20"/>
          <w:szCs w:val="20"/>
          <w:lang w:val="uk-UA" w:eastAsia="ru-RU"/>
        </w:rPr>
      </w:pPr>
    </w:p>
    <w:p w:rsidR="00BD5098" w:rsidRPr="00056315" w:rsidRDefault="00BD5098" w:rsidP="00BD5098">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Програмний РРО – просте рішення для ведення бізнесу від ДПС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Начальник Головного управління ДПС у Дніпропетровській області Ганна Чуб проінформувала слухачів UA: Українське радіо Дніпро про актуальні зміни у застосуванні програмних РРО.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Ганна Володимирівна зазначила, що з </w:t>
      </w:r>
      <w:r w:rsidRPr="00056315">
        <w:rPr>
          <w:rFonts w:ascii="Times New Roman" w:eastAsia="Times New Roman" w:hAnsi="Times New Roman" w:cs="Times New Roman"/>
          <w:b/>
          <w:bCs/>
          <w:sz w:val="20"/>
          <w:szCs w:val="20"/>
          <w:lang w:val="uk-UA" w:eastAsia="ru-RU"/>
        </w:rPr>
        <w:t>01 серпня 2020 року</w:t>
      </w:r>
      <w:r w:rsidRPr="00056315">
        <w:rPr>
          <w:rFonts w:ascii="Times New Roman" w:eastAsia="Times New Roman" w:hAnsi="Times New Roman" w:cs="Times New Roman"/>
          <w:sz w:val="20"/>
          <w:szCs w:val="20"/>
          <w:lang w:val="uk-UA" w:eastAsia="ru-RU"/>
        </w:rPr>
        <w:t xml:space="preserve"> набрали чинності норми законів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детінізації розрахунків у сфері торгівлі та послуг» (із змінами) та № 129-ІХ «Про внесення змін до Податкового кодексу України щодо детінізації розрахунків у сфері торгівлі та послуг» (із змінами).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Зазначеними законами запроваджено ряд новацій у сфері застосування реєстраторів розрахункових операцій (РРО).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 </w:t>
      </w:r>
      <w:r w:rsidRPr="00056315">
        <w:rPr>
          <w:rFonts w:ascii="Times New Roman" w:eastAsia="Times New Roman" w:hAnsi="Times New Roman" w:cs="Times New Roman"/>
          <w:b/>
          <w:bCs/>
          <w:sz w:val="20"/>
          <w:szCs w:val="20"/>
          <w:lang w:val="uk-UA" w:eastAsia="ru-RU"/>
        </w:rPr>
        <w:t>з 01 серпня 2020 року</w:t>
      </w:r>
      <w:r w:rsidRPr="00056315">
        <w:rPr>
          <w:rFonts w:ascii="Times New Roman" w:eastAsia="Times New Roman" w:hAnsi="Times New Roman" w:cs="Times New Roman"/>
          <w:sz w:val="20"/>
          <w:szCs w:val="20"/>
          <w:lang w:val="uk-UA" w:eastAsia="ru-RU"/>
        </w:rPr>
        <w:t xml:space="preserve"> кожен суб’єкт господарювання може обрати РРО, який йому зручніше використовувати під час здійснення розрахункових операцій, тобто або класичний РРО або програмний РРО.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 сьогодні для застосування програмного РРО існує розроблене ДПС програмне рішення, яке доступне кожному суб’єкту господарювання на безкоштовній основі, та розміщене на офіційному </w:t>
      </w:r>
      <w:proofErr w:type="spellStart"/>
      <w:r w:rsidRPr="00056315">
        <w:rPr>
          <w:rFonts w:ascii="Times New Roman" w:eastAsia="Times New Roman" w:hAnsi="Times New Roman" w:cs="Times New Roman"/>
          <w:sz w:val="20"/>
          <w:szCs w:val="20"/>
          <w:lang w:val="uk-UA" w:eastAsia="ru-RU"/>
        </w:rPr>
        <w:t>вебпорталі</w:t>
      </w:r>
      <w:proofErr w:type="spellEnd"/>
      <w:r w:rsidRPr="00056315">
        <w:rPr>
          <w:rFonts w:ascii="Times New Roman" w:eastAsia="Times New Roman" w:hAnsi="Times New Roman" w:cs="Times New Roman"/>
          <w:sz w:val="20"/>
          <w:szCs w:val="20"/>
          <w:lang w:val="uk-UA" w:eastAsia="ru-RU"/>
        </w:rPr>
        <w:t xml:space="preserve"> ДПС України у банері </w:t>
      </w:r>
      <w:r w:rsidRPr="00056315">
        <w:rPr>
          <w:rFonts w:ascii="Times New Roman" w:eastAsia="Times New Roman" w:hAnsi="Times New Roman" w:cs="Times New Roman"/>
          <w:i/>
          <w:iCs/>
          <w:sz w:val="20"/>
          <w:szCs w:val="20"/>
          <w:lang w:val="uk-UA" w:eastAsia="ru-RU"/>
        </w:rPr>
        <w:t>«Програмні РРО».</w:t>
      </w:r>
      <w:r w:rsidRPr="00056315">
        <w:rPr>
          <w:rFonts w:ascii="Times New Roman" w:eastAsia="Times New Roman" w:hAnsi="Times New Roman" w:cs="Times New Roman"/>
          <w:sz w:val="20"/>
          <w:szCs w:val="20"/>
          <w:lang w:val="uk-UA" w:eastAsia="ru-RU"/>
        </w:rPr>
        <w:t xml:space="preserve">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Суб’єкту господарювання, який має намір зареєструвати програмний РРО, необхідно перебувати на обліку в контролюючому органі. Також на обліку має перебувати його господарська одиниця, де буде використовуватись такий програмний РРО. Про таку господарську одиницю платник повідомляє контролюючий орган відповідно до вимог п. 63.3 ст. 63 Податкового кодексу України за формою № 20-ОПП.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Після включення програмного РРО до Реєстру програмних реєстраторів розрахункових операцій такий РРО може використовуватись суб’єктом господарювання.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Здійснити реєстрацію програмного РРО можна в електронному вигляді за допомогою електронного сервісу «Електронний кабінет».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Передача даних від програмного РРО до фіскального сервера здійснюється засобами комунікацій з використанням кваліфікованого електронного підпису або печатки.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Безкоштовно електронні підписи та печатки можна отримати у кваліфікованого надавача електронних довірчих послуг Інформаційно-довідкового департаменту ДПС.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Про сертифікати електронних підписів та/або печаток, що будуть використовуватись для програмних РРО, суб’єкт господарювання повідомляє згідно з Порядком обміну електронними документами з контролюючими органами, затвердженим наказом Міністерства фінансів України від 06 червня 2017 року № 557 із змінами.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Програмування найменування товарів (послуг) через програмний РРО здійснюється оператором (касиром) самостійно шляхом додавання таких товарів за допомогою самого програмного забезпечення або за допомогою імпорту раніше підготованого переліку номенклатури, який формується для кожного програмного забезпечення в окремому форматі згідно з інструкцією, що додається до того ж архіву, що і програмне забезпечення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Звертаємо також увагу, що з </w:t>
      </w:r>
      <w:r w:rsidRPr="00056315">
        <w:rPr>
          <w:rFonts w:ascii="Times New Roman" w:eastAsia="Times New Roman" w:hAnsi="Times New Roman" w:cs="Times New Roman"/>
          <w:b/>
          <w:bCs/>
          <w:sz w:val="20"/>
          <w:szCs w:val="20"/>
          <w:lang w:val="uk-UA" w:eastAsia="ru-RU"/>
        </w:rPr>
        <w:t>01 серпня 2020 року</w:t>
      </w:r>
      <w:r w:rsidRPr="00056315">
        <w:rPr>
          <w:rFonts w:ascii="Times New Roman" w:eastAsia="Times New Roman" w:hAnsi="Times New Roman" w:cs="Times New Roman"/>
          <w:sz w:val="20"/>
          <w:szCs w:val="20"/>
          <w:lang w:val="uk-UA" w:eastAsia="ru-RU"/>
        </w:rPr>
        <w:t xml:space="preserve"> застосовуються штрафні санкції у разі виявлення порушень при використанні РРО або програмних РРО.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 тимчасово, </w:t>
      </w:r>
      <w:r w:rsidRPr="00056315">
        <w:rPr>
          <w:rFonts w:ascii="Times New Roman" w:eastAsia="Times New Roman" w:hAnsi="Times New Roman" w:cs="Times New Roman"/>
          <w:b/>
          <w:bCs/>
          <w:sz w:val="20"/>
          <w:szCs w:val="20"/>
          <w:lang w:val="uk-UA" w:eastAsia="ru-RU"/>
        </w:rPr>
        <w:t>з 01 серпня поточного року</w:t>
      </w:r>
      <w:r w:rsidRPr="00056315">
        <w:rPr>
          <w:rFonts w:ascii="Times New Roman" w:eastAsia="Times New Roman" w:hAnsi="Times New Roman" w:cs="Times New Roman"/>
          <w:sz w:val="20"/>
          <w:szCs w:val="20"/>
          <w:lang w:val="uk-UA" w:eastAsia="ru-RU"/>
        </w:rPr>
        <w:t xml:space="preserve"> застосовуються штрафи за перше порушення у розмірі </w:t>
      </w:r>
      <w:r w:rsidRPr="00056315">
        <w:rPr>
          <w:rFonts w:ascii="Times New Roman" w:eastAsia="Times New Roman" w:hAnsi="Times New Roman" w:cs="Times New Roman"/>
          <w:b/>
          <w:bCs/>
          <w:sz w:val="20"/>
          <w:szCs w:val="20"/>
          <w:lang w:val="uk-UA" w:eastAsia="ru-RU"/>
        </w:rPr>
        <w:t>10 %</w:t>
      </w:r>
      <w:r w:rsidRPr="00056315">
        <w:rPr>
          <w:rFonts w:ascii="Times New Roman" w:eastAsia="Times New Roman" w:hAnsi="Times New Roman" w:cs="Times New Roman"/>
          <w:sz w:val="20"/>
          <w:szCs w:val="20"/>
          <w:lang w:val="uk-UA" w:eastAsia="ru-RU"/>
        </w:rPr>
        <w:t xml:space="preserve"> і за кожне наступне порушення </w:t>
      </w:r>
      <w:r w:rsidRPr="00056315">
        <w:rPr>
          <w:rFonts w:ascii="Times New Roman" w:eastAsia="Times New Roman" w:hAnsi="Times New Roman" w:cs="Times New Roman"/>
          <w:b/>
          <w:bCs/>
          <w:sz w:val="20"/>
          <w:szCs w:val="20"/>
          <w:lang w:val="uk-UA" w:eastAsia="ru-RU"/>
        </w:rPr>
        <w:t>50 %</w:t>
      </w:r>
      <w:r w:rsidRPr="00056315">
        <w:rPr>
          <w:rFonts w:ascii="Times New Roman" w:eastAsia="Times New Roman" w:hAnsi="Times New Roman" w:cs="Times New Roman"/>
          <w:sz w:val="20"/>
          <w:szCs w:val="20"/>
          <w:lang w:val="uk-UA" w:eastAsia="ru-RU"/>
        </w:rPr>
        <w:t xml:space="preserve"> вартості проданих з порушенням товарів, виконаних робіт, наданих послуг.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 </w:t>
      </w:r>
      <w:r w:rsidRPr="00056315">
        <w:rPr>
          <w:rFonts w:ascii="Times New Roman" w:eastAsia="Times New Roman" w:hAnsi="Times New Roman" w:cs="Times New Roman"/>
          <w:b/>
          <w:bCs/>
          <w:sz w:val="20"/>
          <w:szCs w:val="20"/>
          <w:lang w:val="uk-UA" w:eastAsia="ru-RU"/>
        </w:rPr>
        <w:t>01 січня 2021 року</w:t>
      </w:r>
      <w:r w:rsidRPr="00056315">
        <w:rPr>
          <w:rFonts w:ascii="Times New Roman" w:eastAsia="Times New Roman" w:hAnsi="Times New Roman" w:cs="Times New Roman"/>
          <w:sz w:val="20"/>
          <w:szCs w:val="20"/>
          <w:lang w:val="uk-UA" w:eastAsia="ru-RU"/>
        </w:rPr>
        <w:t xml:space="preserve"> розмір штрафу буде становити </w:t>
      </w:r>
      <w:r w:rsidRPr="00056315">
        <w:rPr>
          <w:rFonts w:ascii="Times New Roman" w:eastAsia="Times New Roman" w:hAnsi="Times New Roman" w:cs="Times New Roman"/>
          <w:b/>
          <w:bCs/>
          <w:sz w:val="20"/>
          <w:szCs w:val="20"/>
          <w:lang w:val="uk-UA" w:eastAsia="ru-RU"/>
        </w:rPr>
        <w:t>100 %</w:t>
      </w:r>
      <w:r w:rsidRPr="00056315">
        <w:rPr>
          <w:rFonts w:ascii="Times New Roman" w:eastAsia="Times New Roman" w:hAnsi="Times New Roman" w:cs="Times New Roman"/>
          <w:sz w:val="20"/>
          <w:szCs w:val="20"/>
          <w:lang w:val="uk-UA" w:eastAsia="ru-RU"/>
        </w:rPr>
        <w:t xml:space="preserve"> і </w:t>
      </w:r>
      <w:r w:rsidRPr="00056315">
        <w:rPr>
          <w:rFonts w:ascii="Times New Roman" w:eastAsia="Times New Roman" w:hAnsi="Times New Roman" w:cs="Times New Roman"/>
          <w:b/>
          <w:bCs/>
          <w:sz w:val="20"/>
          <w:szCs w:val="20"/>
          <w:lang w:val="uk-UA" w:eastAsia="ru-RU"/>
        </w:rPr>
        <w:t>150 %</w:t>
      </w:r>
      <w:r w:rsidRPr="00056315">
        <w:rPr>
          <w:rFonts w:ascii="Times New Roman" w:eastAsia="Times New Roman" w:hAnsi="Times New Roman" w:cs="Times New Roman"/>
          <w:sz w:val="20"/>
          <w:szCs w:val="20"/>
          <w:lang w:val="uk-UA" w:eastAsia="ru-RU"/>
        </w:rPr>
        <w:t xml:space="preserve"> вартості проданих з порушенням товарів (робіт, послуг) за перше та наступне порушення відповідно.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lastRenderedPageBreak/>
        <w:t xml:space="preserve">Проте, додаткових штрафних санкцій до вже передбачених Законом України «Про застосування реєстраторів розрахункових операцій у сфері торгівлі, громадського харчування та послуг» не встановлено.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Окремо зупинимось на </w:t>
      </w:r>
      <w:r w:rsidRPr="00056315">
        <w:rPr>
          <w:rFonts w:ascii="Times New Roman" w:eastAsia="Times New Roman" w:hAnsi="Times New Roman" w:cs="Times New Roman"/>
          <w:b/>
          <w:bCs/>
          <w:sz w:val="20"/>
          <w:szCs w:val="20"/>
          <w:lang w:val="uk-UA" w:eastAsia="ru-RU"/>
        </w:rPr>
        <w:t>перевагах програмних РРО, якими є:</w:t>
      </w:r>
      <w:r w:rsidRPr="00056315">
        <w:rPr>
          <w:rFonts w:ascii="Times New Roman" w:eastAsia="Times New Roman" w:hAnsi="Times New Roman" w:cs="Times New Roman"/>
          <w:sz w:val="20"/>
          <w:szCs w:val="20"/>
          <w:lang w:val="uk-UA" w:eastAsia="ru-RU"/>
        </w:rPr>
        <w:t xml:space="preserve">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 вільний вибір суб’єктом господарювання класичного або програмного РРО;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відсутність посередників, зокрема Центрів сервісного обслуговування;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відсутність експертизи для комерційних програмних РРО;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пристосовність для будь-якого пристрою, що підтримує операційну систему Windows, </w:t>
      </w:r>
      <w:proofErr w:type="spellStart"/>
      <w:r w:rsidRPr="00056315">
        <w:rPr>
          <w:rFonts w:ascii="Times New Roman" w:eastAsia="Times New Roman" w:hAnsi="Times New Roman" w:cs="Times New Roman"/>
          <w:sz w:val="20"/>
          <w:szCs w:val="20"/>
          <w:lang w:val="uk-UA" w:eastAsia="ru-RU"/>
        </w:rPr>
        <w:t>Android</w:t>
      </w:r>
      <w:proofErr w:type="spellEnd"/>
      <w:r w:rsidRPr="00056315">
        <w:rPr>
          <w:rFonts w:ascii="Times New Roman" w:eastAsia="Times New Roman" w:hAnsi="Times New Roman" w:cs="Times New Roman"/>
          <w:sz w:val="20"/>
          <w:szCs w:val="20"/>
          <w:lang w:val="uk-UA" w:eastAsia="ru-RU"/>
        </w:rPr>
        <w:t xml:space="preserve">;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онлайн-реєстрація програмного РРО у контролюючому органі;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виключно електронний документообіг з контролюючими органами;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безкоштовність програмного рішення ДПС.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Довідково повідомляємо, що роз’яснення стосовно отримання кваліфікованих сертифікатів електронних підписів та печаток для програмних РРО розміщені у відповідному розділі банеру </w:t>
      </w:r>
      <w:r w:rsidRPr="00056315">
        <w:rPr>
          <w:rFonts w:ascii="Times New Roman" w:eastAsia="Times New Roman" w:hAnsi="Times New Roman" w:cs="Times New Roman"/>
          <w:i/>
          <w:iCs/>
          <w:sz w:val="20"/>
          <w:szCs w:val="20"/>
          <w:lang w:val="uk-UA" w:eastAsia="ru-RU"/>
        </w:rPr>
        <w:t>«Програмні РРО»</w:t>
      </w:r>
      <w:r w:rsidRPr="00056315">
        <w:rPr>
          <w:rFonts w:ascii="Times New Roman" w:eastAsia="Times New Roman" w:hAnsi="Times New Roman" w:cs="Times New Roman"/>
          <w:sz w:val="20"/>
          <w:szCs w:val="20"/>
          <w:lang w:val="uk-UA" w:eastAsia="ru-RU"/>
        </w:rPr>
        <w:t xml:space="preserve">.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разі виникнення технічних, методологічних запитань необхідно звертатись за телефоном </w:t>
      </w:r>
      <w:r w:rsidRPr="00056315">
        <w:rPr>
          <w:rFonts w:ascii="Times New Roman" w:eastAsia="Times New Roman" w:hAnsi="Times New Roman" w:cs="Times New Roman"/>
          <w:b/>
          <w:bCs/>
          <w:sz w:val="20"/>
          <w:szCs w:val="20"/>
          <w:lang w:val="uk-UA" w:eastAsia="ru-RU"/>
        </w:rPr>
        <w:t>0 800 501 007</w:t>
      </w:r>
      <w:r w:rsidRPr="00056315">
        <w:rPr>
          <w:rFonts w:ascii="Times New Roman" w:eastAsia="Times New Roman" w:hAnsi="Times New Roman" w:cs="Times New Roman"/>
          <w:sz w:val="20"/>
          <w:szCs w:val="20"/>
          <w:lang w:val="uk-UA" w:eastAsia="ru-RU"/>
        </w:rPr>
        <w:t xml:space="preserve">. </w:t>
      </w:r>
    </w:p>
    <w:p w:rsidR="00DE0269" w:rsidRPr="00056315" w:rsidRDefault="00DE0269" w:rsidP="00DE0269">
      <w:pPr>
        <w:rPr>
          <w:rFonts w:ascii="Times New Roman" w:eastAsia="Times New Roman" w:hAnsi="Times New Roman" w:cs="Times New Roman"/>
          <w:sz w:val="20"/>
          <w:szCs w:val="20"/>
          <w:lang w:val="uk-UA" w:eastAsia="ru-RU"/>
        </w:rPr>
      </w:pPr>
    </w:p>
    <w:p w:rsidR="00A2689F" w:rsidRPr="00056315" w:rsidRDefault="00A2689F" w:rsidP="00DE0269">
      <w:pPr>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Податківцями Дніпропетровщини з початку року проведено 202 фактичні перевірки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Протягом січня – серпня 2020 року працівниками Головного управління ДПС у Дніпропетровській області проведено 202 фактичні перевірки суб’єктів господарювання щодо контролю у сфері обігу підакцизних товарів, у ході яких виявлено 218 порушень законодавства. Загальна сума нарахованих фінансових санкцій – 19 млн 952 тис гривень.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«Найчастіше суб’єкти господарювання здійснювали роздрібну торгівлю алкогольними напоями та тютюновими виробами без наявності ліцензій (38 випадків)», - прокоментувала в.о. начальника Головного управління ДПС у Дніпропетровській області Ольга Мазур.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Крім того, виявлено: 34 факти роздрібної та 3 факти оптової торгівлі пальним без наявності ліцензії, 34 факти торгівлі алкогольними напоями за цінами нижчими від мінімальних роздрібних цін, 37 - торгівлі алкогольними напоями на розлив, 13 - торгівлі тютюновими виробами за цінами вищими від максимальних, 26 фактів не обладнання резервуарів рівнемірами-лічильниками та/або витратомірами-лічильниками, 22 – не своєчасного подання довідки про фактичні залишки пального, 4 - торгівлі тютюновими виробами поштучно, 4 факти зберігання алкогольних напоїв та тютюнових виробів без марок акцизного податку, 1 факт роздрібної торгівлі пальним через реєстратор розрахункових операцій, який не зазначено у ліцензії, 1 факт зберігання алкогольних напоїв в місці, не внесеному до Єдиного державного реєстру місць зберігання та 1 факт виробництва алкогольних напоїв без марок акцизного податку встановленого зразка.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Супроводження судових спорів у справах загальної юрисдикції та правового забезпечення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Днями в інформаційному агентстві «</w:t>
      </w:r>
      <w:proofErr w:type="spellStart"/>
      <w:r w:rsidRPr="00056315">
        <w:rPr>
          <w:rFonts w:ascii="Times New Roman" w:eastAsia="Times New Roman" w:hAnsi="Times New Roman" w:cs="Times New Roman"/>
          <w:sz w:val="20"/>
          <w:szCs w:val="20"/>
          <w:lang w:val="uk-UA" w:eastAsia="ru-RU"/>
        </w:rPr>
        <w:t>Мост-Днепр</w:t>
      </w:r>
      <w:proofErr w:type="spellEnd"/>
      <w:r w:rsidRPr="00056315">
        <w:rPr>
          <w:rFonts w:ascii="Times New Roman" w:eastAsia="Times New Roman" w:hAnsi="Times New Roman" w:cs="Times New Roman"/>
          <w:sz w:val="20"/>
          <w:szCs w:val="20"/>
          <w:lang w:val="uk-UA" w:eastAsia="ru-RU"/>
        </w:rPr>
        <w:t xml:space="preserve">» відбулась </w:t>
      </w:r>
      <w:proofErr w:type="spellStart"/>
      <w:r w:rsidRPr="00056315">
        <w:rPr>
          <w:rFonts w:ascii="Times New Roman" w:eastAsia="Times New Roman" w:hAnsi="Times New Roman" w:cs="Times New Roman"/>
          <w:sz w:val="20"/>
          <w:szCs w:val="20"/>
          <w:lang w:val="uk-UA" w:eastAsia="ru-RU"/>
        </w:rPr>
        <w:t>пресконференція</w:t>
      </w:r>
      <w:proofErr w:type="spellEnd"/>
      <w:r w:rsidRPr="00056315">
        <w:rPr>
          <w:rFonts w:ascii="Times New Roman" w:eastAsia="Times New Roman" w:hAnsi="Times New Roman" w:cs="Times New Roman"/>
          <w:sz w:val="20"/>
          <w:szCs w:val="20"/>
          <w:lang w:val="uk-UA" w:eastAsia="ru-RU"/>
        </w:rPr>
        <w:t xml:space="preserve"> на тему «Супроводження судових спорів у справах загальної юрисдикції та правового забезпечення».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w:t>
      </w:r>
      <w:proofErr w:type="spellStart"/>
      <w:r w:rsidRPr="00056315">
        <w:rPr>
          <w:rFonts w:ascii="Times New Roman" w:eastAsia="Times New Roman" w:hAnsi="Times New Roman" w:cs="Times New Roman"/>
          <w:sz w:val="20"/>
          <w:szCs w:val="20"/>
          <w:lang w:val="uk-UA" w:eastAsia="ru-RU"/>
        </w:rPr>
        <w:t>пресконференції</w:t>
      </w:r>
      <w:proofErr w:type="spellEnd"/>
      <w:r w:rsidRPr="00056315">
        <w:rPr>
          <w:rFonts w:ascii="Times New Roman" w:eastAsia="Times New Roman" w:hAnsi="Times New Roman" w:cs="Times New Roman"/>
          <w:sz w:val="20"/>
          <w:szCs w:val="20"/>
          <w:lang w:val="uk-UA" w:eastAsia="ru-RU"/>
        </w:rPr>
        <w:t xml:space="preserve"> прийняв участь заступник начальника відділу супроводження судових спорів за представництвом інтересів ДПС управління правової роботи Головного управління ДПС у Дніпропетровській області Богдан Нагорний.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 розгляді у судах різних інстанцій знаходиться понад 7 тис. справ за позовами платників податків до Головного управління ДПС у Дніпропетровській області (далі – ГУ ДПС у Дніпропетровській області). Супроводження судових справ забезпечується працівниками управління правової роботи ГУ ДПС у Дніпропетровській області.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 період січень-серпень 2020 року судом порушено провадження по 680 справах за адміністративними позовами платників податків до ГУ ДПС у  Дніпропетровській області про визнання протиправними податкових повідомлень-рішень.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 початку 2020 року ГУ ДПС у Дніпропетровській області подано 371 позов про стягнення податкового боргу на загальну суму 714 млн 768 тис. гривень. На сьогоднішній день щодо цієї категорії справ склалася судова практика, відповідно до якої суди в переважній більшості випадків задовольняють вимоги контролюючого органу. При цьому судами ретельно досліджуються підстави виникнення податкового боргу та правомірність розрахунку штрафних санкцій», - проінформував Богдан Нагорний.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Також він зазначив, що на супроводженні управління правової роботи знаходиться близько 460 справ за позовами платників податків, про визнання протиправними дій та рішень щодо відмови у реєстрації податкових накладних.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Працівниками ГУ ДПС у Дніпропетровській області проводиться взаємодія з платниками податків в частині надання відповідей на інформаційні, адвокатські та інші запити до контролюючого органу з питань що стосуються </w:t>
      </w:r>
      <w:proofErr w:type="spellStart"/>
      <w:r w:rsidRPr="00056315">
        <w:rPr>
          <w:rFonts w:ascii="Times New Roman" w:eastAsia="Times New Roman" w:hAnsi="Times New Roman" w:cs="Times New Roman"/>
          <w:sz w:val="20"/>
          <w:szCs w:val="20"/>
          <w:lang w:val="uk-UA" w:eastAsia="ru-RU"/>
        </w:rPr>
        <w:t>супровводження</w:t>
      </w:r>
      <w:proofErr w:type="spellEnd"/>
      <w:r w:rsidRPr="00056315">
        <w:rPr>
          <w:rFonts w:ascii="Times New Roman" w:eastAsia="Times New Roman" w:hAnsi="Times New Roman" w:cs="Times New Roman"/>
          <w:sz w:val="20"/>
          <w:szCs w:val="20"/>
          <w:lang w:val="uk-UA" w:eastAsia="ru-RU"/>
        </w:rPr>
        <w:t xml:space="preserve"> судових справ різних категорій, підсумував Богдан Нагорний.</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Приватною частиною Електронного кабінету ДПС користуються 2,3 млн платників податків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Електронні сервіси, запроваджені ДПС, набувають все більшої популярності серед платників податків. Приватною частиною Електронного кабінету Державної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податкової служби, яка надає можливість доступу до понад 80 електронних сервісів, на сьогодні користуються 2,3 млн платників податків.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Серед користувачів приватної частини Електронного кабінету 1,2 млн – це фізичні особи – підприємці, 0,5 млн юридичних осіб та 0,6 млн громадян.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Електронний кабінет складається із загальнодоступної відкритої частини, вхід до якої здійснюється без ідентифікації користувача, та приватної частини (особистого кабінету). Вхід до особистого кабінету здійснюється з використанням кваліфікованого електронного підпису будь-якого кваліфікованого надавача електронних довірчих послуг або через Інтегровану систему електронної ідентифікації - id.gov.ua  (</w:t>
      </w:r>
      <w:proofErr w:type="spellStart"/>
      <w:r w:rsidRPr="00056315">
        <w:rPr>
          <w:rFonts w:ascii="Times New Roman" w:eastAsia="Times New Roman" w:hAnsi="Times New Roman" w:cs="Times New Roman"/>
          <w:sz w:val="20"/>
          <w:szCs w:val="20"/>
          <w:lang w:val="uk-UA" w:eastAsia="ru-RU"/>
        </w:rPr>
        <w:t>MobileID</w:t>
      </w:r>
      <w:proofErr w:type="spellEnd"/>
      <w:r w:rsidRPr="00056315">
        <w:rPr>
          <w:rFonts w:ascii="Times New Roman" w:eastAsia="Times New Roman" w:hAnsi="Times New Roman" w:cs="Times New Roman"/>
          <w:sz w:val="20"/>
          <w:szCs w:val="20"/>
          <w:lang w:val="uk-UA" w:eastAsia="ru-RU"/>
        </w:rPr>
        <w:t xml:space="preserve"> та </w:t>
      </w:r>
      <w:proofErr w:type="spellStart"/>
      <w:r w:rsidRPr="00056315">
        <w:rPr>
          <w:rFonts w:ascii="Times New Roman" w:eastAsia="Times New Roman" w:hAnsi="Times New Roman" w:cs="Times New Roman"/>
          <w:sz w:val="20"/>
          <w:szCs w:val="20"/>
          <w:lang w:val="uk-UA" w:eastAsia="ru-RU"/>
        </w:rPr>
        <w:t>BankID</w:t>
      </w:r>
      <w:proofErr w:type="spellEnd"/>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 допомогою цього сервісу можна сформувати та надіслати до органів ДПС електронні документи, у тому числі податкову звітність, запити на отримання інформації, заяви для реєстрації платниками окремих податків. Також платник може у режимі реального часу отримати доступ до особистої інформації, а саме отримати відомості про суми отриманих доходів і утриманих податків, стан поданої звітності тощо.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lastRenderedPageBreak/>
        <w:t xml:space="preserve">Безкоштовним сервісом Державної податкової служби «Електронний кабінет» можна скористатись цілодобово. Вхід до Електронного кабінету здійснюється за </w:t>
      </w:r>
      <w:proofErr w:type="spellStart"/>
      <w:r w:rsidRPr="00056315">
        <w:rPr>
          <w:rFonts w:ascii="Times New Roman" w:eastAsia="Times New Roman" w:hAnsi="Times New Roman" w:cs="Times New Roman"/>
          <w:sz w:val="20"/>
          <w:szCs w:val="20"/>
          <w:lang w:val="uk-UA" w:eastAsia="ru-RU"/>
        </w:rPr>
        <w:t>адресою</w:t>
      </w:r>
      <w:proofErr w:type="spellEnd"/>
      <w:r w:rsidRPr="00056315">
        <w:rPr>
          <w:rFonts w:ascii="Times New Roman" w:eastAsia="Times New Roman" w:hAnsi="Times New Roman" w:cs="Times New Roman"/>
          <w:sz w:val="20"/>
          <w:szCs w:val="20"/>
          <w:lang w:val="uk-UA" w:eastAsia="ru-RU"/>
        </w:rPr>
        <w:t xml:space="preserve">: </w:t>
      </w:r>
      <w:hyperlink r:id="rId7" w:tgtFrame="_blank" w:history="1">
        <w:r w:rsidRPr="00056315">
          <w:rPr>
            <w:rFonts w:ascii="Times New Roman" w:eastAsia="Times New Roman" w:hAnsi="Times New Roman" w:cs="Times New Roman"/>
            <w:color w:val="0000FF"/>
            <w:sz w:val="20"/>
            <w:szCs w:val="20"/>
            <w:u w:val="single"/>
            <w:lang w:val="uk-UA" w:eastAsia="ru-RU"/>
          </w:rPr>
          <w:t>http://cabinet.tax.gov.ua</w:t>
        </w:r>
      </w:hyperlink>
      <w:r w:rsidRPr="00056315">
        <w:rPr>
          <w:rFonts w:ascii="Times New Roman" w:eastAsia="Times New Roman" w:hAnsi="Times New Roman" w:cs="Times New Roman"/>
          <w:sz w:val="20"/>
          <w:szCs w:val="20"/>
          <w:lang w:val="uk-UA" w:eastAsia="ru-RU"/>
        </w:rPr>
        <w:t xml:space="preserve">, а також через офіційний </w:t>
      </w:r>
      <w:proofErr w:type="spellStart"/>
      <w:r w:rsidRPr="00056315">
        <w:rPr>
          <w:rFonts w:ascii="Times New Roman" w:eastAsia="Times New Roman" w:hAnsi="Times New Roman" w:cs="Times New Roman"/>
          <w:sz w:val="20"/>
          <w:szCs w:val="20"/>
          <w:lang w:val="uk-UA" w:eastAsia="ru-RU"/>
        </w:rPr>
        <w:t>вебпортал</w:t>
      </w:r>
      <w:proofErr w:type="spellEnd"/>
      <w:r w:rsidRPr="00056315">
        <w:rPr>
          <w:rFonts w:ascii="Times New Roman" w:eastAsia="Times New Roman" w:hAnsi="Times New Roman" w:cs="Times New Roman"/>
          <w:sz w:val="20"/>
          <w:szCs w:val="20"/>
          <w:lang w:val="uk-UA" w:eastAsia="ru-RU"/>
        </w:rPr>
        <w:t xml:space="preserve"> ДПС.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Загалом Державною податковою службою реалізовані вже такі електронні сервіси, як Е-ПДВ, Е-Субсидія, Е-кабінет, Е-</w:t>
      </w:r>
      <w:proofErr w:type="spellStart"/>
      <w:r w:rsidRPr="00056315">
        <w:rPr>
          <w:rFonts w:ascii="Times New Roman" w:eastAsia="Times New Roman" w:hAnsi="Times New Roman" w:cs="Times New Roman"/>
          <w:sz w:val="20"/>
          <w:szCs w:val="20"/>
          <w:lang w:val="uk-UA" w:eastAsia="ru-RU"/>
        </w:rPr>
        <w:t>прозорро</w:t>
      </w:r>
      <w:proofErr w:type="spellEnd"/>
      <w:r w:rsidRPr="00056315">
        <w:rPr>
          <w:rFonts w:ascii="Times New Roman" w:eastAsia="Times New Roman" w:hAnsi="Times New Roman" w:cs="Times New Roman"/>
          <w:sz w:val="20"/>
          <w:szCs w:val="20"/>
          <w:lang w:val="uk-UA" w:eastAsia="ru-RU"/>
        </w:rPr>
        <w:t xml:space="preserve">, Е-малятко, ID14, Програмні РРО, Повернення переплат.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Найближчим часом заплановано запровадження ще шістьох нових сервісів, серед яких – FATCA, Єдина звітність (ЄСВ+ПДФО), Електронні інкасові доручення, Е-акциз, Єдиний рахунок, Скарги покупців (КЕШБЕК).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Інформацію розміщено на офіційному </w:t>
      </w:r>
      <w:proofErr w:type="spellStart"/>
      <w:r w:rsidRPr="00056315">
        <w:rPr>
          <w:rFonts w:ascii="Times New Roman" w:eastAsia="Times New Roman" w:hAnsi="Times New Roman" w:cs="Times New Roman"/>
          <w:sz w:val="20"/>
          <w:szCs w:val="20"/>
          <w:lang w:val="uk-UA" w:eastAsia="ru-RU"/>
        </w:rPr>
        <w:t>вебпорталі</w:t>
      </w:r>
      <w:proofErr w:type="spellEnd"/>
      <w:r w:rsidRPr="00056315">
        <w:rPr>
          <w:rFonts w:ascii="Times New Roman" w:eastAsia="Times New Roman" w:hAnsi="Times New Roman" w:cs="Times New Roman"/>
          <w:sz w:val="20"/>
          <w:szCs w:val="20"/>
          <w:lang w:val="uk-UA" w:eastAsia="ru-RU"/>
        </w:rPr>
        <w:t xml:space="preserve"> ДПС України за посиланням: </w:t>
      </w:r>
      <w:hyperlink r:id="rId8" w:history="1">
        <w:r w:rsidRPr="00056315">
          <w:rPr>
            <w:rFonts w:ascii="Times New Roman" w:eastAsia="Times New Roman" w:hAnsi="Times New Roman" w:cs="Times New Roman"/>
            <w:color w:val="0000FF"/>
            <w:sz w:val="20"/>
            <w:szCs w:val="20"/>
            <w:u w:val="single"/>
            <w:lang w:val="uk-UA" w:eastAsia="ru-RU"/>
          </w:rPr>
          <w:t>https://tax.gov.ua/media-tsentr/novini/433884.html</w:t>
        </w:r>
      </w:hyperlink>
      <w:r w:rsidRPr="00056315">
        <w:rPr>
          <w:rFonts w:ascii="Times New Roman" w:eastAsia="Times New Roman" w:hAnsi="Times New Roman" w:cs="Times New Roman"/>
          <w:sz w:val="20"/>
          <w:szCs w:val="20"/>
          <w:lang w:val="uk-UA" w:eastAsia="ru-RU"/>
        </w:rPr>
        <w:t xml:space="preserve">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З 1 серпня ПРРО передано до фіскального серверу ДПС майже 19 млн </w:t>
      </w:r>
      <w:proofErr w:type="spellStart"/>
      <w:r w:rsidRPr="00056315">
        <w:rPr>
          <w:rFonts w:ascii="Times New Roman" w:eastAsia="Times New Roman" w:hAnsi="Times New Roman" w:cs="Times New Roman"/>
          <w:b/>
          <w:bCs/>
          <w:kern w:val="36"/>
          <w:sz w:val="20"/>
          <w:szCs w:val="20"/>
          <w:lang w:val="uk-UA" w:eastAsia="ru-RU"/>
        </w:rPr>
        <w:t>чеків</w:t>
      </w:r>
      <w:proofErr w:type="spellEnd"/>
      <w:r w:rsidRPr="00056315">
        <w:rPr>
          <w:rFonts w:ascii="Times New Roman" w:eastAsia="Times New Roman" w:hAnsi="Times New Roman" w:cs="Times New Roman"/>
          <w:b/>
          <w:bCs/>
          <w:kern w:val="36"/>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ДПС України на офіційному </w:t>
      </w:r>
      <w:proofErr w:type="spellStart"/>
      <w:r w:rsidRPr="00056315">
        <w:rPr>
          <w:rFonts w:ascii="Times New Roman" w:eastAsia="Times New Roman" w:hAnsi="Times New Roman" w:cs="Times New Roman"/>
          <w:sz w:val="20"/>
          <w:szCs w:val="20"/>
          <w:lang w:val="uk-UA" w:eastAsia="ru-RU"/>
        </w:rPr>
        <w:t>вебпорталі</w:t>
      </w:r>
      <w:proofErr w:type="spellEnd"/>
      <w:r w:rsidRPr="00056315">
        <w:rPr>
          <w:rFonts w:ascii="Times New Roman" w:eastAsia="Times New Roman" w:hAnsi="Times New Roman" w:cs="Times New Roman"/>
          <w:sz w:val="20"/>
          <w:szCs w:val="20"/>
          <w:lang w:val="uk-UA" w:eastAsia="ru-RU"/>
        </w:rPr>
        <w:t xml:space="preserve"> за посиланням </w:t>
      </w:r>
      <w:hyperlink r:id="rId9" w:history="1">
        <w:r w:rsidRPr="00056315">
          <w:rPr>
            <w:rFonts w:ascii="Times New Roman" w:eastAsia="Times New Roman" w:hAnsi="Times New Roman" w:cs="Times New Roman"/>
            <w:color w:val="0000FF"/>
            <w:sz w:val="20"/>
            <w:szCs w:val="20"/>
            <w:u w:val="single"/>
            <w:lang w:val="uk-UA" w:eastAsia="ru-RU"/>
          </w:rPr>
          <w:t>https://tax.gov.ua/media-tsentr/novini/433786.html</w:t>
        </w:r>
      </w:hyperlink>
      <w:r w:rsidRPr="00056315">
        <w:rPr>
          <w:rFonts w:ascii="Times New Roman" w:eastAsia="Times New Roman" w:hAnsi="Times New Roman" w:cs="Times New Roman"/>
          <w:sz w:val="20"/>
          <w:szCs w:val="20"/>
          <w:lang w:val="uk-UA" w:eastAsia="ru-RU"/>
        </w:rPr>
        <w:t xml:space="preserve"> проінформувала, що за півтора місяця (станом на 09 вересня 2020 року) понад 600 суб’єктів господарювання зареєстрували майже 34 тис. ПРРО, якими передано до фіскального сервера ДПС для реєстрації (</w:t>
      </w:r>
      <w:proofErr w:type="spellStart"/>
      <w:r w:rsidRPr="00056315">
        <w:rPr>
          <w:rFonts w:ascii="Times New Roman" w:eastAsia="Times New Roman" w:hAnsi="Times New Roman" w:cs="Times New Roman"/>
          <w:sz w:val="20"/>
          <w:szCs w:val="20"/>
          <w:lang w:val="uk-UA" w:eastAsia="ru-RU"/>
        </w:rPr>
        <w:t>фіскалізації</w:t>
      </w:r>
      <w:proofErr w:type="spellEnd"/>
      <w:r w:rsidRPr="00056315">
        <w:rPr>
          <w:rFonts w:ascii="Times New Roman" w:eastAsia="Times New Roman" w:hAnsi="Times New Roman" w:cs="Times New Roman"/>
          <w:sz w:val="20"/>
          <w:szCs w:val="20"/>
          <w:lang w:val="uk-UA" w:eastAsia="ru-RU"/>
        </w:rPr>
        <w:t xml:space="preserve">) майже 19 млн </w:t>
      </w:r>
      <w:proofErr w:type="spellStart"/>
      <w:r w:rsidRPr="00056315">
        <w:rPr>
          <w:rFonts w:ascii="Times New Roman" w:eastAsia="Times New Roman" w:hAnsi="Times New Roman" w:cs="Times New Roman"/>
          <w:sz w:val="20"/>
          <w:szCs w:val="20"/>
          <w:lang w:val="uk-UA" w:eastAsia="ru-RU"/>
        </w:rPr>
        <w:t>чеків</w:t>
      </w:r>
      <w:proofErr w:type="spellEnd"/>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При цьому застосування програмних РРО з 01 серпня 2020 року не розширило кількість суб’єктів господарювання, на яких поширюється обов’язок використовувати РРО/ПРРО згідно з вимогами Закону України про РРО та Податковим кодексом України. Нагадуємо, що такий обов’язок для фізичних осіб – підприємців платників єдиного податку ІІ-ІV груп виникає лише з 01 квітня  2021 року.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До цієї дати, крім наданої можливості використовувати безкоштовні програмні рішення для фактичного проведення розрахункових операцій, ДПС створено умови для тестування безкоштовних рішень суб’єктами господарювання, які мають намір використовувати ПРРО після 01 квітня 2021 року.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Звертаємо увагу, що з 18 березня поточного року, в зв’язку з поширенням </w:t>
      </w:r>
      <w:proofErr w:type="spellStart"/>
      <w:r w:rsidRPr="00056315">
        <w:rPr>
          <w:rFonts w:ascii="Times New Roman" w:eastAsia="Times New Roman" w:hAnsi="Times New Roman" w:cs="Times New Roman"/>
          <w:sz w:val="20"/>
          <w:szCs w:val="20"/>
          <w:lang w:val="uk-UA" w:eastAsia="ru-RU"/>
        </w:rPr>
        <w:t>коронавірусної</w:t>
      </w:r>
      <w:proofErr w:type="spellEnd"/>
      <w:r w:rsidRPr="00056315">
        <w:rPr>
          <w:rFonts w:ascii="Times New Roman" w:eastAsia="Times New Roman" w:hAnsi="Times New Roman" w:cs="Times New Roman"/>
          <w:sz w:val="20"/>
          <w:szCs w:val="20"/>
          <w:lang w:val="uk-UA" w:eastAsia="ru-RU"/>
        </w:rPr>
        <w:t xml:space="preserve"> хвороби (COVID-19) та запровадженням карантину на усій території України, діє мораторій на проведення контрольно-перевірочних заходів, окрім зокрема фактичних перевірок операцій з підакцизними товарами.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 01 серпня 2020 року не проведено та не заплановано жодної фактичної перевірки суб’єктів господарювання, які скористались правом використання ПРРО.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Також повідомляємо, що з 01 серпня 2020 року додаткових штрафів не введено, але </w:t>
      </w:r>
      <w:proofErr w:type="spellStart"/>
      <w:r w:rsidRPr="00056315">
        <w:rPr>
          <w:rFonts w:ascii="Times New Roman" w:eastAsia="Times New Roman" w:hAnsi="Times New Roman" w:cs="Times New Roman"/>
          <w:sz w:val="20"/>
          <w:szCs w:val="20"/>
          <w:lang w:val="uk-UA" w:eastAsia="ru-RU"/>
        </w:rPr>
        <w:t>переглянуто</w:t>
      </w:r>
      <w:proofErr w:type="spellEnd"/>
      <w:r w:rsidRPr="00056315">
        <w:rPr>
          <w:rFonts w:ascii="Times New Roman" w:eastAsia="Times New Roman" w:hAnsi="Times New Roman" w:cs="Times New Roman"/>
          <w:sz w:val="20"/>
          <w:szCs w:val="20"/>
          <w:lang w:val="uk-UA" w:eastAsia="ru-RU"/>
        </w:rPr>
        <w:t xml:space="preserve"> розмір штрафних санкцій за порушення Закону України про РРО, які не змінювались з 2010 року, а також скасовано штрафні санкції у розмірі 1 гривня.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Наразі за </w:t>
      </w:r>
      <w:proofErr w:type="spellStart"/>
      <w:r w:rsidRPr="00056315">
        <w:rPr>
          <w:rFonts w:ascii="Times New Roman" w:eastAsia="Times New Roman" w:hAnsi="Times New Roman" w:cs="Times New Roman"/>
          <w:sz w:val="20"/>
          <w:szCs w:val="20"/>
          <w:lang w:val="uk-UA" w:eastAsia="ru-RU"/>
        </w:rPr>
        <w:t>непроведення</w:t>
      </w:r>
      <w:proofErr w:type="spellEnd"/>
      <w:r w:rsidRPr="00056315">
        <w:rPr>
          <w:rFonts w:ascii="Times New Roman" w:eastAsia="Times New Roman" w:hAnsi="Times New Roman" w:cs="Times New Roman"/>
          <w:sz w:val="20"/>
          <w:szCs w:val="20"/>
          <w:lang w:val="uk-UA" w:eastAsia="ru-RU"/>
        </w:rPr>
        <w:t xml:space="preserve"> розрахунків через РРО та ПРРО до суб’єктів господарювання застосовуються штрафні санкції у розмірі: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10 відсотків вартості проданих з порушеннями товарів (робіт, послуг) – за порушення, вчинене вперше;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50 відсотків вартості проданих з порушеннями, товарів (робіт, послуг) – за кожне наступне вчинене порушення.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разі проведення розрахункових операцій через РРО та ПРРО без використання режиму попереднього програмування найменування товару, який не є підакцизним, та/або послуги, до суб’єктів господарювання застосовуються штрафні санкції лише 85 гривень (п’ять неоподатковуваних мінімумів доходів громадян).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разі проведення розрахункових операцій через РРО та ПРРО без використання режиму попереднього програмування найменування кожного підакцизного товару із зазначенням коду товарної </w:t>
      </w:r>
      <w:proofErr w:type="spellStart"/>
      <w:r w:rsidRPr="00056315">
        <w:rPr>
          <w:rFonts w:ascii="Times New Roman" w:eastAsia="Times New Roman" w:hAnsi="Times New Roman" w:cs="Times New Roman"/>
          <w:sz w:val="20"/>
          <w:szCs w:val="20"/>
          <w:lang w:val="uk-UA" w:eastAsia="ru-RU"/>
        </w:rPr>
        <w:t>підкатегорії</w:t>
      </w:r>
      <w:proofErr w:type="spellEnd"/>
      <w:r w:rsidRPr="00056315">
        <w:rPr>
          <w:rFonts w:ascii="Times New Roman" w:eastAsia="Times New Roman" w:hAnsi="Times New Roman" w:cs="Times New Roman"/>
          <w:sz w:val="20"/>
          <w:szCs w:val="20"/>
          <w:lang w:val="uk-UA" w:eastAsia="ru-RU"/>
        </w:rPr>
        <w:t xml:space="preserve"> згідно з УКТ ЗЕД до суб’єктів господарювання застосовуються штрафні санкції у розмірі 5100 грн (триста неоподатковуваних мінімумів доходів громадян).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Мобільний ЦОП Головного управління ДПС у Дніпропетровській області. Рухаємось далі!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Cs/>
          <w:sz w:val="20"/>
          <w:szCs w:val="20"/>
          <w:lang w:val="uk-UA" w:eastAsia="ru-RU"/>
        </w:rPr>
        <w:t>Відеоматеріали за темою розміщено за посиланням:</w:t>
      </w:r>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jc w:val="left"/>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w:t>
      </w:r>
      <w:hyperlink r:id="rId10" w:history="1">
        <w:r w:rsidRPr="00056315">
          <w:rPr>
            <w:rFonts w:ascii="Times New Roman" w:eastAsia="Times New Roman" w:hAnsi="Times New Roman" w:cs="Times New Roman"/>
            <w:color w:val="0000FF"/>
            <w:sz w:val="20"/>
            <w:szCs w:val="20"/>
            <w:u w:val="single"/>
            <w:lang w:val="uk-UA" w:eastAsia="ru-RU"/>
          </w:rPr>
          <w:t>https://dp.tax.gov.ua/media-ark/videogalereya/prezentatsii-ta-inshi-materiali/6613.html</w:t>
        </w:r>
      </w:hyperlink>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а також: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на офіційній сторінці «ДПС у Дніпропетровській області» соціальної мережі </w:t>
      </w:r>
      <w:proofErr w:type="spellStart"/>
      <w:r w:rsidRPr="00056315">
        <w:rPr>
          <w:rFonts w:ascii="Times New Roman" w:eastAsia="Times New Roman" w:hAnsi="Times New Roman" w:cs="Times New Roman"/>
          <w:sz w:val="20"/>
          <w:szCs w:val="20"/>
          <w:lang w:val="uk-UA" w:eastAsia="ru-RU"/>
        </w:rPr>
        <w:t>Facebook</w:t>
      </w:r>
      <w:proofErr w:type="spellEnd"/>
      <w:r w:rsidRPr="00056315">
        <w:rPr>
          <w:rFonts w:ascii="Times New Roman" w:eastAsia="Times New Roman" w:hAnsi="Times New Roman" w:cs="Times New Roman"/>
          <w:sz w:val="20"/>
          <w:szCs w:val="20"/>
          <w:lang w:val="uk-UA" w:eastAsia="ru-RU"/>
        </w:rPr>
        <w:t xml:space="preserve"> за посиланням: </w:t>
      </w:r>
    </w:p>
    <w:p w:rsidR="00A2689F" w:rsidRPr="00056315" w:rsidRDefault="00BB08A4" w:rsidP="00A52D8C">
      <w:pPr>
        <w:jc w:val="left"/>
        <w:rPr>
          <w:rFonts w:ascii="Times New Roman" w:eastAsia="Times New Roman" w:hAnsi="Times New Roman" w:cs="Times New Roman"/>
          <w:sz w:val="20"/>
          <w:szCs w:val="20"/>
          <w:lang w:val="uk-UA" w:eastAsia="ru-RU"/>
        </w:rPr>
      </w:pPr>
      <w:hyperlink r:id="rId11" w:history="1">
        <w:r w:rsidR="00A2689F" w:rsidRPr="00056315">
          <w:rPr>
            <w:rFonts w:ascii="Times New Roman" w:eastAsia="Times New Roman" w:hAnsi="Times New Roman" w:cs="Times New Roman"/>
            <w:color w:val="0000FF"/>
            <w:sz w:val="20"/>
            <w:szCs w:val="20"/>
            <w:u w:val="single"/>
            <w:lang w:val="uk-UA" w:eastAsia="ru-RU"/>
          </w:rPr>
          <w:t>https://www.facebook.com/103313391061454/videos/1440108519519147</w:t>
        </w:r>
      </w:hyperlink>
      <w:r w:rsidR="00A2689F"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на каналі популярного </w:t>
      </w:r>
      <w:proofErr w:type="spellStart"/>
      <w:r w:rsidRPr="00056315">
        <w:rPr>
          <w:rFonts w:ascii="Times New Roman" w:eastAsia="Times New Roman" w:hAnsi="Times New Roman" w:cs="Times New Roman"/>
          <w:sz w:val="20"/>
          <w:szCs w:val="20"/>
          <w:lang w:val="uk-UA" w:eastAsia="ru-RU"/>
        </w:rPr>
        <w:t>відеохостингу</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You</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Tube</w:t>
      </w:r>
      <w:proofErr w:type="spellEnd"/>
      <w:r w:rsidRPr="00056315">
        <w:rPr>
          <w:rFonts w:ascii="Times New Roman" w:eastAsia="Times New Roman" w:hAnsi="Times New Roman" w:cs="Times New Roman"/>
          <w:sz w:val="20"/>
          <w:szCs w:val="20"/>
          <w:lang w:val="uk-UA" w:eastAsia="ru-RU"/>
        </w:rPr>
        <w:t xml:space="preserve"> за посиланням: </w:t>
      </w:r>
    </w:p>
    <w:p w:rsidR="00A2689F" w:rsidRPr="00056315" w:rsidRDefault="00BB08A4" w:rsidP="00A52D8C">
      <w:pPr>
        <w:jc w:val="left"/>
        <w:rPr>
          <w:rFonts w:ascii="Times New Roman" w:eastAsia="Times New Roman" w:hAnsi="Times New Roman" w:cs="Times New Roman"/>
          <w:sz w:val="20"/>
          <w:szCs w:val="20"/>
          <w:lang w:val="uk-UA" w:eastAsia="ru-RU"/>
        </w:rPr>
      </w:pPr>
      <w:hyperlink r:id="rId12" w:history="1">
        <w:r w:rsidR="00A2689F" w:rsidRPr="00056315">
          <w:rPr>
            <w:rFonts w:ascii="Times New Roman" w:eastAsia="Times New Roman" w:hAnsi="Times New Roman" w:cs="Times New Roman"/>
            <w:color w:val="0000FF"/>
            <w:sz w:val="20"/>
            <w:szCs w:val="20"/>
            <w:u w:val="single"/>
            <w:lang w:val="uk-UA" w:eastAsia="ru-RU"/>
          </w:rPr>
          <w:t>https://www.youtube.com/watch?v=j0yUkrJXYgM</w:t>
        </w:r>
      </w:hyperlink>
      <w:r w:rsidR="00A2689F" w:rsidRPr="00056315">
        <w:rPr>
          <w:rFonts w:ascii="Times New Roman" w:eastAsia="Times New Roman" w:hAnsi="Times New Roman" w:cs="Times New Roman"/>
          <w:sz w:val="20"/>
          <w:szCs w:val="20"/>
          <w:lang w:val="uk-UA" w:eastAsia="ru-RU"/>
        </w:rPr>
        <w:t xml:space="preserve"> </w:t>
      </w:r>
    </w:p>
    <w:p w:rsidR="00DE0269" w:rsidRPr="00056315" w:rsidRDefault="00DE0269" w:rsidP="00A52D8C">
      <w:pPr>
        <w:jc w:val="left"/>
        <w:rPr>
          <w:rFonts w:ascii="Times New Roman" w:eastAsia="Times New Roman" w:hAnsi="Times New Roman" w:cs="Times New Roman"/>
          <w:sz w:val="20"/>
          <w:szCs w:val="20"/>
          <w:lang w:val="uk-UA" w:eastAsia="ru-RU"/>
        </w:rPr>
      </w:pPr>
    </w:p>
    <w:p w:rsidR="00DE0269" w:rsidRPr="00056315" w:rsidRDefault="00DE0269" w:rsidP="00A52D8C">
      <w:pPr>
        <w:rPr>
          <w:rFonts w:ascii="Times New Roman" w:eastAsia="Times New Roman" w:hAnsi="Times New Roman" w:cs="Times New Roman"/>
          <w:b/>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Трудові відносини: контролюючі органи мають право перевіряти дотримання працедавцем законодавства про працю </w:t>
      </w:r>
    </w:p>
    <w:p w:rsidR="00A2689F" w:rsidRPr="00056315" w:rsidRDefault="00DE0269"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П</w:t>
      </w:r>
      <w:r w:rsidR="00A2689F" w:rsidRPr="00056315">
        <w:rPr>
          <w:rFonts w:ascii="Times New Roman" w:eastAsia="Times New Roman" w:hAnsi="Times New Roman" w:cs="Times New Roman"/>
          <w:sz w:val="20"/>
          <w:szCs w:val="20"/>
          <w:lang w:val="uk-UA" w:eastAsia="ru-RU"/>
        </w:rPr>
        <w:t>овідомляє</w:t>
      </w:r>
      <w:r w:rsidRPr="00056315">
        <w:rPr>
          <w:rFonts w:ascii="Times New Roman" w:eastAsia="Times New Roman" w:hAnsi="Times New Roman" w:cs="Times New Roman"/>
          <w:sz w:val="20"/>
          <w:szCs w:val="20"/>
          <w:lang w:val="uk-UA" w:eastAsia="ru-RU"/>
        </w:rPr>
        <w:t>мо</w:t>
      </w:r>
      <w:r w:rsidR="00A2689F" w:rsidRPr="00056315">
        <w:rPr>
          <w:rFonts w:ascii="Times New Roman" w:eastAsia="Times New Roman" w:hAnsi="Times New Roman" w:cs="Times New Roman"/>
          <w:sz w:val="20"/>
          <w:szCs w:val="20"/>
          <w:lang w:val="uk-UA" w:eastAsia="ru-RU"/>
        </w:rPr>
        <w:t xml:space="preserve">, що документальною перевіркою вважається перевірка, предметом якої є, зокрема, дотримання роботодавцем законодавства щодо укладення трудового договору, оформлення трудових відносин з працівниками (найманими особами) та яка проводиться на підставі податкових декларацій (розрахунків), фінансової, статистичної та іншої звітності, регістрів податкового та бухгалтерського обліку, ведення яких передбачено законом, первинних документів, які використовуються в бухгалтерському та податковому обліку і пов’язані з нарахуванням і сплатою податків та зборів, виконанням вимог іншого законодавства, контроль за дотриманням якого покладено на контролюючі органи, а також отриманих в установленому законодавством порядку контролюючим органом документів та податкової інформації, у тому числі за результатами перевірок інших платників податків.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Норми встановлені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75.1.2 п. 75.1 ст. 75 Податкового кодексу України (далі –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Підпунктом 75.1.3 п. 75.1 ст. 75 ПКУ встановлено, що фактичною вважається перевірка, що здійснюється за місцем фактичного провадження платником податків діяльності, розташування господарських або інших об’єктів права власності такого платника. Така перевірка здійснюється контролюючим органом, зокрема, щодо дотримання роботодавцем законодавства щодо укладення трудового договору, оформлення трудових відносин з працівниками (найманими особами).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lastRenderedPageBreak/>
        <w:t xml:space="preserve">Платник податків зобов’язаний надати посадовим (службовим) особам контролюючих органів у повному обсязі всі документи, що належать або пов’язані з предметом перевірки. Такий обов’язок виникає у платника податків після початку перевірки (п. 85.2 ст. 85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Під час проведення фактичної перевірки в частині дотримання роботодавцем законодавства щодо укладення трудового договору, оформлення трудових відносин з працівниками (найманими особами), в тому числі тим, яким установлено випробування, перевіряється наявність належного оформлення трудових відносин, з’ясовуються питання щодо ведення обліку роботи, виконаної працівником, обліку витрат на оплату праці, відомості про оплату праці працівника. Для з’ясування факту належного оформлення трудових відносин з працівником, який здійснює трудову діяльність, можуть використовуватися документи, що посвідчують особу, або інші документи, які дають змогу її ідентифікувати (посадове посвідчення, посвідчення водія, санітарна книжка тощо) (п. 80.6 ст. 80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Отже, для уникнення відповідальності за порушення законодавства про працю, роботодавцям необхідно працювати відповідно до норм трудового законодавства і своєчасно та у повному обсязі виплачувати працівникам заробітну плату не менше мінімальної, встановленої законом.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Увага! Шахраї!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Відділом з питань запобігання корупції ГУ ДПС у Дніпропетровській області в останній час фіксуються на території області неодноразові спроби телефонного психологічного тиску шахраїв на представників підприємницької діяльності з метою отримання грошових коштів.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Зафіксовано випадки шахрайських дій на території </w:t>
      </w:r>
      <w:proofErr w:type="spellStart"/>
      <w:r w:rsidRPr="00056315">
        <w:rPr>
          <w:rFonts w:ascii="Times New Roman" w:eastAsia="Times New Roman" w:hAnsi="Times New Roman" w:cs="Times New Roman"/>
          <w:sz w:val="20"/>
          <w:szCs w:val="20"/>
          <w:lang w:val="uk-UA" w:eastAsia="ru-RU"/>
        </w:rPr>
        <w:t>Синельниківського</w:t>
      </w:r>
      <w:proofErr w:type="spellEnd"/>
      <w:r w:rsidRPr="00056315">
        <w:rPr>
          <w:rFonts w:ascii="Times New Roman" w:eastAsia="Times New Roman" w:hAnsi="Times New Roman" w:cs="Times New Roman"/>
          <w:sz w:val="20"/>
          <w:szCs w:val="20"/>
          <w:lang w:val="uk-UA" w:eastAsia="ru-RU"/>
        </w:rPr>
        <w:t xml:space="preserve"> району Дніпропетровської області.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 використовуючи номери (095)6309045 та (095)5648382 і прикриваючись нібито належністю до податкової служби, кримінальні особи погрожують платникам податків проведенням можливих перевірок, ускладненням в підприємницької діяльності та інше, чим відверте дискредитують працівників державної служби, негативно впливають на їх ділову репутацію та честь.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ГУ ДПС у Дніпропетровській області звертається до платників податків бути обачними, не піддаватися на провокації. У разі виникнення вказаних ситуацій, вчинення протиправних дій від імені працівників ДПС, негайно звертатись до Національної поліції за телефоном 102.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Сеанс телефонного зв’язку «гаряча лінія» на тему «Актуальні питання щодо стягнення податкового боргу»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Питання 1. Виник податковий борг: як його розстрочити (відстрочити)? </w:t>
      </w:r>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Відповідь:</w:t>
      </w:r>
      <w:r w:rsidRPr="00056315">
        <w:rPr>
          <w:rFonts w:ascii="Times New Roman" w:eastAsia="Times New Roman" w:hAnsi="Times New Roman" w:cs="Times New Roman"/>
          <w:sz w:val="20"/>
          <w:szCs w:val="20"/>
          <w:lang w:val="uk-UA" w:eastAsia="ru-RU"/>
        </w:rPr>
        <w:t xml:space="preserve">  Податковий борг – це сума узгодженого грошового зобов’язання, не сплаченого платником податків у строк, встановлений Податковим кодексом України (далі – ПКУ) та непогашеної пені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14.1.175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Платник податків має право звернутися до контролюючого органу із заявою про розстрочення та відстрочення грошових зобов’язань або податкового боргу (п. 100.2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Розстроченням (відстроченням) грошових зобов’язань або податкового боргу є перенесення строків сплати платником податків його грошових зобов’язань або податкового боргу під проценти, розмір яких дорівнює розміру 120% річних облікової ставки НБУ, діючої на день прийняття рішення про розстрочення, відстрочення грошових зобов’язань або податкового боргу.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Розстрочення (відстрочення) грошових зобов’язань (податкового боргу) вважається наданим, якщо на підставі заяви платника податків прийнято відповідне рішення податкового органу та укладено договір про розстрочення (відстрочення) (п. 1.4 Порядку розстрочення (відстрочення) грошових зобов’язань (податкового боргу) платників податків, затвердженого наказом Міністерства доходів і зборів України від 10.10.2013 р. №574 (далі – Порядок №574)).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Строк дії розстрочення (відстрочення) податкового боргу починається з дати прийняття податковим органом рішення про розстрочення (відстрочення) грошового зобов’язання (податкового боргу) та закінчується датою, зазначеною у договорі про розстрочення (відстрочення) грошового зобов’язання (податкового боргу), за винятком випадків дострокового погашення такого податкового боргу  (</w:t>
      </w:r>
      <w:proofErr w:type="spellStart"/>
      <w:r w:rsidRPr="00056315">
        <w:rPr>
          <w:rFonts w:ascii="Times New Roman" w:eastAsia="Times New Roman" w:hAnsi="Times New Roman" w:cs="Times New Roman"/>
          <w:sz w:val="20"/>
          <w:szCs w:val="20"/>
          <w:lang w:val="uk-UA" w:eastAsia="ru-RU"/>
        </w:rPr>
        <w:t>абз</w:t>
      </w:r>
      <w:proofErr w:type="spellEnd"/>
      <w:r w:rsidRPr="00056315">
        <w:rPr>
          <w:rFonts w:ascii="Times New Roman" w:eastAsia="Times New Roman" w:hAnsi="Times New Roman" w:cs="Times New Roman"/>
          <w:sz w:val="20"/>
          <w:szCs w:val="20"/>
          <w:lang w:val="uk-UA" w:eastAsia="ru-RU"/>
        </w:rPr>
        <w:t xml:space="preserve">. 2 п. 1.9 Порядку №574).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Отже, податкові органи мають право надавати відстрочення та розстрочення податкового боргу на підставі заяви платника податків та прийнятого податковим органом відповідного рішення та укладеного договору про розстрочення (відстрочення) податкового боргу.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Питання</w:t>
      </w:r>
      <w:r w:rsidRPr="00056315">
        <w:rPr>
          <w:rFonts w:ascii="Times New Roman" w:eastAsia="Times New Roman" w:hAnsi="Times New Roman" w:cs="Times New Roman"/>
          <w:sz w:val="20"/>
          <w:szCs w:val="20"/>
          <w:lang w:val="uk-UA" w:eastAsia="ru-RU"/>
        </w:rPr>
        <w:t xml:space="preserve"> </w:t>
      </w:r>
      <w:r w:rsidRPr="00056315">
        <w:rPr>
          <w:rFonts w:ascii="Times New Roman" w:eastAsia="Times New Roman" w:hAnsi="Times New Roman" w:cs="Times New Roman"/>
          <w:b/>
          <w:bCs/>
          <w:sz w:val="20"/>
          <w:szCs w:val="20"/>
          <w:lang w:val="uk-UA" w:eastAsia="ru-RU"/>
        </w:rPr>
        <w:t>2.</w:t>
      </w:r>
      <w:r w:rsidRPr="00056315">
        <w:rPr>
          <w:rFonts w:ascii="Times New Roman" w:eastAsia="Times New Roman" w:hAnsi="Times New Roman" w:cs="Times New Roman"/>
          <w:sz w:val="20"/>
          <w:szCs w:val="20"/>
          <w:lang w:val="uk-UA" w:eastAsia="ru-RU"/>
        </w:rPr>
        <w:t xml:space="preserve"> </w:t>
      </w:r>
      <w:r w:rsidRPr="00056315">
        <w:rPr>
          <w:rFonts w:ascii="Times New Roman" w:eastAsia="Times New Roman" w:hAnsi="Times New Roman" w:cs="Times New Roman"/>
          <w:b/>
          <w:bCs/>
          <w:sz w:val="20"/>
          <w:szCs w:val="20"/>
          <w:lang w:val="uk-UA" w:eastAsia="ru-RU"/>
        </w:rPr>
        <w:t>Як розраховуються проценти по розстроченому (відстроченому) грошовому зобов’язанню (податковому боргу)?</w:t>
      </w:r>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Відповідь:</w:t>
      </w:r>
      <w:r w:rsidRPr="00056315">
        <w:rPr>
          <w:rFonts w:ascii="Times New Roman" w:eastAsia="Times New Roman" w:hAnsi="Times New Roman" w:cs="Times New Roman"/>
          <w:sz w:val="20"/>
          <w:szCs w:val="20"/>
          <w:lang w:val="uk-UA" w:eastAsia="ru-RU"/>
        </w:rPr>
        <w:t xml:space="preserve"> Відповідно до п.4.2 р. IV Порядку №574 нарахування процентів розпочинається наступного дня після початку дії розстрочення (відстрочення) грошових зобов’язань (податкового боргу) та наступного дня після граничного строку сплати чергової частки розстроченого (відстроченого) грошового зобов’язання (податкового боргу).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Нарахування процентів здійснюється у день фактичного погашення розстроченого (відстроченого) грошового зобов’язання (податкового боргу) (його частини) за весь період користування розстроченням (відстроченням).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Тобто нарахування процентів розпочинається з першого дня сплати частини розстроченого (відстроченого) грошового зобов’язання (податкового боргу) та в подальшому нарахування процентів здійснюється окремо до кожної частки розстроченого (відстроченого) грошового зобов’язання (податкового боргу) за кожний період користування розстроченням (відстроченням).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Розмір процентів дорівнює розміру пені, визначеному п. 129.4 ст. 129 </w:t>
      </w:r>
      <w:proofErr w:type="spellStart"/>
      <w:r w:rsidRPr="00056315">
        <w:rPr>
          <w:rFonts w:ascii="Times New Roman" w:eastAsia="Times New Roman" w:hAnsi="Times New Roman" w:cs="Times New Roman"/>
          <w:sz w:val="20"/>
          <w:szCs w:val="20"/>
          <w:lang w:val="uk-UA" w:eastAsia="ru-RU"/>
        </w:rPr>
        <w:t>гл</w:t>
      </w:r>
      <w:proofErr w:type="spellEnd"/>
      <w:r w:rsidRPr="00056315">
        <w:rPr>
          <w:rFonts w:ascii="Times New Roman" w:eastAsia="Times New Roman" w:hAnsi="Times New Roman" w:cs="Times New Roman"/>
          <w:sz w:val="20"/>
          <w:szCs w:val="20"/>
          <w:lang w:val="uk-UA" w:eastAsia="ru-RU"/>
        </w:rPr>
        <w:t xml:space="preserve">. 12 р. II ПКУ (120 відсотків річних облікової ставки Національного банку України, діючої на день виникнення такого податкового боргу або на день його (його частини) погашення, залежно від того, яка з величин таких ставок є більшою, за кожний календарний день прострочення у його сплаті).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Платник податків розраховує суму процентів на розстрочене (відстрочене) грошове зобов’язання (податковий борг) (його частку) самостійно та сплачує її одночасно зі сплатою розстроченої (відстроченої) або чергової частини розстроченої (відстроченої) суми у строки, визначені у відповідному договорі.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Надміру сплачені суми процентів можуть зараховуватись у рахунок сплати грошового зобов’язання (податкового боргу) в порядку, встановленому законодавством України.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lastRenderedPageBreak/>
        <w:t>Питання 3. Чи надсилається податкова вимога при наявності податкового боргу до 1020 гривень?</w:t>
      </w:r>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Відповідь:</w:t>
      </w:r>
      <w:r w:rsidRPr="00056315">
        <w:rPr>
          <w:rFonts w:ascii="Times New Roman" w:eastAsia="Times New Roman" w:hAnsi="Times New Roman" w:cs="Times New Roman"/>
          <w:sz w:val="20"/>
          <w:szCs w:val="20"/>
          <w:lang w:val="uk-UA" w:eastAsia="ru-RU"/>
        </w:rPr>
        <w:t xml:space="preserve"> У разі наявності у платника податкового боргу до 1020 гривень, податкова вимога боржнику не надсилається, але при цьому на заборговану суму нараховуються штрафні санкції.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Перевірити інформацію про наявність чи відсутність податкового боргу платник може в Електронному кабінеті платника зайшовши в меню «Стан розрахунків з бюджетом» або на </w:t>
      </w:r>
      <w:proofErr w:type="spellStart"/>
      <w:r w:rsidRPr="00056315">
        <w:rPr>
          <w:rFonts w:ascii="Times New Roman" w:eastAsia="Times New Roman" w:hAnsi="Times New Roman" w:cs="Times New Roman"/>
          <w:sz w:val="20"/>
          <w:szCs w:val="20"/>
          <w:lang w:val="uk-UA" w:eastAsia="ru-RU"/>
        </w:rPr>
        <w:t>вебпорталі</w:t>
      </w:r>
      <w:proofErr w:type="spellEnd"/>
      <w:r w:rsidRPr="00056315">
        <w:rPr>
          <w:rFonts w:ascii="Times New Roman" w:eastAsia="Times New Roman" w:hAnsi="Times New Roman" w:cs="Times New Roman"/>
          <w:sz w:val="20"/>
          <w:szCs w:val="20"/>
          <w:lang w:val="uk-UA" w:eastAsia="ru-RU"/>
        </w:rPr>
        <w:t xml:space="preserve"> ДПС України в розділі «Дізнайся більше про свого бізнес-партнера».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Нагадаємо, що відповідно до пункту 59.1. статті 59 ПКУ податкова вимога надсилається (вручається) платнику, тільки у випадку несплати платником податків узгодженої суми грошового зобов’язання в установлені строки, якщо сума податкового боргу такого платника перевищує 60 неоподатковуваних мінімумів доходів громадян (від 1020 гривень).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Така податкова вимога надсилається платнику не раніше першого робочого дня після закінчення граничного строку сплати суми грошового зобов’язання. Якщо після направлення (вручення) податкової вимоги сума податкового боргу змінилася, однак податковий борг не був погашений в повному об’ємі, податкова вимога додатково платнику не надсилається.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Питання 4. У яких випадках у боржника виникає податкова застава?</w:t>
      </w:r>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Відповідь</w:t>
      </w:r>
      <w:r w:rsidRPr="00056315">
        <w:rPr>
          <w:rFonts w:ascii="Times New Roman" w:eastAsia="Times New Roman" w:hAnsi="Times New Roman" w:cs="Times New Roman"/>
          <w:sz w:val="20"/>
          <w:szCs w:val="20"/>
          <w:lang w:val="uk-UA" w:eastAsia="ru-RU"/>
        </w:rPr>
        <w:t xml:space="preserve">: Згідно  з підпунктом 89.1 статті 89 ПКУ право податкової застави виникає у разі: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несплати у строки, встановлені ПКУ, суми грошового зобов’язання, самостійно визначеної платником податків у податковій декларації, – з дня, що настає за останнім днем зазначеного строку;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несплати у строки, встановлені ПКУ, суми грошового зобов’язання, самостійно визначеної податковим органом, – з дня виникнення податкового боргу;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з дня укладання договору про розстрочення, відстрочення грошових зобов’язань в порядку визначеному статтею 100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При цьому необхідно зазначити, що право податкової застави поширюється на будь-яке майно платника податків, яке перебуває в його власності (господарському віданні або оперативному управлінні) у день виникнення такого права і балансова вартість якого відповідає сумі податкового боргу платника податків, крім випадків, передбачених пунктом 89.5 статті 89 ПКУ, а також на інше майно, на яке платник податків набуде прав власності у майбутньому. Майно, на яке поширюється право податкової застави, оформлюється актом опису.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разі, якщо у платника податків майно відсутнє або його балансова вартість менша від суми податкового боргу, право податкової застави поширюватиметься на інше майно, на яке платник набуде право власності у майбутньому до повного погашення податкового боргу в повному об’ємі. Важливо зазначити, що платник податків не має права відчужувати майно, яке перебуває в податковій заставі, допоки не буде винесено відповідне рішення податкового органу.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Якщо у платника залишається непогашена частина податкового боргу, яка здебільшого становить від 1 гривні до 1020 гривень, майнові активи такого платника перебуватимуть в податковій заставі, до повного погашення ним заборгованості, що позбавлятиме його в подальшому права вільно розпоряджатися цим майном.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разі якщо балансова вартість майна, на яке поширюється податкова застава, є меншою ніж сума податкового боргу платника податків, право податкової застави поширюється на таке майно.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Коли платник нарощуватиме податковий борг податковим керуючим відповідно до 89 ПКУ складається акт опису до суми, відповідної сумі податкового боргу платника податків.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разі відчуження майна, яке перебуває в податковій заставі без погодження з податковим органом платник нестиме відповідальність передбачену законодавством.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Питання 5. Яка передбачена відповідальність до суб’єкта господарювання при відчуженні майна, яке перебуває у податковій заставі, без згоди контролюючого органу?</w:t>
      </w:r>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Відповідь:</w:t>
      </w:r>
      <w:r w:rsidRPr="00056315">
        <w:rPr>
          <w:rFonts w:ascii="Times New Roman" w:eastAsia="Times New Roman" w:hAnsi="Times New Roman" w:cs="Times New Roman"/>
          <w:sz w:val="20"/>
          <w:szCs w:val="20"/>
          <w:lang w:val="uk-UA" w:eastAsia="ru-RU"/>
        </w:rPr>
        <w:t xml:space="preserve"> Відчуження платником податків майна, яке перебуває у податковій заставі, без попередньої згоди контролюючого органу, якщо отримання такої згоди є обов'язковим згідно з ПКУ, – тягне за собою накладення штрафу в розмірі вартості відчуженого майна.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До уваги платників транспортного податку, які набули права власності на авто протягом звітного року!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Підпунктом 267.6.4 п. 267.6 ст. 267 Податкового кодексу України (далі – ПКУ) встановлено, що платники транспортного податку – юридичні особи самостійно обчислюють суму податку станом на 1 січня звітного року і не пізніше 20 лютого цього ж року подають контролюючому органу за місцем реєстрації об’єкта оподаткування декларацію з транспортного податку (далі – Декларація) за формою, встановленою у порядку, передбаченому ст. 46 ПКУ, з розбивкою річної суми рівними частками поквартально.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Щодо об’єктів оподаткування, придбаних протягом року, Декларація юридичною особою – платником транспортного податку подається протягом місяця з дня виникнення права власності на такий об’єкт, а транспортний податок сплачується починаючи з місяця, в якому </w:t>
      </w:r>
      <w:proofErr w:type="spellStart"/>
      <w:r w:rsidRPr="00056315">
        <w:rPr>
          <w:rFonts w:ascii="Times New Roman" w:eastAsia="Times New Roman" w:hAnsi="Times New Roman" w:cs="Times New Roman"/>
          <w:sz w:val="20"/>
          <w:szCs w:val="20"/>
          <w:lang w:val="uk-UA" w:eastAsia="ru-RU"/>
        </w:rPr>
        <w:t>виникло</w:t>
      </w:r>
      <w:proofErr w:type="spellEnd"/>
      <w:r w:rsidRPr="00056315">
        <w:rPr>
          <w:rFonts w:ascii="Times New Roman" w:eastAsia="Times New Roman" w:hAnsi="Times New Roman" w:cs="Times New Roman"/>
          <w:sz w:val="20"/>
          <w:szCs w:val="20"/>
          <w:lang w:val="uk-UA" w:eastAsia="ru-RU"/>
        </w:rPr>
        <w:t xml:space="preserve"> право власності на такий об’єкт.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У разі переходу права власності на об’єкт оподаткування від одного власника до іншого протягом звітного року транспортний податок обчислюється попереднім власником за період з 1 січня цього року до початку того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267.6.5    п. 267.6 ст. 267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Форма Декларації затверджена наказом Міністерства фінансів України від 10.04.2015 № 415 «Про затвердження форми Податкової декларації з транспортного податку» із змінами.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Рядок 1 заголовної частини Декларації передбачає заповнення форми Декларації з типом: </w:t>
      </w:r>
      <w:r w:rsidRPr="00056315">
        <w:rPr>
          <w:rFonts w:ascii="Times New Roman" w:eastAsia="Times New Roman" w:hAnsi="Times New Roman" w:cs="Times New Roman"/>
          <w:i/>
          <w:iCs/>
          <w:sz w:val="20"/>
          <w:szCs w:val="20"/>
          <w:lang w:val="uk-UA" w:eastAsia="ru-RU"/>
        </w:rPr>
        <w:t>«Звітна»</w:t>
      </w:r>
      <w:r w:rsidRPr="00056315">
        <w:rPr>
          <w:rFonts w:ascii="Times New Roman" w:eastAsia="Times New Roman" w:hAnsi="Times New Roman" w:cs="Times New Roman"/>
          <w:sz w:val="20"/>
          <w:szCs w:val="20"/>
          <w:lang w:val="uk-UA" w:eastAsia="ru-RU"/>
        </w:rPr>
        <w:t xml:space="preserve">, </w:t>
      </w:r>
      <w:r w:rsidRPr="00056315">
        <w:rPr>
          <w:rFonts w:ascii="Times New Roman" w:eastAsia="Times New Roman" w:hAnsi="Times New Roman" w:cs="Times New Roman"/>
          <w:i/>
          <w:iCs/>
          <w:sz w:val="20"/>
          <w:szCs w:val="20"/>
          <w:lang w:val="uk-UA" w:eastAsia="ru-RU"/>
        </w:rPr>
        <w:t>«Звітна нова»</w:t>
      </w:r>
      <w:r w:rsidRPr="00056315">
        <w:rPr>
          <w:rFonts w:ascii="Times New Roman" w:eastAsia="Times New Roman" w:hAnsi="Times New Roman" w:cs="Times New Roman"/>
          <w:sz w:val="20"/>
          <w:szCs w:val="20"/>
          <w:lang w:val="uk-UA" w:eastAsia="ru-RU"/>
        </w:rPr>
        <w:t xml:space="preserve">, </w:t>
      </w:r>
      <w:r w:rsidRPr="00056315">
        <w:rPr>
          <w:rFonts w:ascii="Times New Roman" w:eastAsia="Times New Roman" w:hAnsi="Times New Roman" w:cs="Times New Roman"/>
          <w:i/>
          <w:iCs/>
          <w:sz w:val="20"/>
          <w:szCs w:val="20"/>
          <w:lang w:val="uk-UA" w:eastAsia="ru-RU"/>
        </w:rPr>
        <w:t>«Уточнююча»</w:t>
      </w:r>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Згідно з примітками 2 та 3 інформації до Декларації: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поле </w:t>
      </w:r>
      <w:r w:rsidRPr="00056315">
        <w:rPr>
          <w:rFonts w:ascii="Times New Roman" w:eastAsia="Times New Roman" w:hAnsi="Times New Roman" w:cs="Times New Roman"/>
          <w:i/>
          <w:iCs/>
          <w:sz w:val="20"/>
          <w:szCs w:val="20"/>
          <w:lang w:val="uk-UA" w:eastAsia="ru-RU"/>
        </w:rPr>
        <w:t>«починаючи з»</w:t>
      </w:r>
      <w:r w:rsidRPr="00056315">
        <w:rPr>
          <w:rFonts w:ascii="Times New Roman" w:eastAsia="Times New Roman" w:hAnsi="Times New Roman" w:cs="Times New Roman"/>
          <w:sz w:val="20"/>
          <w:szCs w:val="20"/>
          <w:lang w:val="uk-UA" w:eastAsia="ru-RU"/>
        </w:rPr>
        <w:t xml:space="preserve"> заповнюється у разі подання Декларації щодо транспортних засобів, придбаних протягом звітного року або отриманих у разі переходу права власності на транспортні засоби протягом звітного року (зазначається номер місяця арабськими цифрами);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поле </w:t>
      </w:r>
      <w:r w:rsidRPr="00056315">
        <w:rPr>
          <w:rFonts w:ascii="Times New Roman" w:eastAsia="Times New Roman" w:hAnsi="Times New Roman" w:cs="Times New Roman"/>
          <w:i/>
          <w:iCs/>
          <w:sz w:val="20"/>
          <w:szCs w:val="20"/>
          <w:lang w:val="uk-UA" w:eastAsia="ru-RU"/>
        </w:rPr>
        <w:t>«з урахуванням уточнень з»</w:t>
      </w:r>
      <w:r w:rsidRPr="00056315">
        <w:rPr>
          <w:rFonts w:ascii="Times New Roman" w:eastAsia="Times New Roman" w:hAnsi="Times New Roman" w:cs="Times New Roman"/>
          <w:sz w:val="20"/>
          <w:szCs w:val="20"/>
          <w:lang w:val="uk-UA" w:eastAsia="ru-RU"/>
        </w:rPr>
        <w:t xml:space="preserve"> заповнюється у разі уточнення податкових зобов’язань (зазначається номер місяця арабськими цифрами).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lastRenderedPageBreak/>
        <w:t xml:space="preserve">Враховуючи зазначене, при поданні Декларації з типом </w:t>
      </w:r>
      <w:r w:rsidRPr="00056315">
        <w:rPr>
          <w:rFonts w:ascii="Times New Roman" w:eastAsia="Times New Roman" w:hAnsi="Times New Roman" w:cs="Times New Roman"/>
          <w:i/>
          <w:iCs/>
          <w:sz w:val="20"/>
          <w:szCs w:val="20"/>
          <w:lang w:val="uk-UA" w:eastAsia="ru-RU"/>
        </w:rPr>
        <w:t>«Уточнююча</w:t>
      </w:r>
      <w:r w:rsidRPr="00056315">
        <w:rPr>
          <w:rFonts w:ascii="Times New Roman" w:eastAsia="Times New Roman" w:hAnsi="Times New Roman" w:cs="Times New Roman"/>
          <w:sz w:val="20"/>
          <w:szCs w:val="20"/>
          <w:lang w:val="uk-UA" w:eastAsia="ru-RU"/>
        </w:rPr>
        <w:t xml:space="preserve">», у разі переходу права власності (набуття/втрати права власності) на транспортні засоби протягом звітного року, заповнюється поле </w:t>
      </w:r>
      <w:r w:rsidRPr="00056315">
        <w:rPr>
          <w:rFonts w:ascii="Times New Roman" w:eastAsia="Times New Roman" w:hAnsi="Times New Roman" w:cs="Times New Roman"/>
          <w:i/>
          <w:iCs/>
          <w:sz w:val="20"/>
          <w:szCs w:val="20"/>
          <w:lang w:val="uk-UA" w:eastAsia="ru-RU"/>
        </w:rPr>
        <w:t>«з урахуванням уточнень з»</w:t>
      </w:r>
      <w:r w:rsidRPr="00056315">
        <w:rPr>
          <w:rFonts w:ascii="Times New Roman" w:eastAsia="Times New Roman" w:hAnsi="Times New Roman" w:cs="Times New Roman"/>
          <w:sz w:val="20"/>
          <w:szCs w:val="20"/>
          <w:lang w:val="uk-UA" w:eastAsia="ru-RU"/>
        </w:rPr>
        <w:t xml:space="preserve">, де зазначається арабськими цифрами номер місяця звітного року, в якому </w:t>
      </w:r>
      <w:proofErr w:type="spellStart"/>
      <w:r w:rsidRPr="00056315">
        <w:rPr>
          <w:rFonts w:ascii="Times New Roman" w:eastAsia="Times New Roman" w:hAnsi="Times New Roman" w:cs="Times New Roman"/>
          <w:sz w:val="20"/>
          <w:szCs w:val="20"/>
          <w:lang w:val="uk-UA" w:eastAsia="ru-RU"/>
        </w:rPr>
        <w:t>виникло</w:t>
      </w:r>
      <w:proofErr w:type="spellEnd"/>
      <w:r w:rsidRPr="00056315">
        <w:rPr>
          <w:rFonts w:ascii="Times New Roman" w:eastAsia="Times New Roman" w:hAnsi="Times New Roman" w:cs="Times New Roman"/>
          <w:sz w:val="20"/>
          <w:szCs w:val="20"/>
          <w:lang w:val="uk-UA" w:eastAsia="ru-RU"/>
        </w:rPr>
        <w:t xml:space="preserve">/втрачено право власності на транспортні засоби.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Отже, при поданні Декларації з типом </w:t>
      </w:r>
      <w:r w:rsidRPr="00056315">
        <w:rPr>
          <w:rFonts w:ascii="Times New Roman" w:eastAsia="Times New Roman" w:hAnsi="Times New Roman" w:cs="Times New Roman"/>
          <w:i/>
          <w:iCs/>
          <w:sz w:val="20"/>
          <w:szCs w:val="20"/>
          <w:lang w:val="uk-UA" w:eastAsia="ru-RU"/>
        </w:rPr>
        <w:t>«Уточнююча»</w:t>
      </w:r>
      <w:r w:rsidRPr="00056315">
        <w:rPr>
          <w:rFonts w:ascii="Times New Roman" w:eastAsia="Times New Roman" w:hAnsi="Times New Roman" w:cs="Times New Roman"/>
          <w:sz w:val="20"/>
          <w:szCs w:val="20"/>
          <w:lang w:val="uk-UA" w:eastAsia="ru-RU"/>
        </w:rPr>
        <w:t xml:space="preserve"> заповнюється поле </w:t>
      </w:r>
      <w:r w:rsidRPr="00056315">
        <w:rPr>
          <w:rFonts w:ascii="Times New Roman" w:eastAsia="Times New Roman" w:hAnsi="Times New Roman" w:cs="Times New Roman"/>
          <w:i/>
          <w:iCs/>
          <w:sz w:val="20"/>
          <w:szCs w:val="20"/>
          <w:lang w:val="uk-UA" w:eastAsia="ru-RU"/>
        </w:rPr>
        <w:t>«з урахуванням уточнень з»</w:t>
      </w:r>
      <w:r w:rsidRPr="00056315">
        <w:rPr>
          <w:rFonts w:ascii="Times New Roman" w:eastAsia="Times New Roman" w:hAnsi="Times New Roman" w:cs="Times New Roman"/>
          <w:sz w:val="20"/>
          <w:szCs w:val="20"/>
          <w:lang w:val="uk-UA" w:eastAsia="ru-RU"/>
        </w:rPr>
        <w:t xml:space="preserve">, яке означає, що у платника протягом року змінюється кількість об’єктів оподаткування (відбувся перехід права власності (набуття/втрата права власності) на транспортні засоби).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Поле </w:t>
      </w:r>
      <w:r w:rsidRPr="00056315">
        <w:rPr>
          <w:rFonts w:ascii="Times New Roman" w:eastAsia="Times New Roman" w:hAnsi="Times New Roman" w:cs="Times New Roman"/>
          <w:i/>
          <w:iCs/>
          <w:sz w:val="20"/>
          <w:szCs w:val="20"/>
          <w:lang w:val="uk-UA" w:eastAsia="ru-RU"/>
        </w:rPr>
        <w:t>«починаючи з»</w:t>
      </w:r>
      <w:r w:rsidRPr="00056315">
        <w:rPr>
          <w:rFonts w:ascii="Times New Roman" w:eastAsia="Times New Roman" w:hAnsi="Times New Roman" w:cs="Times New Roman"/>
          <w:sz w:val="20"/>
          <w:szCs w:val="20"/>
          <w:lang w:val="uk-UA" w:eastAsia="ru-RU"/>
        </w:rPr>
        <w:t xml:space="preserve"> заповнюється у Декларації з типом </w:t>
      </w:r>
      <w:r w:rsidRPr="00056315">
        <w:rPr>
          <w:rFonts w:ascii="Times New Roman" w:eastAsia="Times New Roman" w:hAnsi="Times New Roman" w:cs="Times New Roman"/>
          <w:i/>
          <w:iCs/>
          <w:sz w:val="20"/>
          <w:szCs w:val="20"/>
          <w:lang w:val="uk-UA" w:eastAsia="ru-RU"/>
        </w:rPr>
        <w:t>«Звітна»</w:t>
      </w:r>
      <w:r w:rsidRPr="00056315">
        <w:rPr>
          <w:rFonts w:ascii="Times New Roman" w:eastAsia="Times New Roman" w:hAnsi="Times New Roman" w:cs="Times New Roman"/>
          <w:sz w:val="20"/>
          <w:szCs w:val="20"/>
          <w:lang w:val="uk-UA" w:eastAsia="ru-RU"/>
        </w:rPr>
        <w:t xml:space="preserve"> у разі виникнення протягом року об’єкта оподаткування (до цієї дати у платника об’єктів оподаткування не було).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Незалежна професійна адвокатська діяльність: які витрати при визначенні сукупного чистого доходу враховуються? </w:t>
      </w:r>
    </w:p>
    <w:p w:rsidR="00A2689F" w:rsidRPr="00056315" w:rsidRDefault="00DE0269"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П</w:t>
      </w:r>
      <w:r w:rsidR="00A2689F" w:rsidRPr="00056315">
        <w:rPr>
          <w:rFonts w:ascii="Times New Roman" w:eastAsia="Times New Roman" w:hAnsi="Times New Roman" w:cs="Times New Roman"/>
          <w:sz w:val="20"/>
          <w:szCs w:val="20"/>
          <w:lang w:val="uk-UA" w:eastAsia="ru-RU"/>
        </w:rPr>
        <w:t>овідомляє</w:t>
      </w:r>
      <w:r w:rsidRPr="00056315">
        <w:rPr>
          <w:rFonts w:ascii="Times New Roman" w:eastAsia="Times New Roman" w:hAnsi="Times New Roman" w:cs="Times New Roman"/>
          <w:sz w:val="20"/>
          <w:szCs w:val="20"/>
          <w:lang w:val="uk-UA" w:eastAsia="ru-RU"/>
        </w:rPr>
        <w:t>мо</w:t>
      </w:r>
      <w:r w:rsidR="00A2689F" w:rsidRPr="00056315">
        <w:rPr>
          <w:rFonts w:ascii="Times New Roman" w:eastAsia="Times New Roman" w:hAnsi="Times New Roman" w:cs="Times New Roman"/>
          <w:sz w:val="20"/>
          <w:szCs w:val="20"/>
          <w:lang w:val="uk-UA" w:eastAsia="ru-RU"/>
        </w:rPr>
        <w:t xml:space="preserve">, що адвокати, як особи, які провадять незалежну професійну діяльність, мають право на вирахування з суми отриманого доходу документально підтверджених витрат, необхідних для провадження їх незалежної професійної діяльності.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Норми встановлені п. 178.3 ст. 178 Податкового кодексу України (далі –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Узагальнюючою податковою консультацією щодо деяких питань оподаткування фізичних осіб, які провадять незалежну професійну діяльність (приватних нотаріусів, адвокатів), затвердженою наказом ДПС України від 24.12.2012 № 1185 (далі – Наказ № 1185) (діюча), визначено необхідний перелік витрат, обумовлений вимогами Закону України від 05 липня 2012 року № 5076-VI «Про адвокатуру та адвокатську діяльність» із змінами, які можуть бути враховані для визначення сукупного чистого доходу фізичними особами при здійснення незалежної адвокатської діяльності, а саме: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орендна плата за користування приміщенням, яке є робочим місцем адвоката, у тому числі його поточний ремонт, обладнання пандусу для під’їзду осіб з інвалідністю;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технічне забезпечення діяльності робочого місця адвоката та його обслуговування (охоронна та пожежна сигналізація, вогнестійкий сейф, інформаційна вивіска, металеві двері або металеві ролети);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обслуговування технічного обладнання (комп’ютери, у тому числі їх програмне забезпечення, принтери, сканер, ксерокс, факс, телефон тощо);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витрати на виготовлення печаток та штампів, а також їх заміну;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сплата щорічних внесків адвокатів на забезпечення реалізації адвокатського самоврядування;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відкриття рахунків у банках та їх розрахунково-касове обслуговування (депозитні рахунки);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оплата праці та обов’язкові нарахування на фонд оплати праці помічників, секретарів, стажистів (найманих працівників);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проходження підвищення кваліфікації адвокатом; участь у короткотермінових семінарах, симпозіумах, науково-практичних конференціях; удосконалення професійної майстерності. Придбання та передплата юридичної літератури (книг, журналів, дисків, програм тощо);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витрати на збирання доказів, отримання висновків спеціалістів (експертів) відповідно до умов договору про надання правової допомоги;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витрати на користування електронною базою законодавства;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витрати на підключення та користування мережею Інтернет;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виготовлення бланків (у тому числі ордерів) із зазначенням прізвища, імені та по батькові адвоката, номера і дати видачі свідоцтва про право на заняття адвокатською діяльністю;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придбання канцелярського приладдя;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сплата адвокатами внесків до Пенсійного фонду України, у тому числі на користь найманих працівників, та фондів загальнообов’язкового державного соціального страхування;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програмне забезпечення;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поштові та кур’єрські послуги, необхідні для виконання адвокатської діяльності;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витрати на послуги телекомунікаційного зв’язку, електронні цифрові підписи для ведення бухгалтерського та податкового обліку та для подання податкової звітності, звітності до органів статистики, Пенсійного Фонду України, інших фондів загальнообов’язкового державного страхування.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Порядок оплати послуг та відшкодування витрат адвокатів, які надають безоплатну вторинну правову допомогу, затверджено постановою Кабінету Міністрів України від 17 вересня 2014 року № 465 із змінами (далі – Постанова       № 465).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При цьому, перелік витрат адвокатів, які надають безоплатну вторинну правову допомогу визначено узагальнюючою податковою консультацією, яка затверджена наказом Міністерства доходів і зборів України від 30.12.2013 № 885 (діюча).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Отже, при визначенні сукупного річного чистого доходу фізичних осіб, які здійснюють незалежну адвокатську діяльність та надали у звітному податковому році безоплатну вторинну правову допомогу, у разі отримання з бюджету відшкодування витрат, відповідно до Постанови № 465 та включення сум зазначеного відшкодування до доходу, такі фізичні особи мають право враховувати, </w:t>
      </w:r>
      <w:r w:rsidRPr="00056315">
        <w:rPr>
          <w:rFonts w:ascii="Times New Roman" w:eastAsia="Times New Roman" w:hAnsi="Times New Roman" w:cs="Times New Roman"/>
          <w:i/>
          <w:iCs/>
          <w:sz w:val="20"/>
          <w:szCs w:val="20"/>
          <w:lang w:val="uk-UA" w:eastAsia="ru-RU"/>
        </w:rPr>
        <w:t>крім витрат передбачених Наказом № 1185</w:t>
      </w:r>
      <w:r w:rsidRPr="00056315">
        <w:rPr>
          <w:rFonts w:ascii="Times New Roman" w:eastAsia="Times New Roman" w:hAnsi="Times New Roman" w:cs="Times New Roman"/>
          <w:sz w:val="20"/>
          <w:szCs w:val="20"/>
          <w:lang w:val="uk-UA" w:eastAsia="ru-RU"/>
        </w:rPr>
        <w:t xml:space="preserve">, додаткові документально підтверджені витрати, пов’язані з наданням безоплатної вторинної правової допомоги, зокрема: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витрати на проїзд транспортом загального користування (крім авіаційного, залізничного у м’яких вагонах поїздів, суднами морського та річкового транспорту);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витрати на придбання пально-мастильних матеріалів у разі використання власного транспортного засобу у нічний час або сільській місцевості чи за відсутності сполучення транспортом загального користування.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До уваги платників! Щодо перегляду розміру штрафних санкцій відповідно до пункту 73 підрозділу 2 розділу XX Податкового кодексу України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w:t>
      </w:r>
      <w:proofErr w:type="spellStart"/>
      <w:r w:rsidRPr="00056315">
        <w:rPr>
          <w:rFonts w:ascii="Times New Roman" w:eastAsia="Times New Roman" w:hAnsi="Times New Roman" w:cs="Times New Roman"/>
          <w:sz w:val="20"/>
          <w:szCs w:val="20"/>
          <w:lang w:val="uk-UA" w:eastAsia="ru-RU"/>
        </w:rPr>
        <w:t>неузгодженостей</w:t>
      </w:r>
      <w:proofErr w:type="spellEnd"/>
      <w:r w:rsidRPr="00056315">
        <w:rPr>
          <w:rFonts w:ascii="Times New Roman" w:eastAsia="Times New Roman" w:hAnsi="Times New Roman" w:cs="Times New Roman"/>
          <w:sz w:val="20"/>
          <w:szCs w:val="20"/>
          <w:lang w:val="uk-UA" w:eastAsia="ru-RU"/>
        </w:rPr>
        <w:t xml:space="preserve"> у податковому законодавстві» </w:t>
      </w:r>
      <w:r w:rsidRPr="00056315">
        <w:rPr>
          <w:rFonts w:ascii="Times New Roman" w:eastAsia="Times New Roman" w:hAnsi="Times New Roman" w:cs="Times New Roman"/>
          <w:sz w:val="20"/>
          <w:szCs w:val="20"/>
          <w:lang w:val="uk-UA" w:eastAsia="ru-RU"/>
        </w:rPr>
        <w:lastRenderedPageBreak/>
        <w:t xml:space="preserve">(далі – Закон № 466) підрозділ 2 «Особливості сплавляння податку на додану вартість» розділу ХХ «Перехідні положення» Податкового кодексу України (далі – Кодекс) доповнено новим пунктом 73, який набрав чинності з 23 травня 2020 року.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Відповідно до цього пункту підлягають перегляду неузгоджені та несплачені станом на 23 травня 2020 року штрафні санкції, нараховані з 01 січня 2017 року по 31 грудня 2019 року, за порушення платниками ПДВ граничного строку для реєстрації ПН та/або РК до таких ПН в ЄРПН, складених за: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операціями, які звільняються від оподаткування ПДВ;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операціями, які оподатковуються ПДВ за нульовою ставкою;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операціями, які не передбачають надання ПН отримувачу (покупцю), а також ПН, складеної відповідно до п. 198.5 Кодексу у разі здійснення операцій, визначених підпунктами «а» – «г» п. 198.5 ст. 198 Кодексу;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відповідно до ст. 199 Кодексу;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відповідно до абзацу 11 п. 201.4 ст. 201 Кодексу.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 свою чергу, з 08 серпня 2020 року Законом України від 14 липня 2020 року   № 786-IX «Про внесення змін до Податкового кодексу України щодо функціонування електронного кабінету та спрощення роботи фізичних осіб – підприємців» </w:t>
      </w:r>
      <w:proofErr w:type="spellStart"/>
      <w:r w:rsidRPr="00056315">
        <w:rPr>
          <w:rFonts w:ascii="Times New Roman" w:eastAsia="Times New Roman" w:hAnsi="Times New Roman" w:cs="Times New Roman"/>
          <w:sz w:val="20"/>
          <w:szCs w:val="20"/>
          <w:lang w:val="uk-UA" w:eastAsia="ru-RU"/>
        </w:rPr>
        <w:t>внесено</w:t>
      </w:r>
      <w:proofErr w:type="spellEnd"/>
      <w:r w:rsidRPr="00056315">
        <w:rPr>
          <w:rFonts w:ascii="Times New Roman" w:eastAsia="Times New Roman" w:hAnsi="Times New Roman" w:cs="Times New Roman"/>
          <w:sz w:val="20"/>
          <w:szCs w:val="20"/>
          <w:lang w:val="uk-UA" w:eastAsia="ru-RU"/>
        </w:rPr>
        <w:t xml:space="preserve"> суттєві зміни у цю процедуру. Встановлено, що період, за який у платника є право на перегляд, розпочинається з 1 січня 2017 року і закінчується 23 травня 2020 року (датою набрання чинності Законом № 466).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Зменшено вдвічі розмір нарахованих і неузгоджених штрафів, які є предметом перегляду, а саме: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у разі відсутності реєстрації – 2,5 відсотки (було 5 відсотків) від обсягу постачання без ПДВ, але не більше 1700 гривень (було 3 400 гривень);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у разі несвоєчасної реєстрації – 1 відсоток (було 2 відсотки) від обсягу постачання без ПДВ, але не більше 510 гривень (було 1 020 гривень).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Ця норма поширюється на випадки, коли грошові зобов’язання неузгоджені (відповідні податкові повідомлення-рішення знаходяться в процедурі адміністративного або судового оскарження).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 результатами виконання вимог Кодексу, податкові органи серед податкових повідомлень-рішень, які знаходяться в процедурі адміністративного або судового оскарження, виявляють відповідні податкові повідомлення-рішення, штрафні санкції яких є предметом перегляду відповідно до вимог пункту 73 підрозділу 2 розділу XX Кодексу.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Такі податкові повідомлення-рішення підлягають скасуванню в Порядку  № 1204, шляхом винесення нового податкового повідомлення-рішення із зазначенням нової суми штрафів, з урахуванням зменшення штрафів відповідно до пункту 73 підрозділу 2 розділу XX Кодексу за порушення платниками ПДВ граничного строку для реєстрації відповідних ПН та/або РК до таких ПН в ЄРПН.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Робота в цьому напрямі триває.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Інформація розміщена на офіційному </w:t>
      </w:r>
      <w:proofErr w:type="spellStart"/>
      <w:r w:rsidRPr="00056315">
        <w:rPr>
          <w:rFonts w:ascii="Times New Roman" w:eastAsia="Times New Roman" w:hAnsi="Times New Roman" w:cs="Times New Roman"/>
          <w:sz w:val="20"/>
          <w:szCs w:val="20"/>
          <w:lang w:val="uk-UA" w:eastAsia="ru-RU"/>
        </w:rPr>
        <w:t>вебпорталі</w:t>
      </w:r>
      <w:proofErr w:type="spellEnd"/>
      <w:r w:rsidRPr="00056315">
        <w:rPr>
          <w:rFonts w:ascii="Times New Roman" w:eastAsia="Times New Roman" w:hAnsi="Times New Roman" w:cs="Times New Roman"/>
          <w:sz w:val="20"/>
          <w:szCs w:val="20"/>
          <w:lang w:val="uk-UA" w:eastAsia="ru-RU"/>
        </w:rPr>
        <w:t xml:space="preserve"> ДПС України за посиланням:  </w:t>
      </w:r>
      <w:hyperlink r:id="rId13" w:history="1">
        <w:r w:rsidRPr="00056315">
          <w:rPr>
            <w:rFonts w:ascii="Times New Roman" w:eastAsia="Times New Roman" w:hAnsi="Times New Roman" w:cs="Times New Roman"/>
            <w:color w:val="0000FF"/>
            <w:sz w:val="20"/>
            <w:szCs w:val="20"/>
            <w:u w:val="single"/>
            <w:lang w:val="uk-UA" w:eastAsia="ru-RU"/>
          </w:rPr>
          <w:t>https://tax.gov.ua/nove-pro-podatki--</w:t>
        </w:r>
        <w:proofErr w:type="spellStart"/>
        <w:r w:rsidRPr="00056315">
          <w:rPr>
            <w:rFonts w:ascii="Times New Roman" w:eastAsia="Times New Roman" w:hAnsi="Times New Roman" w:cs="Times New Roman"/>
            <w:color w:val="0000FF"/>
            <w:sz w:val="20"/>
            <w:szCs w:val="20"/>
            <w:u w:val="single"/>
            <w:lang w:val="uk-UA" w:eastAsia="ru-RU"/>
          </w:rPr>
          <w:t>novini</w:t>
        </w:r>
        <w:proofErr w:type="spellEnd"/>
        <w:r w:rsidRPr="00056315">
          <w:rPr>
            <w:rFonts w:ascii="Times New Roman" w:eastAsia="Times New Roman" w:hAnsi="Times New Roman" w:cs="Times New Roman"/>
            <w:color w:val="0000FF"/>
            <w:sz w:val="20"/>
            <w:szCs w:val="20"/>
            <w:u w:val="single"/>
            <w:lang w:val="uk-UA" w:eastAsia="ru-RU"/>
          </w:rPr>
          <w:t>-/434544.html</w:t>
        </w:r>
      </w:hyperlink>
      <w:r w:rsidRPr="00056315">
        <w:rPr>
          <w:rFonts w:ascii="Times New Roman" w:eastAsia="Times New Roman" w:hAnsi="Times New Roman" w:cs="Times New Roman"/>
          <w:sz w:val="20"/>
          <w:szCs w:val="20"/>
          <w:lang w:val="uk-UA" w:eastAsia="ru-RU"/>
        </w:rPr>
        <w:t xml:space="preserve">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З початку року податкова служба надала 3,2 млн адміністративних послуг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січні – серпні 2020 року Державна податкова служба надала 3,2 млн адміністративних послуг платникам податків.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Найбільш запитуваними серед 96 адміністративних послуг, які надає податкова, стали, зокрема, видача картки платника податків, внесення до паспорта громадянина України (у формі книжечки) даних про реєстраційний номер облікової картки платника податків з Державного реєстру фізичних осіб – платників податків. Протягом січня – серпня було надано понад 801,7 тис. таких послуг.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Понад 1 млн платників отримали відомості з Державного реєстру фізичних   осіб – платників податків про суми/джерела виплачених доходів та утриманих податків.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Державна податкова служба України взаємодіє з Міністерством цифрової трансформації України щодо наповнення Реєстру адміністративних послуг (</w:t>
      </w:r>
      <w:hyperlink r:id="rId14" w:tgtFrame="_blank" w:history="1">
        <w:r w:rsidRPr="00056315">
          <w:rPr>
            <w:rFonts w:ascii="Times New Roman" w:eastAsia="Times New Roman" w:hAnsi="Times New Roman" w:cs="Times New Roman"/>
            <w:color w:val="0000FF"/>
            <w:sz w:val="20"/>
            <w:szCs w:val="20"/>
            <w:u w:val="single"/>
            <w:lang w:val="uk-UA" w:eastAsia="ru-RU"/>
          </w:rPr>
          <w:t>registry.diia.gov.ua</w:t>
        </w:r>
      </w:hyperlink>
      <w:r w:rsidRPr="00056315">
        <w:rPr>
          <w:rFonts w:ascii="Times New Roman" w:eastAsia="Times New Roman" w:hAnsi="Times New Roman" w:cs="Times New Roman"/>
          <w:sz w:val="20"/>
          <w:szCs w:val="20"/>
          <w:lang w:val="uk-UA" w:eastAsia="ru-RU"/>
        </w:rPr>
        <w:t xml:space="preserve">), який також інтегровано на Портал Дія («Гід з державних послуг») за посиланням: </w:t>
      </w:r>
      <w:hyperlink r:id="rId15" w:tgtFrame="_blank" w:history="1">
        <w:r w:rsidRPr="00056315">
          <w:rPr>
            <w:rFonts w:ascii="Times New Roman" w:eastAsia="Times New Roman" w:hAnsi="Times New Roman" w:cs="Times New Roman"/>
            <w:color w:val="0000FF"/>
            <w:sz w:val="20"/>
            <w:szCs w:val="20"/>
            <w:u w:val="single"/>
            <w:lang w:val="uk-UA" w:eastAsia="ru-RU"/>
          </w:rPr>
          <w:t>https://guide.diia.gov.ua/</w:t>
        </w:r>
      </w:hyperlink>
      <w:r w:rsidRPr="00056315">
        <w:rPr>
          <w:rFonts w:ascii="Times New Roman" w:eastAsia="Times New Roman" w:hAnsi="Times New Roman" w:cs="Times New Roman"/>
          <w:sz w:val="20"/>
          <w:szCs w:val="20"/>
          <w:lang w:val="uk-UA" w:eastAsia="ru-RU"/>
        </w:rPr>
        <w:t xml:space="preserve">, інформацією про всі послуги, які надає ДПС та її територіальні органи.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Для забезпечення можливості подання заяв в електронній формі, у тому числі через сервіс «Листування», на Порталі Дія в електронній формі у Реєстрі адміністративних послуг розміщено гіперпосилання на ІТС «Електронний кабінет» (</w:t>
      </w:r>
      <w:hyperlink r:id="rId16" w:tgtFrame="_blank" w:history="1">
        <w:r w:rsidRPr="00056315">
          <w:rPr>
            <w:rFonts w:ascii="Times New Roman" w:eastAsia="Times New Roman" w:hAnsi="Times New Roman" w:cs="Times New Roman"/>
            <w:color w:val="0000FF"/>
            <w:sz w:val="20"/>
            <w:szCs w:val="20"/>
            <w:u w:val="single"/>
            <w:lang w:val="uk-UA" w:eastAsia="ru-RU"/>
          </w:rPr>
          <w:t>http://cabinet.tax.gov.ua</w:t>
        </w:r>
      </w:hyperlink>
      <w:r w:rsidRPr="00056315">
        <w:rPr>
          <w:rFonts w:ascii="Times New Roman" w:eastAsia="Times New Roman" w:hAnsi="Times New Roman" w:cs="Times New Roman"/>
          <w:sz w:val="20"/>
          <w:szCs w:val="20"/>
          <w:lang w:val="uk-UA" w:eastAsia="ru-RU"/>
        </w:rPr>
        <w:t xml:space="preserve">).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Роботодавцем нарахована працівнику компенсація за невикористані щорічні відпустки (основну та додаткову): що з єдиним внеском? </w:t>
      </w:r>
    </w:p>
    <w:p w:rsidR="00A2689F" w:rsidRPr="00056315" w:rsidRDefault="00DE0269"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В</w:t>
      </w:r>
      <w:r w:rsidR="00A2689F" w:rsidRPr="00056315">
        <w:rPr>
          <w:rFonts w:ascii="Times New Roman" w:eastAsia="Times New Roman" w:hAnsi="Times New Roman" w:cs="Times New Roman"/>
          <w:sz w:val="20"/>
          <w:szCs w:val="20"/>
          <w:lang w:val="uk-UA" w:eastAsia="ru-RU"/>
        </w:rPr>
        <w:t xml:space="preserve">ідповідно до абзацу другого п. 1 частини 1 ст. 4 Закону України від 08 липня 2010 року № 2464-VI «Про збір та облік єдиного внеску на загальнообов’язкове державне соціальне страхування» зі змінами (далі – Закон № 2464) платниками єдиного внеску на загальнообов’язкове державне соціальне страхування (далі – єдиний внесок), зокрема є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w:t>
      </w:r>
      <w:r w:rsidR="00A2689F" w:rsidRPr="00056315">
        <w:rPr>
          <w:rFonts w:ascii="Times New Roman" w:eastAsia="Times New Roman" w:hAnsi="Times New Roman" w:cs="Times New Roman"/>
          <w:i/>
          <w:iCs/>
          <w:sz w:val="20"/>
          <w:szCs w:val="20"/>
          <w:lang w:val="uk-UA" w:eastAsia="ru-RU"/>
        </w:rPr>
        <w:t>(крім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та фізичних осіб – підприємців)</w:t>
      </w:r>
      <w:r w:rsidR="00A2689F" w:rsidRPr="00056315">
        <w:rPr>
          <w:rFonts w:ascii="Times New Roman" w:eastAsia="Times New Roman" w:hAnsi="Times New Roman" w:cs="Times New Roman"/>
          <w:sz w:val="20"/>
          <w:szCs w:val="20"/>
          <w:lang w:val="uk-UA" w:eastAsia="ru-RU"/>
        </w:rPr>
        <w:t xml:space="preserve">, у тому числі філії, представництва, відділення та інші відокремлені підрозділи зазначених підприємств, установ і організацій, інших юридичних осіб, які мають окремий баланс і самостійно ведуть розрахунки із застрахованими особами (далі – роботодавці).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Пунктом 1 частини 1 ст. 7 Закону № 2464 визначено, що базою нарахування єдиного внеску роботодавцями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Суми грошових компенсацій у разі невикористання щорічних (основної та додаткових) відпусток у розмірах, передбачених законодавством, є базою для нарахування єдиного внеску.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lastRenderedPageBreak/>
        <w:t xml:space="preserve">Статтею 116 Кодексу законів про працю України визначено, що при звільненні працівника виплата всіх сум, що належать йому від підприємства, установи, організації провадиться в день звільнення.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Підприємство після звільнення працівника не несе обов’язку страхувальника, а відповідно і платника страхових внесків.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Отже, особам, яким після звільнення з роботи нараховано компенсацію за невикористану відпустку, єдиний внесок на зазначені суми не нараховується.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Податок на прибуток підприємств: які платники звільняються від оподаткування? </w:t>
      </w:r>
    </w:p>
    <w:p w:rsidR="00A2689F" w:rsidRPr="00056315" w:rsidRDefault="00DE0269"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І</w:t>
      </w:r>
      <w:r w:rsidR="00A2689F" w:rsidRPr="00056315">
        <w:rPr>
          <w:rFonts w:ascii="Times New Roman" w:eastAsia="Times New Roman" w:hAnsi="Times New Roman" w:cs="Times New Roman"/>
          <w:sz w:val="20"/>
          <w:szCs w:val="20"/>
          <w:lang w:val="uk-UA" w:eastAsia="ru-RU"/>
        </w:rPr>
        <w:t>нформує</w:t>
      </w:r>
      <w:r w:rsidRPr="00056315">
        <w:rPr>
          <w:rFonts w:ascii="Times New Roman" w:eastAsia="Times New Roman" w:hAnsi="Times New Roman" w:cs="Times New Roman"/>
          <w:sz w:val="20"/>
          <w:szCs w:val="20"/>
          <w:lang w:val="uk-UA" w:eastAsia="ru-RU"/>
        </w:rPr>
        <w:t>мо</w:t>
      </w:r>
      <w:r w:rsidR="00A2689F" w:rsidRPr="00056315">
        <w:rPr>
          <w:rFonts w:ascii="Times New Roman" w:eastAsia="Times New Roman" w:hAnsi="Times New Roman" w:cs="Times New Roman"/>
          <w:sz w:val="20"/>
          <w:szCs w:val="20"/>
          <w:lang w:val="uk-UA" w:eastAsia="ru-RU"/>
        </w:rPr>
        <w:t xml:space="preserve">, що звільнення від оподаткування прибутку підприємств передбачено ст. 142 розділу ІІІ та підрозділом 4 розділу ХХ «Перехідні положення» Податкового кодексу України (далі –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Відповідно до п. 142.1 ст. 142 ПКУ звільняється від оподаткування прибуток підприємств та організацій, які засновані громадськими об’єднаннями осіб з інвалідністю і є їх повною власністю, отриманий від продажу (постачання) товарів, виконання робіт і надання послуг, крім підакцизних товарів, послуг із поставки підакцизних товарів, отриманих у межах договорів комісії (консигнації), поруки, доручення, довірчого управління, інших цивільно-правових договорів, що уповноважують такого платника податку здійснювати постачання товарів від імені та за дорученням іншої особи без передачі права власності на такі товари, де протягом попереднього звітного (податкового) періоду кількість осіб з інвалідністю, які мають там основне місце роботи, становить не менш як 50 </w:t>
      </w:r>
      <w:proofErr w:type="spellStart"/>
      <w:r w:rsidRPr="00056315">
        <w:rPr>
          <w:rFonts w:ascii="Times New Roman" w:eastAsia="Times New Roman" w:hAnsi="Times New Roman" w:cs="Times New Roman"/>
          <w:sz w:val="20"/>
          <w:szCs w:val="20"/>
          <w:lang w:val="uk-UA" w:eastAsia="ru-RU"/>
        </w:rPr>
        <w:t>відс</w:t>
      </w:r>
      <w:proofErr w:type="spellEnd"/>
      <w:r w:rsidRPr="00056315">
        <w:rPr>
          <w:rFonts w:ascii="Times New Roman" w:eastAsia="Times New Roman" w:hAnsi="Times New Roman" w:cs="Times New Roman"/>
          <w:sz w:val="20"/>
          <w:szCs w:val="20"/>
          <w:lang w:val="uk-UA" w:eastAsia="ru-RU"/>
        </w:rPr>
        <w:t xml:space="preserve">. середньооблікової чисельності штатних працівників облікового складу за умови, що фонд оплати праці таких осіб з інвалідністю становить протягом звітного періоду не менш як 25 % суми загальних витрат на оплату праці.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Зазначені підприємства та організації громадських об’єднань осіб з інвалідністю мають право застосовувати цю пільгу за наявності дозволу на право користування такою пільгою, який видається уповноваженим органом відповідно до Закону України від 21 березня 1991 року № 875-XІІ «Про основи соціальної захищеності осіб з інвалідністю в Україні».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разі порушення вимог щодо цільового використання вивільнених від оподаткування коштів платник податку зобов’язаний збільшити податкові зобов’язання з цього податку за результатами податкового періоду, на який припадає таке порушення, а також сплатити пеню, нараховану відповідно до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Підприємства та організації, на які поширюється дія п. 142.1 ст. 142 ПКУ, реєструються у відповідному контролюючому органі в порядку, передбаченому для платників цього податку.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Пунктом 142.2 ст. 142 ПКУ встановлено, що на період підготовки до зняття і зняття з експлуатації енергоблоків Чорнобильської АЕС та перетворення об’єкта «Укриття» на екологічно безпечну систему звільняється від оподаткування прибуток Чорнобильської АЕС, якщо такі кошти використовуються на фінансування робіт з підготовки до зняття і зняття Чорнобильської АЕС з експлуатації та перетворення об’єкта «Укриття» на екологічно безпечну систему.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разі порушення вимог щодо цільового використання вивільнених від оподаткування коштів платник податку зобов’язаний збільшити податкові зобов’язання з цього податку за результатами податкового (звітного) періоду, на який припадає таке порушення, а також сплатити пеню, нараховану відповідно до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Згідно з п. 142.3 ст. 142 ПКУ звільняється від оподаткування прибуток підприємств, отриманий за рахунок міжнародної технічної допомоги або за рахунок коштів, які передбачаються в державному бюджеті як внесок України до Чорнобильського фонду «Укриття» для реалізації міжнародної програми – Плану здійснення заходів на об’єкті «Укриття» відповідно до положень Рамкової угоди між Україною та Європейським банком реконструкції та розвитку стосовно діяльності Чорнобильського фонду «Укриття» в Україні, для подальшої експлуатації, підготовки до зняття і зняття енергоблоків Чорнобильської АЕС з експлуатації, перетворення об’єкта «Укриття» на екологічно безпечну систему та забезпечення соціального захисту персоналу Чорнобильської АЕС.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разі порушення вимог щодо цільового використання вивільнених від оподаткування коштів платник податку зобов’язаний збільшити податкові зобов’язання з цього податку за результатами податкового (звітного) періоду, на який припадає таке порушення, а також сплатити пеню, нараховану відповідно до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Крім того, тимчасово, до 01 січня 2025 року, звільняється від оподаткування прибуток підприємств – суб’єктів літакобудування, що визначені відповідно до норм ст. 2 Закону України від 12 липня 2001 року № 2660-ІІІ «Про розвиток літакобудівної промисловості» із змінами (абзац перший п. 41 підрозділу 4  розділу ХХ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 період до 31 грудня 2021 року передбачено застосування ставки 0 відсотків для платників податку на прибуток, які відповідають критеріям, визначеним п. 44 підрозділу 4 розділу ХХ ПКУ.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DE0269"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К</w:t>
      </w:r>
      <w:r w:rsidR="00A2689F" w:rsidRPr="00056315">
        <w:rPr>
          <w:rFonts w:ascii="Times New Roman" w:eastAsia="Times New Roman" w:hAnsi="Times New Roman" w:cs="Times New Roman"/>
          <w:b/>
          <w:bCs/>
          <w:kern w:val="36"/>
          <w:sz w:val="20"/>
          <w:szCs w:val="20"/>
          <w:lang w:val="uk-UA" w:eastAsia="ru-RU"/>
        </w:rPr>
        <w:t xml:space="preserve">ошик доходів місцевих бюджетів Дніпропетровщини за вісім місяців 2020 року поповнився на 15 млрд 974 млн гривень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Одним із основних бюджетоутворюючих податків є податок на доходи фізичних осіб. Поступове збільшення надходжень цього податку дуже важливо для місцевих бюджетів області.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 умовах, коли країна проводить заходи з метою запобігання поширенню на території України гострої респіраторної хвороби COVID-19, спричиненої </w:t>
      </w:r>
      <w:proofErr w:type="spellStart"/>
      <w:r w:rsidRPr="00056315">
        <w:rPr>
          <w:rFonts w:ascii="Times New Roman" w:eastAsia="Times New Roman" w:hAnsi="Times New Roman" w:cs="Times New Roman"/>
          <w:sz w:val="20"/>
          <w:szCs w:val="20"/>
          <w:lang w:val="uk-UA" w:eastAsia="ru-RU"/>
        </w:rPr>
        <w:t>коронавірусом</w:t>
      </w:r>
      <w:proofErr w:type="spellEnd"/>
      <w:r w:rsidRPr="00056315">
        <w:rPr>
          <w:rFonts w:ascii="Times New Roman" w:eastAsia="Times New Roman" w:hAnsi="Times New Roman" w:cs="Times New Roman"/>
          <w:sz w:val="20"/>
          <w:szCs w:val="20"/>
          <w:lang w:val="uk-UA" w:eastAsia="ru-RU"/>
        </w:rPr>
        <w:t xml:space="preserve">, кошти які надходять до місцевих бюджетів області є вагомим важелем для цієї боротьби.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 підсумками січня - серпня 2020 року платниками податків направлено до місцевих бюджетів податку на доходи фізичних осіб у сумі 10 млрд 13,7 млн грн,  що на 430 млн грн більше надходжень відповідного періоду минулого року.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Наступним джерелом, який формує бюджет розвитку області є єдиний податок, якого за період січень – серпень 2020 року надійшло  1 млрд 999,2 млн гривень.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«Однією з вирішальних умов створення </w:t>
      </w:r>
      <w:proofErr w:type="spellStart"/>
      <w:r w:rsidRPr="00056315">
        <w:rPr>
          <w:rFonts w:ascii="Times New Roman" w:eastAsia="Times New Roman" w:hAnsi="Times New Roman" w:cs="Times New Roman"/>
          <w:sz w:val="20"/>
          <w:szCs w:val="20"/>
          <w:lang w:val="uk-UA" w:eastAsia="ru-RU"/>
        </w:rPr>
        <w:t>високорозвинутої</w:t>
      </w:r>
      <w:proofErr w:type="spellEnd"/>
      <w:r w:rsidRPr="00056315">
        <w:rPr>
          <w:rFonts w:ascii="Times New Roman" w:eastAsia="Times New Roman" w:hAnsi="Times New Roman" w:cs="Times New Roman"/>
          <w:sz w:val="20"/>
          <w:szCs w:val="20"/>
          <w:lang w:val="uk-UA" w:eastAsia="ru-RU"/>
        </w:rPr>
        <w:t xml:space="preserve"> ринкової економіки є формування місцевого самоврядування, як ефективно функціонуючої складової частини суспільного сектора», - наголосила начальник Головного управління ДПС у Дніпропетровській області Ганна ЧУБ.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Про адміністрування місцевих та рентних платежів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Фахівцями управління податкового адміністрування Головного управління ДПС у Дніпропетровській області проведено сеанс телефонного зв’язку «гаряча лінія» на тему «Про адміністрування місцевих та рентних платежів».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lastRenderedPageBreak/>
        <w:t>Питання 1. Які умови та підстави застосування коригуючого коефіцієнту 0,95 за видобування корисних копалин ділянки надр, затверджених державною експертизою на підставі звітів з геологічного вивчення, що виконане платником рентної плати за рахунок власних коштів?</w:t>
      </w:r>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Відповідь.</w:t>
      </w:r>
      <w:r w:rsidRPr="00056315">
        <w:rPr>
          <w:rFonts w:ascii="Times New Roman" w:eastAsia="Times New Roman" w:hAnsi="Times New Roman" w:cs="Times New Roman"/>
          <w:sz w:val="20"/>
          <w:szCs w:val="20"/>
          <w:lang w:val="uk-UA" w:eastAsia="ru-RU"/>
        </w:rPr>
        <w:t xml:space="preserve"> Порядок обчислення податкових зобов’язань з рентної плати за користування надрами передбачає можливість застосування коригуючого коефіцієнту (п. 252.22 ст. 252 Податкового кодексу України (далі – Кодекс) з урахуванням норм п. 252.16 ст. 252).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Слід зазначити, що п. 252.22 ст. 252 Кодексу визначено, що критерієм застосування коефіцієнту є видобування корисних копалин ділянки надр, затверджених державною експертизою на підставі звітів з геологічного вивчення, яке виконане платником рентної плати за рахунок власних коштів.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Коригування податкових зобов’язань на підставі виконання </w:t>
      </w:r>
      <w:proofErr w:type="spellStart"/>
      <w:r w:rsidRPr="00056315">
        <w:rPr>
          <w:rFonts w:ascii="Times New Roman" w:eastAsia="Times New Roman" w:hAnsi="Times New Roman" w:cs="Times New Roman"/>
          <w:sz w:val="20"/>
          <w:szCs w:val="20"/>
          <w:lang w:val="uk-UA" w:eastAsia="ru-RU"/>
        </w:rPr>
        <w:t>надрокористувачем</w:t>
      </w:r>
      <w:proofErr w:type="spellEnd"/>
      <w:r w:rsidRPr="00056315">
        <w:rPr>
          <w:rFonts w:ascii="Times New Roman" w:eastAsia="Times New Roman" w:hAnsi="Times New Roman" w:cs="Times New Roman"/>
          <w:sz w:val="20"/>
          <w:szCs w:val="20"/>
          <w:lang w:val="uk-UA" w:eastAsia="ru-RU"/>
        </w:rPr>
        <w:t xml:space="preserve">, не раніше ніж за 5 років до дати обчислення податкових зобов’язань з рентної плати, державної геолого-економічної оцінки запасів корисних копалин здійснюється із застосуванням коефіцієнта 0,95 виключно у разі дотримання </w:t>
      </w:r>
      <w:proofErr w:type="spellStart"/>
      <w:r w:rsidRPr="00056315">
        <w:rPr>
          <w:rFonts w:ascii="Times New Roman" w:eastAsia="Times New Roman" w:hAnsi="Times New Roman" w:cs="Times New Roman"/>
          <w:sz w:val="20"/>
          <w:szCs w:val="20"/>
          <w:lang w:val="uk-UA" w:eastAsia="ru-RU"/>
        </w:rPr>
        <w:t>надрокористувачем</w:t>
      </w:r>
      <w:proofErr w:type="spellEnd"/>
      <w:r w:rsidRPr="00056315">
        <w:rPr>
          <w:rFonts w:ascii="Times New Roman" w:eastAsia="Times New Roman" w:hAnsi="Times New Roman" w:cs="Times New Roman"/>
          <w:sz w:val="20"/>
          <w:szCs w:val="20"/>
          <w:lang w:val="uk-UA" w:eastAsia="ru-RU"/>
        </w:rPr>
        <w:t xml:space="preserve"> умов провадження діяльності з видобування, які встановлені затвердженими у визначеному законодавством порядку кондиціями на мінеральну сировину ділянки надр, в межах якої здійснюється видобування. При цьому, припинено застосування коригуючого коефіцієнту на підставі виконання </w:t>
      </w:r>
      <w:proofErr w:type="spellStart"/>
      <w:r w:rsidRPr="00056315">
        <w:rPr>
          <w:rFonts w:ascii="Times New Roman" w:eastAsia="Times New Roman" w:hAnsi="Times New Roman" w:cs="Times New Roman"/>
          <w:sz w:val="20"/>
          <w:szCs w:val="20"/>
          <w:lang w:val="uk-UA" w:eastAsia="ru-RU"/>
        </w:rPr>
        <w:t>надрокористувачем</w:t>
      </w:r>
      <w:proofErr w:type="spellEnd"/>
      <w:r w:rsidRPr="00056315">
        <w:rPr>
          <w:rFonts w:ascii="Times New Roman" w:eastAsia="Times New Roman" w:hAnsi="Times New Roman" w:cs="Times New Roman"/>
          <w:sz w:val="20"/>
          <w:szCs w:val="20"/>
          <w:lang w:val="uk-UA" w:eastAsia="ru-RU"/>
        </w:rPr>
        <w:t xml:space="preserve"> геолого-економічної оцінки запасів корисних копалин для таких видів корисних копалин як: нафта та конденсат.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Питання 2.</w:t>
      </w:r>
      <w:r w:rsidRPr="00056315">
        <w:rPr>
          <w:rFonts w:ascii="Times New Roman" w:eastAsia="Times New Roman" w:hAnsi="Times New Roman" w:cs="Times New Roman"/>
          <w:sz w:val="20"/>
          <w:szCs w:val="20"/>
          <w:lang w:val="uk-UA" w:eastAsia="ru-RU"/>
        </w:rPr>
        <w:t xml:space="preserve"> </w:t>
      </w:r>
      <w:r w:rsidRPr="00056315">
        <w:rPr>
          <w:rFonts w:ascii="Times New Roman" w:eastAsia="Times New Roman" w:hAnsi="Times New Roman" w:cs="Times New Roman"/>
          <w:b/>
          <w:bCs/>
          <w:sz w:val="20"/>
          <w:szCs w:val="20"/>
          <w:lang w:val="uk-UA" w:eastAsia="ru-RU"/>
        </w:rPr>
        <w:t>Які особливості справляння рентної плати за користування радіочастотним ресурсом України, внесені Законом України від 16 січня 2020 року № 466-ІV</w:t>
      </w:r>
      <w:r w:rsidRPr="00056315">
        <w:rPr>
          <w:rFonts w:ascii="Times New Roman" w:eastAsia="Times New Roman" w:hAnsi="Times New Roman" w:cs="Times New Roman"/>
          <w:sz w:val="20"/>
          <w:szCs w:val="20"/>
          <w:lang w:val="uk-UA" w:eastAsia="ru-RU"/>
        </w:rPr>
        <w:t xml:space="preserve"> </w:t>
      </w:r>
      <w:r w:rsidRPr="00056315">
        <w:rPr>
          <w:rFonts w:ascii="Times New Roman" w:eastAsia="Times New Roman" w:hAnsi="Times New Roman" w:cs="Times New Roman"/>
          <w:b/>
          <w:bCs/>
          <w:sz w:val="20"/>
          <w:szCs w:val="20"/>
          <w:lang w:val="uk-UA" w:eastAsia="ru-RU"/>
        </w:rPr>
        <w:t xml:space="preserve">«Про внесення змін до Податкового кодексу України щодо вдосконалення адміністрування податків, усунення технічних та логічних </w:t>
      </w:r>
      <w:proofErr w:type="spellStart"/>
      <w:r w:rsidRPr="00056315">
        <w:rPr>
          <w:rFonts w:ascii="Times New Roman" w:eastAsia="Times New Roman" w:hAnsi="Times New Roman" w:cs="Times New Roman"/>
          <w:b/>
          <w:bCs/>
          <w:sz w:val="20"/>
          <w:szCs w:val="20"/>
          <w:lang w:val="uk-UA" w:eastAsia="ru-RU"/>
        </w:rPr>
        <w:t>неузгодженостей</w:t>
      </w:r>
      <w:proofErr w:type="spellEnd"/>
      <w:r w:rsidRPr="00056315">
        <w:rPr>
          <w:rFonts w:ascii="Times New Roman" w:eastAsia="Times New Roman" w:hAnsi="Times New Roman" w:cs="Times New Roman"/>
          <w:b/>
          <w:bCs/>
          <w:sz w:val="20"/>
          <w:szCs w:val="20"/>
          <w:lang w:val="uk-UA" w:eastAsia="ru-RU"/>
        </w:rPr>
        <w:t xml:space="preserve"> у податковому законодавстві»?</w:t>
      </w:r>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b/>
          <w:bCs/>
          <w:sz w:val="20"/>
          <w:szCs w:val="20"/>
          <w:lang w:val="uk-UA" w:eastAsia="ru-RU"/>
        </w:rPr>
        <w:t>Відповідь.</w:t>
      </w:r>
      <w:r w:rsidRPr="00056315">
        <w:rPr>
          <w:rFonts w:ascii="Times New Roman" w:eastAsia="Times New Roman" w:hAnsi="Times New Roman" w:cs="Times New Roman"/>
          <w:sz w:val="20"/>
          <w:szCs w:val="20"/>
          <w:lang w:val="uk-UA" w:eastAsia="ru-RU"/>
        </w:rPr>
        <w:t xml:space="preserve"> Тимчасово, до 31 грудня 2020 року включно, ставка рентної плати за користування радіочастотним ресурсом України за види радіозв’язку, передбачені підпунктом 16</w:t>
      </w:r>
      <w:r w:rsidRPr="00056315">
        <w:rPr>
          <w:rFonts w:ascii="Times New Roman" w:eastAsia="Times New Roman" w:hAnsi="Times New Roman" w:cs="Times New Roman"/>
          <w:b/>
          <w:bCs/>
          <w:sz w:val="20"/>
          <w:szCs w:val="20"/>
          <w:vertAlign w:val="superscript"/>
          <w:lang w:val="uk-UA" w:eastAsia="ru-RU"/>
        </w:rPr>
        <w:t>1</w:t>
      </w:r>
      <w:r w:rsidRPr="00056315">
        <w:rPr>
          <w:rFonts w:ascii="Times New Roman" w:eastAsia="Times New Roman" w:hAnsi="Times New Roman" w:cs="Times New Roman"/>
          <w:sz w:val="20"/>
          <w:szCs w:val="20"/>
          <w:lang w:val="uk-UA" w:eastAsia="ru-RU"/>
        </w:rPr>
        <w:t xml:space="preserve"> пункту 254.4 статті 254 цього Кодексу, встановлюється в розмірі 458,30 гривні на місяць за 1 мегагерц смуги радіочастот.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Стартувала міжнародна онлайн-конференція «Реалізація плану BEPS в Україні»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 Україні сформовано нормативно-правове підґрунтя для більшості кроків Плану дій BEPS. Про це повідомив Голова Державної податкової служби України під час міжнародної онлайн-конференції «Реалізація плану BEPS в Україні», яка розпочала свою роботу 24 вересня.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конференції, яка проводиться за ініціативи ДПС, також взяли участь заступник Міністра фінансів України Світлана </w:t>
      </w:r>
      <w:proofErr w:type="spellStart"/>
      <w:r w:rsidRPr="00056315">
        <w:rPr>
          <w:rFonts w:ascii="Times New Roman" w:eastAsia="Times New Roman" w:hAnsi="Times New Roman" w:cs="Times New Roman"/>
          <w:sz w:val="20"/>
          <w:szCs w:val="20"/>
          <w:lang w:val="uk-UA" w:eastAsia="ru-RU"/>
        </w:rPr>
        <w:t>Воробей</w:t>
      </w:r>
      <w:proofErr w:type="spellEnd"/>
      <w:r w:rsidRPr="00056315">
        <w:rPr>
          <w:rFonts w:ascii="Times New Roman" w:eastAsia="Times New Roman" w:hAnsi="Times New Roman" w:cs="Times New Roman"/>
          <w:sz w:val="20"/>
          <w:szCs w:val="20"/>
          <w:lang w:val="uk-UA" w:eastAsia="ru-RU"/>
        </w:rPr>
        <w:t xml:space="preserve">, представники Міністерства фінансів, Міністерства закордонних справ України, податкових органів іноземних держав (Польща, Литва, Велика Британія, Швеція, Кіпр, Фінляндія), Організації економічного співробітництва та розвитку (ОЕСР), Офісу технічної допомоги Департаменту казначейства США, Німецького товариства міжнародного співробітництва (GIZ), </w:t>
      </w:r>
      <w:proofErr w:type="spellStart"/>
      <w:r w:rsidRPr="00056315">
        <w:rPr>
          <w:rFonts w:ascii="Times New Roman" w:eastAsia="Times New Roman" w:hAnsi="Times New Roman" w:cs="Times New Roman"/>
          <w:sz w:val="20"/>
          <w:szCs w:val="20"/>
          <w:lang w:val="uk-UA" w:eastAsia="ru-RU"/>
        </w:rPr>
        <w:t>Внутрішньоєвропейської</w:t>
      </w:r>
      <w:proofErr w:type="spellEnd"/>
      <w:r w:rsidRPr="00056315">
        <w:rPr>
          <w:rFonts w:ascii="Times New Roman" w:eastAsia="Times New Roman" w:hAnsi="Times New Roman" w:cs="Times New Roman"/>
          <w:sz w:val="20"/>
          <w:szCs w:val="20"/>
          <w:lang w:val="uk-UA" w:eastAsia="ru-RU"/>
        </w:rPr>
        <w:t xml:space="preserve"> організації податкових адміністрацій (IOTA), Міжнародного валютного фонду, Національного університету Державної податкової служби України, провідних аудиторських компаній, народні депутати України.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Заступник Міністра фінансів України Світлана </w:t>
      </w:r>
      <w:proofErr w:type="spellStart"/>
      <w:r w:rsidRPr="00056315">
        <w:rPr>
          <w:rFonts w:ascii="Times New Roman" w:eastAsia="Times New Roman" w:hAnsi="Times New Roman" w:cs="Times New Roman"/>
          <w:sz w:val="20"/>
          <w:szCs w:val="20"/>
          <w:lang w:val="uk-UA" w:eastAsia="ru-RU"/>
        </w:rPr>
        <w:t>Воробей</w:t>
      </w:r>
      <w:proofErr w:type="spellEnd"/>
      <w:r w:rsidRPr="00056315">
        <w:rPr>
          <w:rFonts w:ascii="Times New Roman" w:eastAsia="Times New Roman" w:hAnsi="Times New Roman" w:cs="Times New Roman"/>
          <w:sz w:val="20"/>
          <w:szCs w:val="20"/>
          <w:lang w:val="uk-UA" w:eastAsia="ru-RU"/>
        </w:rPr>
        <w:t xml:space="preserve"> зазначила, що  ефективній та послідовній роботі щодо впровадження кроків плану BEPS в Україні надається значна увага. І в цьому напрямі Міністерство фінансів України </w:t>
      </w:r>
      <w:proofErr w:type="spellStart"/>
      <w:r w:rsidRPr="00056315">
        <w:rPr>
          <w:rFonts w:ascii="Times New Roman" w:eastAsia="Times New Roman" w:hAnsi="Times New Roman" w:cs="Times New Roman"/>
          <w:sz w:val="20"/>
          <w:szCs w:val="20"/>
          <w:lang w:val="uk-UA" w:eastAsia="ru-RU"/>
        </w:rPr>
        <w:t>плідно</w:t>
      </w:r>
      <w:proofErr w:type="spellEnd"/>
      <w:r w:rsidRPr="00056315">
        <w:rPr>
          <w:rFonts w:ascii="Times New Roman" w:eastAsia="Times New Roman" w:hAnsi="Times New Roman" w:cs="Times New Roman"/>
          <w:sz w:val="20"/>
          <w:szCs w:val="20"/>
          <w:lang w:val="uk-UA" w:eastAsia="ru-RU"/>
        </w:rPr>
        <w:t xml:space="preserve"> співпрацює з податковою службою та міжнародними експертами.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 словами Голови ДПС, через прогалини та неузгодженості у національному та міжнародному податковому законодавстві міжнародні компанії можуть зменшувати або уникати зобов'язань зі сплати податку на прибуток. І ситуація, коли держави втрачають надходження бюджету, не є виключенням і для України.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 останні 3 роки тільки пасивних доходів з України –  22,4 млрд </w:t>
      </w:r>
      <w:proofErr w:type="spellStart"/>
      <w:r w:rsidRPr="00056315">
        <w:rPr>
          <w:rFonts w:ascii="Times New Roman" w:eastAsia="Times New Roman" w:hAnsi="Times New Roman" w:cs="Times New Roman"/>
          <w:sz w:val="20"/>
          <w:szCs w:val="20"/>
          <w:lang w:val="uk-UA" w:eastAsia="ru-RU"/>
        </w:rPr>
        <w:t>дол</w:t>
      </w:r>
      <w:proofErr w:type="spellEnd"/>
      <w:r w:rsidRPr="00056315">
        <w:rPr>
          <w:rFonts w:ascii="Times New Roman" w:eastAsia="Times New Roman" w:hAnsi="Times New Roman" w:cs="Times New Roman"/>
          <w:sz w:val="20"/>
          <w:szCs w:val="20"/>
          <w:lang w:val="uk-UA" w:eastAsia="ru-RU"/>
        </w:rPr>
        <w:t xml:space="preserve">. США. Щорічно понад 2 тис. платників декларують контрольовані операції на 90 млрд </w:t>
      </w:r>
      <w:proofErr w:type="spellStart"/>
      <w:r w:rsidRPr="00056315">
        <w:rPr>
          <w:rFonts w:ascii="Times New Roman" w:eastAsia="Times New Roman" w:hAnsi="Times New Roman" w:cs="Times New Roman"/>
          <w:sz w:val="20"/>
          <w:szCs w:val="20"/>
          <w:lang w:val="uk-UA" w:eastAsia="ru-RU"/>
        </w:rPr>
        <w:t>дол</w:t>
      </w:r>
      <w:proofErr w:type="spellEnd"/>
      <w:r w:rsidRPr="00056315">
        <w:rPr>
          <w:rFonts w:ascii="Times New Roman" w:eastAsia="Times New Roman" w:hAnsi="Times New Roman" w:cs="Times New Roman"/>
          <w:sz w:val="20"/>
          <w:szCs w:val="20"/>
          <w:lang w:val="uk-UA" w:eastAsia="ru-RU"/>
        </w:rPr>
        <w:t xml:space="preserve">. США. Ці суми є значними для економіки України та потребують відповідного контролю», - підкреслив Олексій Любченко.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Приєднавшись у 2017 році до Програми розширеного співробітництва в рамках Організації економічного співробітництва та розвитку (ОЕСР) Україна взяла на себе зобов’язання </w:t>
      </w:r>
      <w:proofErr w:type="spellStart"/>
      <w:r w:rsidRPr="00056315">
        <w:rPr>
          <w:rFonts w:ascii="Times New Roman" w:eastAsia="Times New Roman" w:hAnsi="Times New Roman" w:cs="Times New Roman"/>
          <w:sz w:val="20"/>
          <w:szCs w:val="20"/>
          <w:lang w:val="uk-UA" w:eastAsia="ru-RU"/>
        </w:rPr>
        <w:t>імплементувати</w:t>
      </w:r>
      <w:proofErr w:type="spellEnd"/>
      <w:r w:rsidRPr="00056315">
        <w:rPr>
          <w:rFonts w:ascii="Times New Roman" w:eastAsia="Times New Roman" w:hAnsi="Times New Roman" w:cs="Times New Roman"/>
          <w:sz w:val="20"/>
          <w:szCs w:val="20"/>
          <w:lang w:val="uk-UA" w:eastAsia="ru-RU"/>
        </w:rPr>
        <w:t xml:space="preserve"> «Мінімальний стандарт» Плану дій BEPS (</w:t>
      </w:r>
      <w:proofErr w:type="spellStart"/>
      <w:r w:rsidRPr="00056315">
        <w:rPr>
          <w:rFonts w:ascii="Times New Roman" w:eastAsia="Times New Roman" w:hAnsi="Times New Roman" w:cs="Times New Roman"/>
          <w:sz w:val="20"/>
          <w:szCs w:val="20"/>
          <w:lang w:val="uk-UA" w:eastAsia="ru-RU"/>
        </w:rPr>
        <w:t>Base</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Erosion</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and</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Profit</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Shifting</w:t>
      </w:r>
      <w:proofErr w:type="spellEnd"/>
      <w:r w:rsidRPr="00056315">
        <w:rPr>
          <w:rFonts w:ascii="Times New Roman" w:eastAsia="Times New Roman" w:hAnsi="Times New Roman" w:cs="Times New Roman"/>
          <w:sz w:val="20"/>
          <w:szCs w:val="20"/>
          <w:lang w:val="uk-UA" w:eastAsia="ru-RU"/>
        </w:rPr>
        <w:t xml:space="preserve">, розмивання оподатковуваної бази й виведення прибутку з-під оподаткування).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«Якщо Мінімальний стандарт включав обов’язкову реалізацію 4-х кроків з 15-ти за Планом, то зараз в Україні реалізовано нормативно-правове підґрунтя для більшості кроків Плану», - зазначив Олексій Любченко.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Зокрема, це стосується реалізації таких кроків Плану: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розкриття фізичними особами-резидентами України своєї участі в іноземних компаніях, які вони контролюють (КІК), і правила оподаткування таких компаній;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обмеження витрат на фінансові операції з пов’язаними особами;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боротьба з податковими зловживаннями, пов’язаними з використанням спеціальних режимів оподаткування;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запобігання зловживанням у зв’язку із застосуванням договорів про уникнення подвійного оподаткування;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запобігання штучному уникненню визнання статусу постійного представництва;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удосконалення контролю за трансфертним ціноутворенням;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правила звітності в розрізі країн для міжнародних груп компаній;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механізм вирішення конфліктів;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впровадження багатостороннього інструменту – MLI (</w:t>
      </w:r>
      <w:proofErr w:type="spellStart"/>
      <w:r w:rsidRPr="00056315">
        <w:rPr>
          <w:rFonts w:ascii="Times New Roman" w:eastAsia="Times New Roman" w:hAnsi="Times New Roman" w:cs="Times New Roman"/>
          <w:sz w:val="20"/>
          <w:szCs w:val="20"/>
          <w:lang w:val="uk-UA" w:eastAsia="ru-RU"/>
        </w:rPr>
        <w:t>Multilateral</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Instrument</w:t>
      </w:r>
      <w:proofErr w:type="spellEnd"/>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Голова ДПС підкреслив, що Законом № 466, який вступив в дію 23 травня 2020 року, впроваджується низка фундаментальних змін, спрямованих на боротьбу з розмиванням податкової бази та виведенням прибутку з-під оподаткування, підвищення податкової прозорості, дотримання податкових норм та вдосконалення податкового адміністрування, формального запровадження принципу «превалювання суті над формою» та інших важливих правил протидії уникненню оподаткування, що наближуватимуть українську податкову систему до стандартів ОЕСР.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«Такі інтенсивні зміни у національному законодавстві дають чіткий сигнал українському бізнесу та українським </w:t>
      </w:r>
      <w:proofErr w:type="spellStart"/>
      <w:r w:rsidRPr="00056315">
        <w:rPr>
          <w:rFonts w:ascii="Times New Roman" w:eastAsia="Times New Roman" w:hAnsi="Times New Roman" w:cs="Times New Roman"/>
          <w:sz w:val="20"/>
          <w:szCs w:val="20"/>
          <w:lang w:val="uk-UA" w:eastAsia="ru-RU"/>
        </w:rPr>
        <w:t>бенефіціарам</w:t>
      </w:r>
      <w:proofErr w:type="spellEnd"/>
      <w:r w:rsidRPr="00056315">
        <w:rPr>
          <w:rFonts w:ascii="Times New Roman" w:eastAsia="Times New Roman" w:hAnsi="Times New Roman" w:cs="Times New Roman"/>
          <w:sz w:val="20"/>
          <w:szCs w:val="20"/>
          <w:lang w:val="uk-UA" w:eastAsia="ru-RU"/>
        </w:rPr>
        <w:t xml:space="preserve"> іноземних компаній до переходу на подальшу роботу по більш прозорим правилам та необхідність переглянути свої бізнес-моделі», - наголосив Олексій Любченко.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lastRenderedPageBreak/>
        <w:t xml:space="preserve">  </w:t>
      </w:r>
      <w:r w:rsidRPr="00056315">
        <w:rPr>
          <w:rFonts w:ascii="Times New Roman" w:eastAsia="Times New Roman" w:hAnsi="Times New Roman" w:cs="Times New Roman"/>
          <w:i/>
          <w:iCs/>
          <w:sz w:val="20"/>
          <w:szCs w:val="20"/>
          <w:lang w:val="uk-UA" w:eastAsia="ru-RU"/>
        </w:rPr>
        <w:t>Довідково.</w:t>
      </w:r>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План дій BEPS (</w:t>
      </w:r>
      <w:proofErr w:type="spellStart"/>
      <w:r w:rsidRPr="00056315">
        <w:rPr>
          <w:rFonts w:ascii="Times New Roman" w:eastAsia="Times New Roman" w:hAnsi="Times New Roman" w:cs="Times New Roman"/>
          <w:sz w:val="20"/>
          <w:szCs w:val="20"/>
          <w:lang w:val="uk-UA" w:eastAsia="ru-RU"/>
        </w:rPr>
        <w:t>Base</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Еrosion</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and</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Profit</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Shifting</w:t>
      </w:r>
      <w:proofErr w:type="spellEnd"/>
      <w:r w:rsidRPr="00056315">
        <w:rPr>
          <w:rFonts w:ascii="Times New Roman" w:eastAsia="Times New Roman" w:hAnsi="Times New Roman" w:cs="Times New Roman"/>
          <w:sz w:val="20"/>
          <w:szCs w:val="20"/>
          <w:lang w:val="uk-UA" w:eastAsia="ru-RU"/>
        </w:rPr>
        <w:t xml:space="preserve">) – проект Організації економічного співробітництва та розвитку (ОЕСР)/ «Групи двадцяти» з вирішення проблем розмивання (заниження) податкової бази та переміщення прибутків, який був представлений ОЕСР та затверджений у вересні 2013 року на саміті голів держав G20. Зазначений План містить 15 кроків, результатом опрацювання яких буде надання країнам внутрішніх та міжнародних інструментів, за допомогою яких права щодо оподаткування будуть приведені у відповідність до економічної діяльності міжнародних корпорацій.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За які земельні ділянки ФОП – платники єдиного податку четвертої групи сплачують земельний податок? </w:t>
      </w:r>
    </w:p>
    <w:p w:rsidR="00A2689F" w:rsidRPr="00056315" w:rsidRDefault="00DE0269"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Н</w:t>
      </w:r>
      <w:r w:rsidR="00A2689F" w:rsidRPr="00056315">
        <w:rPr>
          <w:rFonts w:ascii="Times New Roman" w:eastAsia="Times New Roman" w:hAnsi="Times New Roman" w:cs="Times New Roman"/>
          <w:sz w:val="20"/>
          <w:szCs w:val="20"/>
          <w:lang w:val="uk-UA" w:eastAsia="ru-RU"/>
        </w:rPr>
        <w:t>агадує</w:t>
      </w:r>
      <w:r w:rsidRPr="00056315">
        <w:rPr>
          <w:rFonts w:ascii="Times New Roman" w:eastAsia="Times New Roman" w:hAnsi="Times New Roman" w:cs="Times New Roman"/>
          <w:sz w:val="20"/>
          <w:szCs w:val="20"/>
          <w:lang w:val="uk-UA" w:eastAsia="ru-RU"/>
        </w:rPr>
        <w:t>мо</w:t>
      </w:r>
      <w:r w:rsidR="00A2689F" w:rsidRPr="00056315">
        <w:rPr>
          <w:rFonts w:ascii="Times New Roman" w:eastAsia="Times New Roman" w:hAnsi="Times New Roman" w:cs="Times New Roman"/>
          <w:sz w:val="20"/>
          <w:szCs w:val="20"/>
          <w:lang w:val="uk-UA" w:eastAsia="ru-RU"/>
        </w:rPr>
        <w:t xml:space="preserve">, що до платників єдиного податку четвертої групи, належать фізичні особи – підприємці, які провадять діяльність виключно в межах фермерського господарства, зареєстрованого відповідно до Закону України від 19 червня 2003 року № 973-IV «Про фермерське господарство» зі змінами та доповненнями, за умови виконання сукупності таких вимог: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здійснюють виключно вирощування, відгодовування сільськогосподарської продукції, збирання, вилов, переробку такої </w:t>
      </w:r>
      <w:proofErr w:type="spellStart"/>
      <w:r w:rsidRPr="00056315">
        <w:rPr>
          <w:rFonts w:ascii="Times New Roman" w:eastAsia="Times New Roman" w:hAnsi="Times New Roman" w:cs="Times New Roman"/>
          <w:sz w:val="20"/>
          <w:szCs w:val="20"/>
          <w:lang w:val="uk-UA" w:eastAsia="ru-RU"/>
        </w:rPr>
        <w:t>власновирощеної</w:t>
      </w:r>
      <w:proofErr w:type="spellEnd"/>
      <w:r w:rsidRPr="00056315">
        <w:rPr>
          <w:rFonts w:ascii="Times New Roman" w:eastAsia="Times New Roman" w:hAnsi="Times New Roman" w:cs="Times New Roman"/>
          <w:sz w:val="20"/>
          <w:szCs w:val="20"/>
          <w:lang w:val="uk-UA" w:eastAsia="ru-RU"/>
        </w:rPr>
        <w:t xml:space="preserve"> або відгодованої продукції та її продаж;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провадять господарську діяльність (крім постачання) за місцем податкової адреси;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не використовують працю найманих осіб;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членами фермерського господарства такої фізичної особи є лише члени її сім’ї у визначенні частини другої ст. 3 Сімейного кодексу України від 10 січня 2002 року № 2947-ІІІ зі змінами та доповненнями;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площа сільськогосподарських угідь та/або земель водного фонду у власності та/або користуванні членів фермерського господарства становить не менше двох гектарів, але не більше 20 гектарів.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Норми встановлені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«б»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4 п. 291.4 ст. 291 Податкового кодексу України (далі –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Об’єктом оподаткування для платників єдиного податку четвертої групи є площа сільськогосподарських угідь (ріллі, сіножатей, пасовищ і багаторічних насаджень) та/або земель водного фонду (внутрішніх водойм, озер, ставків, водосховищ), що перебуває у власності сільськогосподарського товаровиробника або надана йому у користування, у тому числі на умовах оренди (п. 292</w:t>
      </w:r>
      <w:r w:rsidRPr="00056315">
        <w:rPr>
          <w:rFonts w:ascii="Times New Roman" w:eastAsia="Times New Roman" w:hAnsi="Times New Roman" w:cs="Times New Roman"/>
          <w:sz w:val="20"/>
          <w:szCs w:val="20"/>
          <w:vertAlign w:val="superscript"/>
          <w:lang w:val="uk-UA" w:eastAsia="ru-RU"/>
        </w:rPr>
        <w:t>1</w:t>
      </w:r>
      <w:r w:rsidRPr="00056315">
        <w:rPr>
          <w:rFonts w:ascii="Times New Roman" w:eastAsia="Times New Roman" w:hAnsi="Times New Roman" w:cs="Times New Roman"/>
          <w:sz w:val="20"/>
          <w:szCs w:val="20"/>
          <w:lang w:val="uk-UA" w:eastAsia="ru-RU"/>
        </w:rPr>
        <w:t>.1 ст. 292</w:t>
      </w:r>
      <w:r w:rsidRPr="00056315">
        <w:rPr>
          <w:rFonts w:ascii="Times New Roman" w:eastAsia="Times New Roman" w:hAnsi="Times New Roman" w:cs="Times New Roman"/>
          <w:sz w:val="20"/>
          <w:szCs w:val="20"/>
          <w:vertAlign w:val="superscript"/>
          <w:lang w:val="uk-UA" w:eastAsia="ru-RU"/>
        </w:rPr>
        <w:t>1</w:t>
      </w:r>
      <w:r w:rsidRPr="00056315">
        <w:rPr>
          <w:rFonts w:ascii="Times New Roman" w:eastAsia="Times New Roman" w:hAnsi="Times New Roman" w:cs="Times New Roman"/>
          <w:sz w:val="20"/>
          <w:szCs w:val="20"/>
          <w:lang w:val="uk-UA" w:eastAsia="ru-RU"/>
        </w:rPr>
        <w:t xml:space="preserve">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Платники єдиного податку звільняються від обов’язку нарахування, сплати та подання податкової звітності, зокрема, з податку на майно в частині земельного податку за земельні ділянки, що використовуються платниками єдиного податку четвертої групи для ведення сільськогосподарського </w:t>
      </w:r>
      <w:proofErr w:type="spellStart"/>
      <w:r w:rsidRPr="00056315">
        <w:rPr>
          <w:rFonts w:ascii="Times New Roman" w:eastAsia="Times New Roman" w:hAnsi="Times New Roman" w:cs="Times New Roman"/>
          <w:sz w:val="20"/>
          <w:szCs w:val="20"/>
          <w:lang w:val="uk-UA" w:eastAsia="ru-RU"/>
        </w:rPr>
        <w:t>товаровиробництва</w:t>
      </w:r>
      <w:proofErr w:type="spellEnd"/>
      <w:r w:rsidRPr="00056315">
        <w:rPr>
          <w:rFonts w:ascii="Times New Roman" w:eastAsia="Times New Roman" w:hAnsi="Times New Roman" w:cs="Times New Roman"/>
          <w:sz w:val="20"/>
          <w:szCs w:val="20"/>
          <w:lang w:val="uk-UA" w:eastAsia="ru-RU"/>
        </w:rPr>
        <w:t xml:space="preserve">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4 п. 297.1 ст. 297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Згідно з частиною другою ст. 22 Земельного кодексу України від 25 жовтня 2001 року № 2768-III зі змінами (далі – ЗКУ) до земель сільськогосподарського призначення належать: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а) сільськогосподарські угіддя (рілля, багаторічні насадження, сіножаті, пасовища та перелоги);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б) несільськогосподарські угіддя (господарські шляхи і прогони, полезахисні лісові смуги та інші захисні насадження, крім тих, що віднесені до земель інших категорій, землі під господарськими будівлями і дворами, землі під інфраструктурою оптових ринків сільськогосподарської продукції, землі тимчасової консервації тощо).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Землі сільськогосподарського призначення передаються у власність та надаються у користування громадянам – для ведення особистого селянського господарства, садівництва, городництва, сінокосіння та випасання худоби, ведення товарного сільськогосподарського виробництва, фермерського господарства (п. «а» частини третьої ст. 22 ЗКУ).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Частинами 2 та 4 ст. 59 ЗКУ, зокрема, визначено, що громадянам за рішенням органів виконавчої влади або органів місцевого самоврядування можуть безоплатно передаватись у власність замкнені природні водойми (загальною площею до 3 гектарів). Власники на своїх земельних ділянках можуть у встановленому порядку створювати рибогосподарські, протиерозійні та інші штучні водойми.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Громадянам органами виконавчої влади або органами місцевого самоврядування із земель водного фонду можуть передаватися на умовах оренди, зокрема, земельні ділянки прибережних захисних смуг, смуг відведення і берегових смуг водних шляхів, озера, водосховища, інші водойми, болота та острови для сінокосіння, рибогосподарських потреб.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Отже, фізичні особи – підприємці – платники єдиного податку четвертої групи, які є власниками/користувачами земель сільськогосподарського призначення та/або земель водного фонду (внутрішніх водойм, озер, ставків, водосховищ), звільняються від сплати земельного податку за земельні ділянки (не більше 20 гектарів), що використовуються такими платниками для ведення сільськогосподарського </w:t>
      </w:r>
      <w:proofErr w:type="spellStart"/>
      <w:r w:rsidRPr="00056315">
        <w:rPr>
          <w:rFonts w:ascii="Times New Roman" w:eastAsia="Times New Roman" w:hAnsi="Times New Roman" w:cs="Times New Roman"/>
          <w:sz w:val="20"/>
          <w:szCs w:val="20"/>
          <w:lang w:val="uk-UA" w:eastAsia="ru-RU"/>
        </w:rPr>
        <w:t>товаровиробництва</w:t>
      </w:r>
      <w:proofErr w:type="spellEnd"/>
      <w:r w:rsidRPr="00056315">
        <w:rPr>
          <w:rFonts w:ascii="Times New Roman" w:eastAsia="Times New Roman" w:hAnsi="Times New Roman" w:cs="Times New Roman"/>
          <w:sz w:val="20"/>
          <w:szCs w:val="20"/>
          <w:lang w:val="uk-UA" w:eastAsia="ru-RU"/>
        </w:rPr>
        <w:t xml:space="preserve">.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 інші земельні ділянки, в тому числі за земельні ділянки сільськогосподарського призначення, що не використовуються для ведення сільськогосподарського </w:t>
      </w:r>
      <w:proofErr w:type="spellStart"/>
      <w:r w:rsidRPr="00056315">
        <w:rPr>
          <w:rFonts w:ascii="Times New Roman" w:eastAsia="Times New Roman" w:hAnsi="Times New Roman" w:cs="Times New Roman"/>
          <w:sz w:val="20"/>
          <w:szCs w:val="20"/>
          <w:lang w:val="uk-UA" w:eastAsia="ru-RU"/>
        </w:rPr>
        <w:t>товаровиробництва</w:t>
      </w:r>
      <w:proofErr w:type="spellEnd"/>
      <w:r w:rsidRPr="00056315">
        <w:rPr>
          <w:rFonts w:ascii="Times New Roman" w:eastAsia="Times New Roman" w:hAnsi="Times New Roman" w:cs="Times New Roman"/>
          <w:sz w:val="20"/>
          <w:szCs w:val="20"/>
          <w:lang w:val="uk-UA" w:eastAsia="ru-RU"/>
        </w:rPr>
        <w:t xml:space="preserve">, земельний податок сплачується на загальних підставах.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До уваги платників, які здійснюють роздрібну торгівлю алкогольними напоями! </w:t>
      </w:r>
    </w:p>
    <w:p w:rsidR="00A2689F" w:rsidRPr="00056315" w:rsidRDefault="00DE0269"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І</w:t>
      </w:r>
      <w:r w:rsidR="00A2689F" w:rsidRPr="00056315">
        <w:rPr>
          <w:rFonts w:ascii="Times New Roman" w:eastAsia="Times New Roman" w:hAnsi="Times New Roman" w:cs="Times New Roman"/>
          <w:sz w:val="20"/>
          <w:szCs w:val="20"/>
          <w:lang w:val="uk-UA" w:eastAsia="ru-RU"/>
        </w:rPr>
        <w:t>нформує</w:t>
      </w:r>
      <w:r w:rsidRPr="00056315">
        <w:rPr>
          <w:rFonts w:ascii="Times New Roman" w:eastAsia="Times New Roman" w:hAnsi="Times New Roman" w:cs="Times New Roman"/>
          <w:sz w:val="20"/>
          <w:szCs w:val="20"/>
          <w:lang w:val="uk-UA" w:eastAsia="ru-RU"/>
        </w:rPr>
        <w:t>мо</w:t>
      </w:r>
      <w:r w:rsidR="00A2689F" w:rsidRPr="00056315">
        <w:rPr>
          <w:rFonts w:ascii="Times New Roman" w:eastAsia="Times New Roman" w:hAnsi="Times New Roman" w:cs="Times New Roman"/>
          <w:sz w:val="20"/>
          <w:szCs w:val="20"/>
          <w:lang w:val="uk-UA" w:eastAsia="ru-RU"/>
        </w:rPr>
        <w:t xml:space="preserve">, що статтею 17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зі змінами передбачено, що у випадку здійснення роздрібної торгівлі алкогольними напоями через електронний контрольно-касовий апарат (книгу обліку розрахункових операцій), не зазначений у ліцензії, до суб’єктів господарювання (у тому числі іноземних суб’єктів господарювання, які діють через свої зареєстровані постійні представництва) застосовується фінансова санкція у вигляді штрафів у розмірі 200 відсотків вартості реалізованої через такий контрольно-касовий апарат (книгу обліку розрахункових операцій) продукції, але не менше 10 000 гривень.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DE0269">
      <w:pPr>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Про зупинення податкових накладних на черговій зустрічі у режимі онлайн </w:t>
      </w:r>
    </w:p>
    <w:p w:rsidR="00A2689F" w:rsidRPr="00056315" w:rsidRDefault="00DE0269"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З</w:t>
      </w:r>
      <w:r w:rsidR="00A2689F" w:rsidRPr="00056315">
        <w:rPr>
          <w:rFonts w:ascii="Times New Roman" w:eastAsia="Times New Roman" w:hAnsi="Times New Roman" w:cs="Times New Roman"/>
          <w:sz w:val="20"/>
          <w:szCs w:val="20"/>
          <w:lang w:val="uk-UA" w:eastAsia="ru-RU"/>
        </w:rPr>
        <w:t xml:space="preserve">а організацією Спілки українських підприємців та Головного управління ДПС у Дніпропетровській області (далі – ГУ ДПС) для представників бізнесу Дніпропетровщини – платників податку на додану вартість проведена зустріч.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Зустріч проходила традиційно у режимі онлайн за темою «Зупинення податкових накладних, деякі особливості заповнення Таблиці даних платника податку на додану вартість».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Захід відбувся за участі заступника начальника управління – начальника відділу інформаційної політики та адміністрування </w:t>
      </w:r>
      <w:proofErr w:type="spellStart"/>
      <w:r w:rsidRPr="00056315">
        <w:rPr>
          <w:rFonts w:ascii="Times New Roman" w:eastAsia="Times New Roman" w:hAnsi="Times New Roman" w:cs="Times New Roman"/>
          <w:sz w:val="20"/>
          <w:szCs w:val="20"/>
          <w:lang w:val="uk-UA" w:eastAsia="ru-RU"/>
        </w:rPr>
        <w:t>субсайту</w:t>
      </w:r>
      <w:proofErr w:type="spellEnd"/>
      <w:r w:rsidRPr="00056315">
        <w:rPr>
          <w:rFonts w:ascii="Times New Roman" w:eastAsia="Times New Roman" w:hAnsi="Times New Roman" w:cs="Times New Roman"/>
          <w:sz w:val="20"/>
          <w:szCs w:val="20"/>
          <w:lang w:val="uk-UA" w:eastAsia="ru-RU"/>
        </w:rPr>
        <w:t xml:space="preserve"> організаційно-розпорядчого управління ГУ ДПС Осипової </w:t>
      </w:r>
      <w:proofErr w:type="spellStart"/>
      <w:r w:rsidRPr="00056315">
        <w:rPr>
          <w:rFonts w:ascii="Times New Roman" w:eastAsia="Times New Roman" w:hAnsi="Times New Roman" w:cs="Times New Roman"/>
          <w:sz w:val="20"/>
          <w:szCs w:val="20"/>
          <w:lang w:val="uk-UA" w:eastAsia="ru-RU"/>
        </w:rPr>
        <w:t>Манушак</w:t>
      </w:r>
      <w:proofErr w:type="spellEnd"/>
      <w:r w:rsidRPr="00056315">
        <w:rPr>
          <w:rFonts w:ascii="Times New Roman" w:eastAsia="Times New Roman" w:hAnsi="Times New Roman" w:cs="Times New Roman"/>
          <w:sz w:val="20"/>
          <w:szCs w:val="20"/>
          <w:lang w:val="uk-UA" w:eastAsia="ru-RU"/>
        </w:rPr>
        <w:t xml:space="preserve">, начальника відділу перевірок інших галузей економіки управління податкового аудиту ГУ ДПС </w:t>
      </w:r>
      <w:proofErr w:type="spellStart"/>
      <w:r w:rsidRPr="00056315">
        <w:rPr>
          <w:rFonts w:ascii="Times New Roman" w:eastAsia="Times New Roman" w:hAnsi="Times New Roman" w:cs="Times New Roman"/>
          <w:sz w:val="20"/>
          <w:szCs w:val="20"/>
          <w:lang w:val="uk-UA" w:eastAsia="ru-RU"/>
        </w:rPr>
        <w:t>Дядченко</w:t>
      </w:r>
      <w:proofErr w:type="spellEnd"/>
      <w:r w:rsidRPr="00056315">
        <w:rPr>
          <w:rFonts w:ascii="Times New Roman" w:eastAsia="Times New Roman" w:hAnsi="Times New Roman" w:cs="Times New Roman"/>
          <w:sz w:val="20"/>
          <w:szCs w:val="20"/>
          <w:lang w:val="uk-UA" w:eastAsia="ru-RU"/>
        </w:rPr>
        <w:t xml:space="preserve"> Юлії, ГДРІ відділу аналітики та </w:t>
      </w:r>
      <w:r w:rsidRPr="00056315">
        <w:rPr>
          <w:rFonts w:ascii="Times New Roman" w:eastAsia="Times New Roman" w:hAnsi="Times New Roman" w:cs="Times New Roman"/>
          <w:sz w:val="20"/>
          <w:szCs w:val="20"/>
          <w:lang w:val="uk-UA" w:eastAsia="ru-RU"/>
        </w:rPr>
        <w:lastRenderedPageBreak/>
        <w:t xml:space="preserve">податкових ризиків управління податкового адміністрування ГУ ДПС Полякової Вікторії та членів Спілки українських підприємців, керівників і бухгалтерів платників податків.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Осипова </w:t>
      </w:r>
      <w:proofErr w:type="spellStart"/>
      <w:r w:rsidRPr="00056315">
        <w:rPr>
          <w:rFonts w:ascii="Times New Roman" w:eastAsia="Times New Roman" w:hAnsi="Times New Roman" w:cs="Times New Roman"/>
          <w:sz w:val="20"/>
          <w:szCs w:val="20"/>
          <w:lang w:val="uk-UA" w:eastAsia="ru-RU"/>
        </w:rPr>
        <w:t>Манушак</w:t>
      </w:r>
      <w:proofErr w:type="spellEnd"/>
      <w:r w:rsidRPr="00056315">
        <w:rPr>
          <w:rFonts w:ascii="Times New Roman" w:eastAsia="Times New Roman" w:hAnsi="Times New Roman" w:cs="Times New Roman"/>
          <w:sz w:val="20"/>
          <w:szCs w:val="20"/>
          <w:lang w:val="uk-UA" w:eastAsia="ru-RU"/>
        </w:rPr>
        <w:t xml:space="preserve"> привітала всіх і побажала корисного та конструктивного діалогу.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Про повідомлення щодо розблокування зупинених податкових накладних та деякі особливості заповнення Таблиці даних платника податку на додану вартість розповіла </w:t>
      </w:r>
      <w:proofErr w:type="spellStart"/>
      <w:r w:rsidRPr="00056315">
        <w:rPr>
          <w:rFonts w:ascii="Times New Roman" w:eastAsia="Times New Roman" w:hAnsi="Times New Roman" w:cs="Times New Roman"/>
          <w:sz w:val="20"/>
          <w:szCs w:val="20"/>
          <w:lang w:val="uk-UA" w:eastAsia="ru-RU"/>
        </w:rPr>
        <w:t>Дядченко</w:t>
      </w:r>
      <w:proofErr w:type="spellEnd"/>
      <w:r w:rsidRPr="00056315">
        <w:rPr>
          <w:rFonts w:ascii="Times New Roman" w:eastAsia="Times New Roman" w:hAnsi="Times New Roman" w:cs="Times New Roman"/>
          <w:sz w:val="20"/>
          <w:szCs w:val="20"/>
          <w:lang w:val="uk-UA" w:eastAsia="ru-RU"/>
        </w:rPr>
        <w:t xml:space="preserve"> Юлія. Увагу акцентовано на алгоритмі дій платника ПДВ у разі зупинення реєстрації податкових накладних/розрахунків коригування в Єдиному реєстрі податкових накладних.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Про окремі положення постанови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доповіла Полякова Вікторія.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ході заходу фахівці податкової служби та присутні члени Спілки українських підприємців, керівники та бухгалтери платників податків енергійно спілкувались і обговорювали питання, які турбують платників під час реєстрації податкових накладних та/або розрахунків коригування.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Учасники подякували за проведену зустріч та висловили сподівання на подальшу співпрацю.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Закон України № 466: зміни щодо повернення помилково сплачених коштів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w:t>
      </w:r>
      <w:proofErr w:type="spellStart"/>
      <w:r w:rsidRPr="00056315">
        <w:rPr>
          <w:rFonts w:ascii="Times New Roman" w:eastAsia="Times New Roman" w:hAnsi="Times New Roman" w:cs="Times New Roman"/>
          <w:sz w:val="20"/>
          <w:szCs w:val="20"/>
          <w:lang w:val="uk-UA" w:eastAsia="ru-RU"/>
        </w:rPr>
        <w:t>неузгодженостей</w:t>
      </w:r>
      <w:proofErr w:type="spellEnd"/>
      <w:r w:rsidRPr="00056315">
        <w:rPr>
          <w:rFonts w:ascii="Times New Roman" w:eastAsia="Times New Roman" w:hAnsi="Times New Roman" w:cs="Times New Roman"/>
          <w:sz w:val="20"/>
          <w:szCs w:val="20"/>
          <w:lang w:val="uk-UA" w:eastAsia="ru-RU"/>
        </w:rPr>
        <w:t xml:space="preserve"> у податковому законодавстві» (далі – Закон № 466), було </w:t>
      </w:r>
      <w:proofErr w:type="spellStart"/>
      <w:r w:rsidRPr="00056315">
        <w:rPr>
          <w:rFonts w:ascii="Times New Roman" w:eastAsia="Times New Roman" w:hAnsi="Times New Roman" w:cs="Times New Roman"/>
          <w:sz w:val="20"/>
          <w:szCs w:val="20"/>
          <w:lang w:val="uk-UA" w:eastAsia="ru-RU"/>
        </w:rPr>
        <w:t>внесено</w:t>
      </w:r>
      <w:proofErr w:type="spellEnd"/>
      <w:r w:rsidRPr="00056315">
        <w:rPr>
          <w:rFonts w:ascii="Times New Roman" w:eastAsia="Times New Roman" w:hAnsi="Times New Roman" w:cs="Times New Roman"/>
          <w:sz w:val="20"/>
          <w:szCs w:val="20"/>
          <w:lang w:val="uk-UA" w:eastAsia="ru-RU"/>
        </w:rPr>
        <w:t xml:space="preserve"> зміни, зокрема до ст. 43 Податкового кодексу України  (далі – ПКУ) у частині порядку повернення помилково та/або надміру сплачених грошових зобов’язань та пені.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Зокрема, обов’язковою умовою для здійснення повернення сум грошового зобов’язання </w:t>
      </w:r>
      <w:r w:rsidRPr="00056315">
        <w:rPr>
          <w:rFonts w:ascii="Times New Roman" w:eastAsia="Times New Roman" w:hAnsi="Times New Roman" w:cs="Times New Roman"/>
          <w:b/>
          <w:bCs/>
          <w:sz w:val="20"/>
          <w:szCs w:val="20"/>
          <w:lang w:val="uk-UA" w:eastAsia="ru-RU"/>
        </w:rPr>
        <w:t>та пені</w:t>
      </w:r>
      <w:r w:rsidRPr="00056315">
        <w:rPr>
          <w:rFonts w:ascii="Times New Roman" w:eastAsia="Times New Roman" w:hAnsi="Times New Roman" w:cs="Times New Roman"/>
          <w:sz w:val="20"/>
          <w:szCs w:val="20"/>
          <w:lang w:val="uk-UA" w:eastAsia="ru-RU"/>
        </w:rPr>
        <w:t xml:space="preserve"> є подання платником податків заяви про таке повернення </w:t>
      </w:r>
      <w:r w:rsidRPr="00056315">
        <w:rPr>
          <w:rFonts w:ascii="Times New Roman" w:eastAsia="Times New Roman" w:hAnsi="Times New Roman" w:cs="Times New Roman"/>
          <w:i/>
          <w:iCs/>
          <w:sz w:val="20"/>
          <w:szCs w:val="20"/>
          <w:lang w:val="uk-UA" w:eastAsia="ru-RU"/>
        </w:rPr>
        <w:t>(крім повернення надміру утриманих (сплачених) сум податку з доходів фізичних осіб, які розраховуються контролюючим органом на підставі поданої платником податків податкової декларації за звітний календарний рік шляхом проведення перерахунку за загальним річним оподатковуваним доходом платника податку)</w:t>
      </w:r>
      <w:r w:rsidRPr="00056315">
        <w:rPr>
          <w:rFonts w:ascii="Times New Roman" w:eastAsia="Times New Roman" w:hAnsi="Times New Roman" w:cs="Times New Roman"/>
          <w:sz w:val="20"/>
          <w:szCs w:val="20"/>
          <w:lang w:val="uk-UA" w:eastAsia="ru-RU"/>
        </w:rPr>
        <w:t xml:space="preserve"> протягом 1 095 днів від дня виникнення помилково та/або надміру сплаченої суми </w:t>
      </w:r>
      <w:r w:rsidRPr="00056315">
        <w:rPr>
          <w:rFonts w:ascii="Times New Roman" w:eastAsia="Times New Roman" w:hAnsi="Times New Roman" w:cs="Times New Roman"/>
          <w:b/>
          <w:bCs/>
          <w:sz w:val="20"/>
          <w:szCs w:val="20"/>
          <w:lang w:val="uk-UA" w:eastAsia="ru-RU"/>
        </w:rPr>
        <w:t>та/або пені</w:t>
      </w:r>
      <w:r w:rsidRPr="00056315">
        <w:rPr>
          <w:rFonts w:ascii="Times New Roman" w:eastAsia="Times New Roman" w:hAnsi="Times New Roman" w:cs="Times New Roman"/>
          <w:sz w:val="20"/>
          <w:szCs w:val="20"/>
          <w:lang w:val="uk-UA" w:eastAsia="ru-RU"/>
        </w:rPr>
        <w:t xml:space="preserve"> (п. 43.3 ст. 43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Згідно з п. 43.4 ст. 43 ПКУ платник податків подає заяву про повернення помилково та/або надміру сплачених грошових зобов’язань та пені (далі – Заява) у довільній формі, в якій зазначає напрям перерахування коштів: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на поточний рахунок платника податків в установі банку;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повернення у готівковій формі коштів за </w:t>
      </w:r>
      <w:proofErr w:type="spellStart"/>
      <w:r w:rsidRPr="00056315">
        <w:rPr>
          <w:rFonts w:ascii="Times New Roman" w:eastAsia="Times New Roman" w:hAnsi="Times New Roman" w:cs="Times New Roman"/>
          <w:sz w:val="20"/>
          <w:szCs w:val="20"/>
          <w:lang w:val="uk-UA" w:eastAsia="ru-RU"/>
        </w:rPr>
        <w:t>чеком</w:t>
      </w:r>
      <w:proofErr w:type="spellEnd"/>
      <w:r w:rsidRPr="00056315">
        <w:rPr>
          <w:rFonts w:ascii="Times New Roman" w:eastAsia="Times New Roman" w:hAnsi="Times New Roman" w:cs="Times New Roman"/>
          <w:sz w:val="20"/>
          <w:szCs w:val="20"/>
          <w:lang w:val="uk-UA" w:eastAsia="ru-RU"/>
        </w:rPr>
        <w:t xml:space="preserve"> у разі відсутності у платника податків рахунка в банку.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У разі повернення надміру сплачених податкових зобов’язань з ПДВ, зарахованих до бюджету з рахунка платника ПДВ у Системі електронного адміністрування ПДВ (далі – СЕА ПДВ) у порядку, визначеному п. 200</w:t>
      </w:r>
      <w:r w:rsidRPr="00056315">
        <w:rPr>
          <w:rFonts w:ascii="Times New Roman" w:eastAsia="Times New Roman" w:hAnsi="Times New Roman" w:cs="Times New Roman"/>
          <w:sz w:val="20"/>
          <w:szCs w:val="20"/>
          <w:vertAlign w:val="superscript"/>
          <w:lang w:val="uk-UA" w:eastAsia="ru-RU"/>
        </w:rPr>
        <w:t>1</w:t>
      </w:r>
      <w:r w:rsidRPr="00056315">
        <w:rPr>
          <w:rFonts w:ascii="Times New Roman" w:eastAsia="Times New Roman" w:hAnsi="Times New Roman" w:cs="Times New Roman"/>
          <w:sz w:val="20"/>
          <w:szCs w:val="20"/>
          <w:lang w:val="uk-UA" w:eastAsia="ru-RU"/>
        </w:rPr>
        <w:t>.5 ст. 200</w:t>
      </w:r>
      <w:r w:rsidRPr="00056315">
        <w:rPr>
          <w:rFonts w:ascii="Times New Roman" w:eastAsia="Times New Roman" w:hAnsi="Times New Roman" w:cs="Times New Roman"/>
          <w:sz w:val="20"/>
          <w:szCs w:val="20"/>
          <w:vertAlign w:val="superscript"/>
          <w:lang w:val="uk-UA" w:eastAsia="ru-RU"/>
        </w:rPr>
        <w:t>1</w:t>
      </w:r>
      <w:r w:rsidRPr="00056315">
        <w:rPr>
          <w:rFonts w:ascii="Times New Roman" w:eastAsia="Times New Roman" w:hAnsi="Times New Roman" w:cs="Times New Roman"/>
          <w:sz w:val="20"/>
          <w:szCs w:val="20"/>
          <w:lang w:val="uk-UA" w:eastAsia="ru-RU"/>
        </w:rPr>
        <w:t xml:space="preserve"> ПКУ, такі кошти підлягають поверненню виключно на рахунок платника у СЕА ПДВ, а у разі його відсутності на момент звернення платника податків із заявою на повернення надміру сплачених податкових зобов’язань з ПДВ чи на момент фактичного повернення коштів – шляхом перерахування на поточний рахунок платника податків в установі банку (п. 43.4</w:t>
      </w:r>
      <w:r w:rsidRPr="00056315">
        <w:rPr>
          <w:rFonts w:ascii="Times New Roman" w:eastAsia="Times New Roman" w:hAnsi="Times New Roman" w:cs="Times New Roman"/>
          <w:sz w:val="20"/>
          <w:szCs w:val="20"/>
          <w:vertAlign w:val="superscript"/>
          <w:lang w:val="uk-UA" w:eastAsia="ru-RU"/>
        </w:rPr>
        <w:t>1</w:t>
      </w:r>
      <w:r w:rsidRPr="00056315">
        <w:rPr>
          <w:rFonts w:ascii="Times New Roman" w:eastAsia="Times New Roman" w:hAnsi="Times New Roman" w:cs="Times New Roman"/>
          <w:sz w:val="20"/>
          <w:szCs w:val="20"/>
          <w:lang w:val="uk-UA" w:eastAsia="ru-RU"/>
        </w:rPr>
        <w:t xml:space="preserve"> ст. 43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Також, Законом № 466 п. 43.4</w:t>
      </w:r>
      <w:r w:rsidRPr="00056315">
        <w:rPr>
          <w:rFonts w:ascii="Times New Roman" w:eastAsia="Times New Roman" w:hAnsi="Times New Roman" w:cs="Times New Roman"/>
          <w:sz w:val="20"/>
          <w:szCs w:val="20"/>
          <w:vertAlign w:val="superscript"/>
          <w:lang w:val="uk-UA" w:eastAsia="ru-RU"/>
        </w:rPr>
        <w:t>1</w:t>
      </w:r>
      <w:r w:rsidRPr="00056315">
        <w:rPr>
          <w:rFonts w:ascii="Times New Roman" w:eastAsia="Times New Roman" w:hAnsi="Times New Roman" w:cs="Times New Roman"/>
          <w:sz w:val="20"/>
          <w:szCs w:val="20"/>
          <w:lang w:val="uk-UA" w:eastAsia="ru-RU"/>
        </w:rPr>
        <w:t xml:space="preserve"> ст. 43 ПКУ доповнено новим абзацом, відповідно до якого повернення у випадках, визначених законодавством, сум ПДВ, контроль за справлянням яких покладено на контролюючий орган, визначений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41.1.2 п. 41.1 ст. 41 ПКУ, при ввезенні товарів на митну територію України здійснюється в частині, що не перевищує суму, обчислену відповідно до п. 200</w:t>
      </w:r>
      <w:r w:rsidRPr="00056315">
        <w:rPr>
          <w:rFonts w:ascii="Times New Roman" w:eastAsia="Times New Roman" w:hAnsi="Times New Roman" w:cs="Times New Roman"/>
          <w:sz w:val="20"/>
          <w:szCs w:val="20"/>
          <w:vertAlign w:val="superscript"/>
          <w:lang w:val="uk-UA" w:eastAsia="ru-RU"/>
        </w:rPr>
        <w:t>1</w:t>
      </w:r>
      <w:r w:rsidRPr="00056315">
        <w:rPr>
          <w:rFonts w:ascii="Times New Roman" w:eastAsia="Times New Roman" w:hAnsi="Times New Roman" w:cs="Times New Roman"/>
          <w:sz w:val="20"/>
          <w:szCs w:val="20"/>
          <w:lang w:val="uk-UA" w:eastAsia="ru-RU"/>
        </w:rPr>
        <w:t>.3 ст. 200</w:t>
      </w:r>
      <w:r w:rsidRPr="00056315">
        <w:rPr>
          <w:rFonts w:ascii="Times New Roman" w:eastAsia="Times New Roman" w:hAnsi="Times New Roman" w:cs="Times New Roman"/>
          <w:sz w:val="20"/>
          <w:szCs w:val="20"/>
          <w:vertAlign w:val="superscript"/>
          <w:lang w:val="uk-UA" w:eastAsia="ru-RU"/>
        </w:rPr>
        <w:t>1</w:t>
      </w:r>
      <w:r w:rsidRPr="00056315">
        <w:rPr>
          <w:rFonts w:ascii="Times New Roman" w:eastAsia="Times New Roman" w:hAnsi="Times New Roman" w:cs="Times New Roman"/>
          <w:sz w:val="20"/>
          <w:szCs w:val="20"/>
          <w:lang w:val="uk-UA" w:eastAsia="ru-RU"/>
        </w:rPr>
        <w:t xml:space="preserve"> ПКУ на момент оформлення митної декларації/аркуша коригування, на підставі яких здійснюватиметься таке повернення. </w:t>
      </w:r>
    </w:p>
    <w:p w:rsidR="00DE0269" w:rsidRPr="00056315" w:rsidRDefault="00DE0269" w:rsidP="00A52D8C">
      <w:pPr>
        <w:rPr>
          <w:rFonts w:ascii="Times New Roman" w:eastAsia="Times New Roman" w:hAnsi="Times New Roman" w:cs="Times New Roman"/>
          <w:sz w:val="20"/>
          <w:szCs w:val="20"/>
          <w:lang w:val="uk-UA" w:eastAsia="ru-RU"/>
        </w:rPr>
      </w:pPr>
    </w:p>
    <w:p w:rsidR="00C10540" w:rsidRPr="00056315" w:rsidRDefault="00C10540"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До уваги платників ПДВ!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Нагадуємо, що Порядок зупинення реєстрації податкової накладної/ розрахунку коригування в Єдиному реєстрі податкових накладних затверджено постановою Кабінету Міністрів України від 11 грудня 2019 року № 1165 «Про затвердження порядків з питань зупинення реєстрації податкової накладної/ розрахунку коригування в Єдиному реєстрі податкових накладних».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Відповідно до п. 12 Порядку зупинення платник ПДВ має право подати до ДПС Таблицю даних платника податку на додану вартість  за встановленою формою (додаток 5).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У Таблиці зазначаються: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види економічної діяльності відповідно до КВЕД;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коди товарів згідно з УКТЗЕД, що постачаються та/або придбаваються (отримуються) платником ПДВ, ввозяться на митну територію України;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коди послуг згідно з Державним класифікатором продукції та послуг, що постачаються та/або придбаваються (отримуються) платником ПДВ, ввозяться на митну територію України (п. 13 Порядку зупинення).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Таблиця подається з поясненням, в якому зазначається вид діяльності, з посиланням на податкову та іншу звітність платника ПДВ (п. 14 Порядку зупинення).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Згідно з пунктами 15 та 16 Порядку зупинення Таблиця з поясненнями розглядається комісією регіонального рівня, яка приймає рішення про врахування або неврахування Таблиці.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Відповідно до п. 4 Порядку зупинення у разі коли за результатами перевірки податкової накладної/розрахунку коригування (далі – ПН/РК) визначено, що ПН/РК відповідають одній з ознак безумовної реєстрації, визначених у пункті 3 цього Порядку, зокрема, якщо у ПН/РК відображена операція з товаром за кодом згідно з УКТ ЗЕД та/або послугою за кодом згідно з ДК ПП, які зазначені у Таблиці, врахованій контролюючим органом, реєстрація таких ПН/РК не зупиняється в Єдиному реєстрі податкових накладних (далі – ЄРПН).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Отже, Таблиця – це інформація про специфіку діяльності платника ПДВ, подання якої є правом платника ПДВ незалежно від факту зупинення реєстрації податкової ПН/РК в ЄРПН.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Подавати Таблицю з кожною квитанцією про зупинення реєстрації в ЄРПН ПН/РК, платнику податків не потрібно. </w:t>
      </w:r>
    </w:p>
    <w:p w:rsidR="00DE0269" w:rsidRPr="00056315" w:rsidRDefault="00DE0269" w:rsidP="00A52D8C">
      <w:pPr>
        <w:rPr>
          <w:rFonts w:ascii="Times New Roman" w:eastAsia="Times New Roman" w:hAnsi="Times New Roman" w:cs="Times New Roman"/>
          <w:sz w:val="20"/>
          <w:szCs w:val="20"/>
          <w:lang w:val="uk-UA" w:eastAsia="ru-RU"/>
        </w:rPr>
      </w:pPr>
    </w:p>
    <w:p w:rsidR="00C10540" w:rsidRPr="00056315" w:rsidRDefault="00C10540" w:rsidP="00A52D8C">
      <w:pPr>
        <w:pStyle w:val="1"/>
        <w:spacing w:before="0" w:beforeAutospacing="0" w:after="0" w:afterAutospacing="0"/>
        <w:rPr>
          <w:sz w:val="20"/>
          <w:szCs w:val="20"/>
          <w:lang w:val="uk-UA"/>
        </w:rPr>
      </w:pPr>
      <w:r w:rsidRPr="00056315">
        <w:rPr>
          <w:sz w:val="20"/>
          <w:szCs w:val="20"/>
          <w:lang w:val="uk-UA"/>
        </w:rPr>
        <w:t xml:space="preserve">З початку року податкова служба надала 3,2 млн адміністративних послуг </w:t>
      </w:r>
    </w:p>
    <w:p w:rsidR="00C10540" w:rsidRPr="00056315" w:rsidRDefault="00C10540" w:rsidP="00A52D8C">
      <w:pPr>
        <w:pStyle w:val="a3"/>
        <w:spacing w:before="0" w:beforeAutospacing="0" w:after="0" w:afterAutospacing="0"/>
        <w:jc w:val="both"/>
        <w:rPr>
          <w:sz w:val="20"/>
          <w:szCs w:val="20"/>
          <w:lang w:val="uk-UA"/>
        </w:rPr>
      </w:pPr>
      <w:r w:rsidRPr="00056315">
        <w:rPr>
          <w:sz w:val="20"/>
          <w:szCs w:val="20"/>
          <w:lang w:val="uk-UA"/>
        </w:rPr>
        <w:t xml:space="preserve">ДПС України на головній сторінці офіційного </w:t>
      </w:r>
      <w:proofErr w:type="spellStart"/>
      <w:r w:rsidRPr="00056315">
        <w:rPr>
          <w:sz w:val="20"/>
          <w:szCs w:val="20"/>
          <w:lang w:val="uk-UA"/>
        </w:rPr>
        <w:t>вебпорталу</w:t>
      </w:r>
      <w:proofErr w:type="spellEnd"/>
      <w:r w:rsidRPr="00056315">
        <w:rPr>
          <w:sz w:val="20"/>
          <w:szCs w:val="20"/>
          <w:lang w:val="uk-UA"/>
        </w:rPr>
        <w:t xml:space="preserve"> повідомила наступне. </w:t>
      </w:r>
    </w:p>
    <w:p w:rsidR="00C10540" w:rsidRPr="00056315" w:rsidRDefault="00C10540" w:rsidP="00A52D8C">
      <w:pPr>
        <w:pStyle w:val="a3"/>
        <w:spacing w:before="0" w:beforeAutospacing="0" w:after="0" w:afterAutospacing="0"/>
        <w:jc w:val="both"/>
        <w:rPr>
          <w:sz w:val="20"/>
          <w:szCs w:val="20"/>
          <w:lang w:val="uk-UA"/>
        </w:rPr>
      </w:pPr>
      <w:r w:rsidRPr="00056315">
        <w:rPr>
          <w:sz w:val="20"/>
          <w:szCs w:val="20"/>
          <w:lang w:val="uk-UA"/>
        </w:rPr>
        <w:t xml:space="preserve">У січні – серпні 2020 року Державна податкова служба надала 3,2 млн адміністративних послуг платникам податків. </w:t>
      </w:r>
    </w:p>
    <w:p w:rsidR="00C10540" w:rsidRPr="00056315" w:rsidRDefault="00C10540" w:rsidP="00A52D8C">
      <w:pPr>
        <w:pStyle w:val="a3"/>
        <w:spacing w:before="0" w:beforeAutospacing="0" w:after="0" w:afterAutospacing="0"/>
        <w:jc w:val="both"/>
        <w:rPr>
          <w:sz w:val="20"/>
          <w:szCs w:val="20"/>
          <w:lang w:val="uk-UA"/>
        </w:rPr>
      </w:pPr>
      <w:r w:rsidRPr="00056315">
        <w:rPr>
          <w:sz w:val="20"/>
          <w:szCs w:val="20"/>
          <w:lang w:val="uk-UA"/>
        </w:rPr>
        <w:t xml:space="preserve">Найбільш запитуваними серед 96 адміністративних послуг, які надає податкова, стали, зокрема, видача картки платника податків, внесення до паспорта громадянина України (у формі книжечки) даних про реєстраційний номер облікової картки платника податків з Державного реєстру фізичних осіб – платників податків. Протягом січня – серпня було надано понад 801,7 тис. таких послуг. </w:t>
      </w:r>
    </w:p>
    <w:p w:rsidR="00C10540" w:rsidRPr="00056315" w:rsidRDefault="00C10540" w:rsidP="00A52D8C">
      <w:pPr>
        <w:pStyle w:val="a3"/>
        <w:spacing w:before="0" w:beforeAutospacing="0" w:after="0" w:afterAutospacing="0"/>
        <w:jc w:val="both"/>
        <w:rPr>
          <w:sz w:val="20"/>
          <w:szCs w:val="20"/>
          <w:lang w:val="uk-UA"/>
        </w:rPr>
      </w:pPr>
      <w:r w:rsidRPr="00056315">
        <w:rPr>
          <w:sz w:val="20"/>
          <w:szCs w:val="20"/>
          <w:lang w:val="uk-UA"/>
        </w:rPr>
        <w:t xml:space="preserve">Понад 1 млн платників отримали відомості з Державного реєстру фізичних   осіб – платників податків про суми/джерела виплачених доходів та утриманих податків. </w:t>
      </w:r>
    </w:p>
    <w:p w:rsidR="00C10540" w:rsidRPr="00056315" w:rsidRDefault="00C10540" w:rsidP="00A52D8C">
      <w:pPr>
        <w:pStyle w:val="a3"/>
        <w:spacing w:before="0" w:beforeAutospacing="0" w:after="0" w:afterAutospacing="0"/>
        <w:jc w:val="both"/>
        <w:rPr>
          <w:sz w:val="20"/>
          <w:szCs w:val="20"/>
          <w:lang w:val="uk-UA"/>
        </w:rPr>
      </w:pPr>
      <w:r w:rsidRPr="00056315">
        <w:rPr>
          <w:sz w:val="20"/>
          <w:szCs w:val="20"/>
          <w:lang w:val="uk-UA"/>
        </w:rPr>
        <w:t>Державна податкова служба України взаємодіє з Міністерством цифрової трансформації України щодо наповнення Реєстру адміністративних послуг (</w:t>
      </w:r>
      <w:hyperlink r:id="rId17" w:tgtFrame="_blank" w:history="1">
        <w:r w:rsidRPr="00056315">
          <w:rPr>
            <w:rStyle w:val="a6"/>
            <w:sz w:val="20"/>
            <w:szCs w:val="20"/>
            <w:lang w:val="uk-UA"/>
          </w:rPr>
          <w:t>registry.diia.gov.ua</w:t>
        </w:r>
      </w:hyperlink>
      <w:r w:rsidRPr="00056315">
        <w:rPr>
          <w:sz w:val="20"/>
          <w:szCs w:val="20"/>
          <w:lang w:val="uk-UA"/>
        </w:rPr>
        <w:t xml:space="preserve">), який також інтегровано на Портал Дія («Гід з державних послуг») за посиланням: </w:t>
      </w:r>
      <w:hyperlink r:id="rId18" w:tgtFrame="_blank" w:history="1">
        <w:r w:rsidRPr="00056315">
          <w:rPr>
            <w:rStyle w:val="a6"/>
            <w:sz w:val="20"/>
            <w:szCs w:val="20"/>
            <w:lang w:val="uk-UA"/>
          </w:rPr>
          <w:t>https://guide.diia.gov.ua/</w:t>
        </w:r>
      </w:hyperlink>
      <w:r w:rsidRPr="00056315">
        <w:rPr>
          <w:sz w:val="20"/>
          <w:szCs w:val="20"/>
          <w:lang w:val="uk-UA"/>
        </w:rPr>
        <w:t xml:space="preserve">, інформацією про всі послуги, які надає ДПС та її територіальні органи. </w:t>
      </w:r>
    </w:p>
    <w:p w:rsidR="00C10540" w:rsidRPr="00056315" w:rsidRDefault="00C10540" w:rsidP="00A52D8C">
      <w:pPr>
        <w:pStyle w:val="a3"/>
        <w:spacing w:before="0" w:beforeAutospacing="0" w:after="0" w:afterAutospacing="0"/>
        <w:jc w:val="both"/>
        <w:rPr>
          <w:sz w:val="20"/>
          <w:szCs w:val="20"/>
          <w:lang w:val="uk-UA"/>
        </w:rPr>
      </w:pPr>
      <w:r w:rsidRPr="00056315">
        <w:rPr>
          <w:sz w:val="20"/>
          <w:szCs w:val="20"/>
          <w:lang w:val="uk-UA"/>
        </w:rPr>
        <w:t>Для забезпечення можливості подання заяв в електронній формі, у тому числі через сервіс «Листування», на Порталі Дія в електронній формі у Реєстрі адміністративних послуг розміщено гіперпосилання на ІТС «Електронний кабінет» (</w:t>
      </w:r>
      <w:hyperlink r:id="rId19" w:tgtFrame="_blank" w:history="1">
        <w:r w:rsidRPr="00056315">
          <w:rPr>
            <w:rStyle w:val="a6"/>
            <w:sz w:val="20"/>
            <w:szCs w:val="20"/>
            <w:lang w:val="uk-UA"/>
          </w:rPr>
          <w:t>http://cabinet.tax.gov.ua</w:t>
        </w:r>
      </w:hyperlink>
      <w:r w:rsidRPr="00056315">
        <w:rPr>
          <w:sz w:val="20"/>
          <w:szCs w:val="20"/>
          <w:lang w:val="uk-UA"/>
        </w:rPr>
        <w:t xml:space="preserve">). </w:t>
      </w:r>
    </w:p>
    <w:p w:rsidR="00DE0269" w:rsidRPr="00056315" w:rsidRDefault="00DE0269" w:rsidP="00A52D8C">
      <w:pPr>
        <w:pStyle w:val="a3"/>
        <w:spacing w:before="0" w:beforeAutospacing="0" w:after="0" w:afterAutospacing="0"/>
        <w:jc w:val="both"/>
        <w:rPr>
          <w:sz w:val="20"/>
          <w:szCs w:val="20"/>
          <w:lang w:val="uk-UA"/>
        </w:rPr>
      </w:pPr>
    </w:p>
    <w:p w:rsidR="00C10540" w:rsidRPr="00056315" w:rsidRDefault="00C10540"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Чи є об`єктом оподаткування ПДВ операція із внесення фізичною особою рухомого/нерухомого майна до статутного фонду юридичної особи в обмін на корпоративні права?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Повідомляємо, що об’єктом оподаткування ПДВ є операції платників ПДВ з постачання товарів, місце постачання яких розташоване на митній території України, відповідно до   ст. 186 Податкового кодексу України.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Норми встановлені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«а» п. 185.1 ст. 185 ПКУ.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Постачання товарів – це будь-яка передача права на розпоряджання товарами як власник, у тому числі, зокрема, обмін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14.1.191 п. 14.1 ст. 14 ПКУ).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Отже, якщо фізична особа здійснює підприємницьку діяльність та є зареєстрованою платником ПДВ, то операція із внесення такою особою рухомого/нерухомого майна до статутного фонду юридичної особи в обмін на корпоративні права є об’єктом оподаткування ПДВ. </w:t>
      </w:r>
    </w:p>
    <w:p w:rsidR="00DE0269" w:rsidRPr="00056315" w:rsidRDefault="00DE0269" w:rsidP="00A52D8C">
      <w:pPr>
        <w:rPr>
          <w:rFonts w:ascii="Times New Roman" w:hAnsi="Times New Roman" w:cs="Times New Roman"/>
          <w:sz w:val="20"/>
          <w:szCs w:val="20"/>
          <w:lang w:val="uk-UA"/>
        </w:rPr>
      </w:pPr>
    </w:p>
    <w:p w:rsidR="00C10540" w:rsidRPr="00056315" w:rsidRDefault="00C10540"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Про порядок формування податкового кредиту туроператором (</w:t>
      </w:r>
      <w:proofErr w:type="spellStart"/>
      <w:r w:rsidRPr="00056315">
        <w:rPr>
          <w:rFonts w:ascii="Times New Roman" w:eastAsia="Times New Roman" w:hAnsi="Times New Roman" w:cs="Times New Roman"/>
          <w:b/>
          <w:bCs/>
          <w:kern w:val="36"/>
          <w:sz w:val="20"/>
          <w:szCs w:val="20"/>
          <w:lang w:val="uk-UA" w:eastAsia="ru-RU"/>
        </w:rPr>
        <w:t>турагентом</w:t>
      </w:r>
      <w:proofErr w:type="spellEnd"/>
      <w:r w:rsidRPr="00056315">
        <w:rPr>
          <w:rFonts w:ascii="Times New Roman" w:eastAsia="Times New Roman" w:hAnsi="Times New Roman" w:cs="Times New Roman"/>
          <w:b/>
          <w:bCs/>
          <w:kern w:val="36"/>
          <w:sz w:val="20"/>
          <w:szCs w:val="20"/>
          <w:lang w:val="uk-UA" w:eastAsia="ru-RU"/>
        </w:rPr>
        <w:t xml:space="preserve">)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Нормами п. 207.6 ст. 207 Податкового кодексу України встановлено, що суми ПДВ, сплачені (нараховані) при придбанні товарів/послуг, які включаються у вартість туристичного продукту (туристичної послуги), не відносяться до податкового кредиту та не включаються до бази оподаткування туристичного оператора.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Згідно з п. 198.3 ст. 198 ПКУ податковий кредит звітного періоду складається із сум податків, нарахованих (сплачених) платником ПДВ протягом такого звітного періоду у зв’язку з: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придбанням або виготовленням товарів та наданням послуг;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придбанням (будівництвом, спорудженням) основних фондів (основних засобів, у тому числі інших необоротних матеріальних активів та незавершених капітальних інвестицій у необоротні капітальні активи);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 ввезенням товарів та/або необоротних активів на митну територію України.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При цьому нарахування податкового кредиту здійснюється незалежно від того, чи такі товари/послуги та основні фонди почали використовуватися в оподатковуваних операціях у межах провадження господарської діяльності платника податку протягом звітного податкового періоду, а також від того, чи здійснював платник податку оподатковувані операції протягом такого звітного податкового періоду.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Разом з тим, відповідно до п. 198.5 ст. 198 ПКУ платник ПДВ зобов’язаний нарахувати податкові зобов’язання виходячи з бази оподаткування, визначеної відповідно до п. 189.1 ст. 189 ПКУ, та скласти не пізніше останнього дня звітного (податкового) періоду і зареєструвати в Єдиному реєстрі податкових накладних в терміни, встановлені ПКУ для такої реєстрації, зведену податкову накладну за товарами/послугами, необоротними активами, у разі якщо такі товари/послуги, необоротні активи призначаються для їх використання в неоподаткованих операціях.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Таким чином, загальне правило формування податкового кредиту передбачає включення до складу податкового кредиту усіх сум ПДВ, сплачених (нарахованих) при придбанні товарів/послуг, незалежно від того, для використання в яких операціях придбані такі товари/послуги, та подальше нарахування податкових зобов’язань відповідно до п. 198.5 ст. 198 ПКУ у разі придбання товарів/послуг для використання в операціях, які не підлягають оподаткуванню (звільнені від оподаткування, не є об’єктом оподаткування).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Такий порядок формування податкового кредиту запроваджено з метою правильного обрахунку суми ПДВ, на яку платник ПДВ має право зареєструвати податкові накладні в ЄРПН (далі – реєстраційна сума), оскільки система електронного адміністрування ПДВ не передбачає автоматичного виключення із реєстраційної суми окремих сум ПДВ. </w:t>
      </w:r>
    </w:p>
    <w:p w:rsidR="00C10540" w:rsidRPr="00056315" w:rsidRDefault="00C10540"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Враховуючи вищевикладене, при здійсненні платником ПДВ </w:t>
      </w:r>
      <w:proofErr w:type="spellStart"/>
      <w:r w:rsidRPr="00056315">
        <w:rPr>
          <w:rFonts w:ascii="Times New Roman" w:eastAsia="Times New Roman" w:hAnsi="Times New Roman" w:cs="Times New Roman"/>
          <w:sz w:val="20"/>
          <w:szCs w:val="20"/>
          <w:lang w:val="uk-UA" w:eastAsia="ru-RU"/>
        </w:rPr>
        <w:t>туроператорської</w:t>
      </w:r>
      <w:proofErr w:type="spellEnd"/>
      <w:r w:rsidRPr="00056315">
        <w:rPr>
          <w:rFonts w:ascii="Times New Roman" w:eastAsia="Times New Roman" w:hAnsi="Times New Roman" w:cs="Times New Roman"/>
          <w:sz w:val="20"/>
          <w:szCs w:val="20"/>
          <w:lang w:val="uk-UA" w:eastAsia="ru-RU"/>
        </w:rPr>
        <w:t xml:space="preserve"> та </w:t>
      </w:r>
      <w:proofErr w:type="spellStart"/>
      <w:r w:rsidRPr="00056315">
        <w:rPr>
          <w:rFonts w:ascii="Times New Roman" w:eastAsia="Times New Roman" w:hAnsi="Times New Roman" w:cs="Times New Roman"/>
          <w:sz w:val="20"/>
          <w:szCs w:val="20"/>
          <w:lang w:val="uk-UA" w:eastAsia="ru-RU"/>
        </w:rPr>
        <w:t>турагентської</w:t>
      </w:r>
      <w:proofErr w:type="spellEnd"/>
      <w:r w:rsidRPr="00056315">
        <w:rPr>
          <w:rFonts w:ascii="Times New Roman" w:eastAsia="Times New Roman" w:hAnsi="Times New Roman" w:cs="Times New Roman"/>
          <w:sz w:val="20"/>
          <w:szCs w:val="20"/>
          <w:lang w:val="uk-UA" w:eastAsia="ru-RU"/>
        </w:rPr>
        <w:t xml:space="preserve"> діяльності формування податкового кредиту здійснюється у загальновстановленому порядку, визначеному ст. 198 ПКУ, який передбачає включення усіх сум ПДВ, сплачених (нарахованих) при придбанні товарів/послуг, які використовуються для надання туристичних послуг (туристичного продукту), до складу податкового кредиту та подальше нарахування податкових зобов’язань відповідно до п. 198.5 ст. 198 ПКУ. </w:t>
      </w:r>
    </w:p>
    <w:p w:rsidR="00DE0269" w:rsidRPr="00056315" w:rsidRDefault="00DE0269" w:rsidP="00A52D8C">
      <w:pPr>
        <w:rPr>
          <w:rFonts w:ascii="Times New Roman" w:eastAsia="Times New Roman" w:hAnsi="Times New Roman" w:cs="Times New Roman"/>
          <w:sz w:val="20"/>
          <w:szCs w:val="20"/>
          <w:lang w:val="uk-UA" w:eastAsia="ru-RU"/>
        </w:rPr>
      </w:pPr>
    </w:p>
    <w:p w:rsidR="00A2689F" w:rsidRPr="00056315" w:rsidRDefault="00A2689F" w:rsidP="00A52D8C">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Чи є об`єктом оподаткування ПДВ операція із внесення фізичною особою рухомого/нерухомого майна до статутного фонду юридичної особи в обмін на корпоративні права? </w:t>
      </w:r>
    </w:p>
    <w:p w:rsidR="00A2689F" w:rsidRPr="00056315" w:rsidRDefault="00DE0269"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П</w:t>
      </w:r>
      <w:r w:rsidR="00A2689F" w:rsidRPr="00056315">
        <w:rPr>
          <w:rFonts w:ascii="Times New Roman" w:eastAsia="Times New Roman" w:hAnsi="Times New Roman" w:cs="Times New Roman"/>
          <w:sz w:val="20"/>
          <w:szCs w:val="20"/>
          <w:lang w:val="uk-UA" w:eastAsia="ru-RU"/>
        </w:rPr>
        <w:t>овідомляє</w:t>
      </w:r>
      <w:r w:rsidRPr="00056315">
        <w:rPr>
          <w:rFonts w:ascii="Times New Roman" w:eastAsia="Times New Roman" w:hAnsi="Times New Roman" w:cs="Times New Roman"/>
          <w:sz w:val="20"/>
          <w:szCs w:val="20"/>
          <w:lang w:val="uk-UA" w:eastAsia="ru-RU"/>
        </w:rPr>
        <w:t>мо</w:t>
      </w:r>
      <w:r w:rsidR="00A2689F" w:rsidRPr="00056315">
        <w:rPr>
          <w:rFonts w:ascii="Times New Roman" w:eastAsia="Times New Roman" w:hAnsi="Times New Roman" w:cs="Times New Roman"/>
          <w:sz w:val="20"/>
          <w:szCs w:val="20"/>
          <w:lang w:val="uk-UA" w:eastAsia="ru-RU"/>
        </w:rPr>
        <w:t xml:space="preserve">, що об’єктом оподаткування ПДВ є операції платників ПДВ з постачання товарів, місце постачання яких розташоване на митній території України, відповідно до   ст. 186 Податкового кодексу України (далі –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Норми встановлені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«а» п. 185.1 ст. 185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Постачання товарів – це будь-яка передача права на розпоряджання товарами як власник, у тому числі, зокрема, обмін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14.1.191 п. 14.1 ст. 14 ПКУ). </w:t>
      </w:r>
    </w:p>
    <w:p w:rsidR="00A2689F" w:rsidRPr="00056315" w:rsidRDefault="00A2689F" w:rsidP="00A52D8C">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lastRenderedPageBreak/>
        <w:t xml:space="preserve">Отже, якщо фізична особа здійснює підприємницьку діяльність та є зареєстрованою платником ПДВ, то операція із внесення такою особою рухомого/нерухомого майна до статутного фонду юридичної особи в обмін на корпоративні права є об’єктом оподаткування ПДВ. </w:t>
      </w:r>
    </w:p>
    <w:p w:rsidR="007C291B" w:rsidRDefault="007C291B" w:rsidP="00A52D8C">
      <w:pPr>
        <w:rPr>
          <w:rFonts w:ascii="Times New Roman" w:hAnsi="Times New Roman" w:cs="Times New Roman"/>
          <w:sz w:val="20"/>
          <w:szCs w:val="20"/>
          <w:lang w:val="uk-UA"/>
        </w:rPr>
      </w:pPr>
    </w:p>
    <w:p w:rsidR="00BD5098" w:rsidRPr="00056315" w:rsidRDefault="00BD5098" w:rsidP="00BD5098">
      <w:pPr>
        <w:jc w:val="left"/>
        <w:outlineLvl w:val="0"/>
        <w:rPr>
          <w:rFonts w:ascii="Times New Roman" w:eastAsia="Times New Roman" w:hAnsi="Times New Roman" w:cs="Times New Roman"/>
          <w:b/>
          <w:bCs/>
          <w:kern w:val="36"/>
          <w:sz w:val="20"/>
          <w:szCs w:val="20"/>
          <w:lang w:val="uk-UA" w:eastAsia="ru-RU"/>
        </w:rPr>
      </w:pPr>
      <w:r w:rsidRPr="00056315">
        <w:rPr>
          <w:rFonts w:ascii="Times New Roman" w:eastAsia="Times New Roman" w:hAnsi="Times New Roman" w:cs="Times New Roman"/>
          <w:b/>
          <w:bCs/>
          <w:kern w:val="36"/>
          <w:sz w:val="20"/>
          <w:szCs w:val="20"/>
          <w:lang w:val="uk-UA" w:eastAsia="ru-RU"/>
        </w:rPr>
        <w:t xml:space="preserve">Фізичним особам надана матеріальна допомога за рахунок міського бюджету: що з ПДФО?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Нагадуємо, що до загального місячного (річного) оподатковуваного доходу платника податку на доходи фізичних осіб (далі – ПДФО) не включаються такі доходи, як сума державної та соціальної матеріальної допомоги, державної допомоги, компенсацій (включаючи грошові компенсації особам з інвалідністю, на дітей з інвалідністю при реалізації індивідуальних програм реабілітації осіб з інвалідністю, суми допомоги по вагітності та пологах), винагород і страхових виплат, які отримує платник ПДФО з бюджетів та фондів загальнообов’язкового державного соціального страхування та у формі фінансової допомоги особам з інвалідністю з Фонду соціального захисту інвалідів згідно із законом.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Норми визначені </w:t>
      </w:r>
      <w:proofErr w:type="spellStart"/>
      <w:r w:rsidRPr="00056315">
        <w:rPr>
          <w:rFonts w:ascii="Times New Roman" w:eastAsia="Times New Roman" w:hAnsi="Times New Roman" w:cs="Times New Roman"/>
          <w:sz w:val="20"/>
          <w:szCs w:val="20"/>
          <w:lang w:val="uk-UA" w:eastAsia="ru-RU"/>
        </w:rPr>
        <w:t>п.п</w:t>
      </w:r>
      <w:proofErr w:type="spellEnd"/>
      <w:r w:rsidRPr="00056315">
        <w:rPr>
          <w:rFonts w:ascii="Times New Roman" w:eastAsia="Times New Roman" w:hAnsi="Times New Roman" w:cs="Times New Roman"/>
          <w:sz w:val="20"/>
          <w:szCs w:val="20"/>
          <w:lang w:val="uk-UA" w:eastAsia="ru-RU"/>
        </w:rPr>
        <w:t xml:space="preserve">. 165.1.1 п. 165.1 ст. 165 Податкового кодексу України від (далі – ПКУ).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Згідно з ст. 16 Закону України від 21 травня 1997 року № 280/97-ВР «Про місцеве самоврядування в Україні» із змінами та доповненнями (далі – Закон № 280) органи місцевого самоврядування є юридичними особами і наділяються Законом № 280 та іншими законами власними повноваженнями, в межах яких діють самостійно і несуть відповідальність за свою діяльність відповідно до закону.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До виключної компетенції сільських, селищних, міських рад відноситься, зокрема, затвердження програм соціально-економічного та культурного розвитку відповідних адміністративно-територіальних одиниць, цільових програм з інших питань місцевого самоврядування (п. 22 ст. 26 Закону № 280).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Відповідно до положень ст. 34 Закону № 280 до відання виконавчих органів сільських, селищних, міських рад належать, делеговані повноваження, зокрема щодо вирішення відповідно до законодавства питань про надання пільг і допомоги, пов’язаних з охороною материнства і дитинства.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Враховуючи викладене вище, матеріальна допомога, що надається фізичним особам за рахунок міського бюджету, не підлягає оподаткуванню ПДФО за умови виконання міською радою затвердженої програми соціально-економічного розвитку чи цільової програми з питань діяльності місцевого самоврядування, в якій передбачено надання такої допомоги за рахунок коштів місцевого бюджету (з конкретним визначенням її напрямів, умов надання та кошторисом). </w:t>
      </w:r>
    </w:p>
    <w:p w:rsidR="00BD5098" w:rsidRPr="00056315" w:rsidRDefault="00BD5098" w:rsidP="00BD5098">
      <w:pPr>
        <w:rPr>
          <w:rFonts w:ascii="Times New Roman" w:eastAsia="Times New Roman" w:hAnsi="Times New Roman" w:cs="Times New Roman"/>
          <w:sz w:val="20"/>
          <w:szCs w:val="20"/>
          <w:lang w:val="uk-UA" w:eastAsia="ru-RU"/>
        </w:rPr>
      </w:pPr>
      <w:r w:rsidRPr="00056315">
        <w:rPr>
          <w:rFonts w:ascii="Times New Roman" w:eastAsia="Times New Roman" w:hAnsi="Times New Roman" w:cs="Times New Roman"/>
          <w:sz w:val="20"/>
          <w:szCs w:val="20"/>
          <w:lang w:val="uk-UA" w:eastAsia="ru-RU"/>
        </w:rPr>
        <w:t xml:space="preserve">Згідно з Довідником ознак доходів, наведеним у додатку до Порядку заповнення та подання податковими агентами Податкового розрахунку сум доходу, нарахованого (сплаченого) на користь фізичних осіб, і сум утриманого з них податку (розрахунок за формою № 1ДФ), затвердженого наказом Міністерства фінансів України від 13.01.2015 № 4 із змінами, доходи у вигляді матеріальної допомоги, отримані фізичними особами за рахунок коштів місцевого бюджету (з конкретним визначенням її напрямів, умов надання та кошторисом), відображаються відповідним органом місцевого самоврядування у податковому розрахунку за формою № 1ДФ під ознакою доходу «128». </w:t>
      </w:r>
    </w:p>
    <w:p w:rsidR="00BD5098" w:rsidRDefault="00BD5098" w:rsidP="00A52D8C">
      <w:pPr>
        <w:rPr>
          <w:rFonts w:ascii="Times New Roman" w:hAnsi="Times New Roman" w:cs="Times New Roman"/>
          <w:sz w:val="20"/>
          <w:szCs w:val="20"/>
          <w:lang w:val="uk-UA"/>
        </w:rPr>
      </w:pPr>
      <w:bookmarkStart w:id="0" w:name="_GoBack"/>
      <w:bookmarkEnd w:id="0"/>
    </w:p>
    <w:p w:rsidR="00700725" w:rsidRDefault="00700725" w:rsidP="00A52D8C">
      <w:pPr>
        <w:rPr>
          <w:rFonts w:ascii="Times New Roman" w:hAnsi="Times New Roman" w:cs="Times New Roman"/>
          <w:sz w:val="20"/>
          <w:szCs w:val="20"/>
          <w:lang w:val="uk-UA"/>
        </w:rPr>
      </w:pPr>
    </w:p>
    <w:sectPr w:rsidR="00700725" w:rsidSect="00A52D8C">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89F"/>
    <w:rsid w:val="000119B1"/>
    <w:rsid w:val="00056315"/>
    <w:rsid w:val="00314BE1"/>
    <w:rsid w:val="00700725"/>
    <w:rsid w:val="0075666E"/>
    <w:rsid w:val="007C291B"/>
    <w:rsid w:val="00A2689F"/>
    <w:rsid w:val="00A52D8C"/>
    <w:rsid w:val="00B41B84"/>
    <w:rsid w:val="00BB08A4"/>
    <w:rsid w:val="00BD5098"/>
    <w:rsid w:val="00C10540"/>
    <w:rsid w:val="00C33B62"/>
    <w:rsid w:val="00C558E8"/>
    <w:rsid w:val="00DE0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91B"/>
  </w:style>
  <w:style w:type="paragraph" w:styleId="1">
    <w:name w:val="heading 1"/>
    <w:basedOn w:val="a"/>
    <w:link w:val="10"/>
    <w:uiPriority w:val="9"/>
    <w:qFormat/>
    <w:rsid w:val="00A2689F"/>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689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A2689F"/>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2689F"/>
    <w:rPr>
      <w:rFonts w:ascii="Tahoma" w:hAnsi="Tahoma" w:cs="Tahoma"/>
      <w:sz w:val="16"/>
      <w:szCs w:val="16"/>
    </w:rPr>
  </w:style>
  <w:style w:type="character" w:customStyle="1" w:styleId="a5">
    <w:name w:val="Текст выноски Знак"/>
    <w:basedOn w:val="a0"/>
    <w:link w:val="a4"/>
    <w:uiPriority w:val="99"/>
    <w:semiHidden/>
    <w:rsid w:val="00A2689F"/>
    <w:rPr>
      <w:rFonts w:ascii="Tahoma" w:hAnsi="Tahoma" w:cs="Tahoma"/>
      <w:sz w:val="16"/>
      <w:szCs w:val="16"/>
    </w:rPr>
  </w:style>
  <w:style w:type="character" w:styleId="a6">
    <w:name w:val="Hyperlink"/>
    <w:basedOn w:val="a0"/>
    <w:uiPriority w:val="99"/>
    <w:unhideWhenUsed/>
    <w:rsid w:val="00A2689F"/>
    <w:rPr>
      <w:color w:val="0000FF"/>
      <w:u w:val="single"/>
    </w:rPr>
  </w:style>
  <w:style w:type="character" w:styleId="a7">
    <w:name w:val="Strong"/>
    <w:basedOn w:val="a0"/>
    <w:uiPriority w:val="22"/>
    <w:qFormat/>
    <w:rsid w:val="00A2689F"/>
    <w:rPr>
      <w:b/>
      <w:bCs/>
    </w:rPr>
  </w:style>
  <w:style w:type="character" w:styleId="a8">
    <w:name w:val="Emphasis"/>
    <w:basedOn w:val="a0"/>
    <w:uiPriority w:val="20"/>
    <w:qFormat/>
    <w:rsid w:val="00A2689F"/>
    <w:rPr>
      <w:i/>
      <w:iCs/>
    </w:rPr>
  </w:style>
  <w:style w:type="paragraph" w:customStyle="1" w:styleId="rvps7">
    <w:name w:val="rvps7"/>
    <w:basedOn w:val="a"/>
    <w:rsid w:val="00A2689F"/>
    <w:pPr>
      <w:spacing w:before="100" w:beforeAutospacing="1" w:after="100" w:afterAutospacing="1"/>
      <w:jc w:val="left"/>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91B"/>
  </w:style>
  <w:style w:type="paragraph" w:styleId="1">
    <w:name w:val="heading 1"/>
    <w:basedOn w:val="a"/>
    <w:link w:val="10"/>
    <w:uiPriority w:val="9"/>
    <w:qFormat/>
    <w:rsid w:val="00A2689F"/>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689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A2689F"/>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2689F"/>
    <w:rPr>
      <w:rFonts w:ascii="Tahoma" w:hAnsi="Tahoma" w:cs="Tahoma"/>
      <w:sz w:val="16"/>
      <w:szCs w:val="16"/>
    </w:rPr>
  </w:style>
  <w:style w:type="character" w:customStyle="1" w:styleId="a5">
    <w:name w:val="Текст выноски Знак"/>
    <w:basedOn w:val="a0"/>
    <w:link w:val="a4"/>
    <w:uiPriority w:val="99"/>
    <w:semiHidden/>
    <w:rsid w:val="00A2689F"/>
    <w:rPr>
      <w:rFonts w:ascii="Tahoma" w:hAnsi="Tahoma" w:cs="Tahoma"/>
      <w:sz w:val="16"/>
      <w:szCs w:val="16"/>
    </w:rPr>
  </w:style>
  <w:style w:type="character" w:styleId="a6">
    <w:name w:val="Hyperlink"/>
    <w:basedOn w:val="a0"/>
    <w:uiPriority w:val="99"/>
    <w:unhideWhenUsed/>
    <w:rsid w:val="00A2689F"/>
    <w:rPr>
      <w:color w:val="0000FF"/>
      <w:u w:val="single"/>
    </w:rPr>
  </w:style>
  <w:style w:type="character" w:styleId="a7">
    <w:name w:val="Strong"/>
    <w:basedOn w:val="a0"/>
    <w:uiPriority w:val="22"/>
    <w:qFormat/>
    <w:rsid w:val="00A2689F"/>
    <w:rPr>
      <w:b/>
      <w:bCs/>
    </w:rPr>
  </w:style>
  <w:style w:type="character" w:styleId="a8">
    <w:name w:val="Emphasis"/>
    <w:basedOn w:val="a0"/>
    <w:uiPriority w:val="20"/>
    <w:qFormat/>
    <w:rsid w:val="00A2689F"/>
    <w:rPr>
      <w:i/>
      <w:iCs/>
    </w:rPr>
  </w:style>
  <w:style w:type="paragraph" w:customStyle="1" w:styleId="rvps7">
    <w:name w:val="rvps7"/>
    <w:basedOn w:val="a"/>
    <w:rsid w:val="00A2689F"/>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04437">
      <w:bodyDiv w:val="1"/>
      <w:marLeft w:val="0"/>
      <w:marRight w:val="0"/>
      <w:marTop w:val="0"/>
      <w:marBottom w:val="0"/>
      <w:divBdr>
        <w:top w:val="none" w:sz="0" w:space="0" w:color="auto"/>
        <w:left w:val="none" w:sz="0" w:space="0" w:color="auto"/>
        <w:bottom w:val="none" w:sz="0" w:space="0" w:color="auto"/>
        <w:right w:val="none" w:sz="0" w:space="0" w:color="auto"/>
      </w:divBdr>
      <w:divsChild>
        <w:div w:id="73935158">
          <w:marLeft w:val="0"/>
          <w:marRight w:val="0"/>
          <w:marTop w:val="0"/>
          <w:marBottom w:val="0"/>
          <w:divBdr>
            <w:top w:val="none" w:sz="0" w:space="0" w:color="auto"/>
            <w:left w:val="none" w:sz="0" w:space="0" w:color="auto"/>
            <w:bottom w:val="none" w:sz="0" w:space="0" w:color="auto"/>
            <w:right w:val="none" w:sz="0" w:space="0" w:color="auto"/>
          </w:divBdr>
          <w:divsChild>
            <w:div w:id="66147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57610">
      <w:bodyDiv w:val="1"/>
      <w:marLeft w:val="0"/>
      <w:marRight w:val="0"/>
      <w:marTop w:val="0"/>
      <w:marBottom w:val="0"/>
      <w:divBdr>
        <w:top w:val="none" w:sz="0" w:space="0" w:color="auto"/>
        <w:left w:val="none" w:sz="0" w:space="0" w:color="auto"/>
        <w:bottom w:val="none" w:sz="0" w:space="0" w:color="auto"/>
        <w:right w:val="none" w:sz="0" w:space="0" w:color="auto"/>
      </w:divBdr>
      <w:divsChild>
        <w:div w:id="996349180">
          <w:marLeft w:val="0"/>
          <w:marRight w:val="0"/>
          <w:marTop w:val="0"/>
          <w:marBottom w:val="0"/>
          <w:divBdr>
            <w:top w:val="none" w:sz="0" w:space="0" w:color="auto"/>
            <w:left w:val="none" w:sz="0" w:space="0" w:color="auto"/>
            <w:bottom w:val="none" w:sz="0" w:space="0" w:color="auto"/>
            <w:right w:val="none" w:sz="0" w:space="0" w:color="auto"/>
          </w:divBdr>
          <w:divsChild>
            <w:div w:id="10073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0327">
      <w:bodyDiv w:val="1"/>
      <w:marLeft w:val="0"/>
      <w:marRight w:val="0"/>
      <w:marTop w:val="0"/>
      <w:marBottom w:val="0"/>
      <w:divBdr>
        <w:top w:val="none" w:sz="0" w:space="0" w:color="auto"/>
        <w:left w:val="none" w:sz="0" w:space="0" w:color="auto"/>
        <w:bottom w:val="none" w:sz="0" w:space="0" w:color="auto"/>
        <w:right w:val="none" w:sz="0" w:space="0" w:color="auto"/>
      </w:divBdr>
      <w:divsChild>
        <w:div w:id="2077781110">
          <w:marLeft w:val="0"/>
          <w:marRight w:val="0"/>
          <w:marTop w:val="0"/>
          <w:marBottom w:val="0"/>
          <w:divBdr>
            <w:top w:val="none" w:sz="0" w:space="0" w:color="auto"/>
            <w:left w:val="none" w:sz="0" w:space="0" w:color="auto"/>
            <w:bottom w:val="none" w:sz="0" w:space="0" w:color="auto"/>
            <w:right w:val="none" w:sz="0" w:space="0" w:color="auto"/>
          </w:divBdr>
          <w:divsChild>
            <w:div w:id="25509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3473">
      <w:bodyDiv w:val="1"/>
      <w:marLeft w:val="0"/>
      <w:marRight w:val="0"/>
      <w:marTop w:val="0"/>
      <w:marBottom w:val="0"/>
      <w:divBdr>
        <w:top w:val="none" w:sz="0" w:space="0" w:color="auto"/>
        <w:left w:val="none" w:sz="0" w:space="0" w:color="auto"/>
        <w:bottom w:val="none" w:sz="0" w:space="0" w:color="auto"/>
        <w:right w:val="none" w:sz="0" w:space="0" w:color="auto"/>
      </w:divBdr>
      <w:divsChild>
        <w:div w:id="214974218">
          <w:marLeft w:val="0"/>
          <w:marRight w:val="0"/>
          <w:marTop w:val="0"/>
          <w:marBottom w:val="0"/>
          <w:divBdr>
            <w:top w:val="none" w:sz="0" w:space="0" w:color="auto"/>
            <w:left w:val="none" w:sz="0" w:space="0" w:color="auto"/>
            <w:bottom w:val="none" w:sz="0" w:space="0" w:color="auto"/>
            <w:right w:val="none" w:sz="0" w:space="0" w:color="auto"/>
          </w:divBdr>
          <w:divsChild>
            <w:div w:id="86999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48146">
      <w:bodyDiv w:val="1"/>
      <w:marLeft w:val="0"/>
      <w:marRight w:val="0"/>
      <w:marTop w:val="0"/>
      <w:marBottom w:val="0"/>
      <w:divBdr>
        <w:top w:val="none" w:sz="0" w:space="0" w:color="auto"/>
        <w:left w:val="none" w:sz="0" w:space="0" w:color="auto"/>
        <w:bottom w:val="none" w:sz="0" w:space="0" w:color="auto"/>
        <w:right w:val="none" w:sz="0" w:space="0" w:color="auto"/>
      </w:divBdr>
      <w:divsChild>
        <w:div w:id="1481119743">
          <w:marLeft w:val="0"/>
          <w:marRight w:val="0"/>
          <w:marTop w:val="0"/>
          <w:marBottom w:val="0"/>
          <w:divBdr>
            <w:top w:val="none" w:sz="0" w:space="0" w:color="auto"/>
            <w:left w:val="none" w:sz="0" w:space="0" w:color="auto"/>
            <w:bottom w:val="none" w:sz="0" w:space="0" w:color="auto"/>
            <w:right w:val="none" w:sz="0" w:space="0" w:color="auto"/>
          </w:divBdr>
          <w:divsChild>
            <w:div w:id="134304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051176">
      <w:bodyDiv w:val="1"/>
      <w:marLeft w:val="0"/>
      <w:marRight w:val="0"/>
      <w:marTop w:val="0"/>
      <w:marBottom w:val="0"/>
      <w:divBdr>
        <w:top w:val="none" w:sz="0" w:space="0" w:color="auto"/>
        <w:left w:val="none" w:sz="0" w:space="0" w:color="auto"/>
        <w:bottom w:val="none" w:sz="0" w:space="0" w:color="auto"/>
        <w:right w:val="none" w:sz="0" w:space="0" w:color="auto"/>
      </w:divBdr>
      <w:divsChild>
        <w:div w:id="200213775">
          <w:marLeft w:val="0"/>
          <w:marRight w:val="0"/>
          <w:marTop w:val="0"/>
          <w:marBottom w:val="0"/>
          <w:divBdr>
            <w:top w:val="none" w:sz="0" w:space="0" w:color="auto"/>
            <w:left w:val="none" w:sz="0" w:space="0" w:color="auto"/>
            <w:bottom w:val="none" w:sz="0" w:space="0" w:color="auto"/>
            <w:right w:val="none" w:sz="0" w:space="0" w:color="auto"/>
          </w:divBdr>
          <w:divsChild>
            <w:div w:id="156618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965094">
      <w:bodyDiv w:val="1"/>
      <w:marLeft w:val="0"/>
      <w:marRight w:val="0"/>
      <w:marTop w:val="0"/>
      <w:marBottom w:val="0"/>
      <w:divBdr>
        <w:top w:val="none" w:sz="0" w:space="0" w:color="auto"/>
        <w:left w:val="none" w:sz="0" w:space="0" w:color="auto"/>
        <w:bottom w:val="none" w:sz="0" w:space="0" w:color="auto"/>
        <w:right w:val="none" w:sz="0" w:space="0" w:color="auto"/>
      </w:divBdr>
      <w:divsChild>
        <w:div w:id="1321351459">
          <w:marLeft w:val="0"/>
          <w:marRight w:val="0"/>
          <w:marTop w:val="0"/>
          <w:marBottom w:val="0"/>
          <w:divBdr>
            <w:top w:val="none" w:sz="0" w:space="0" w:color="auto"/>
            <w:left w:val="none" w:sz="0" w:space="0" w:color="auto"/>
            <w:bottom w:val="none" w:sz="0" w:space="0" w:color="auto"/>
            <w:right w:val="none" w:sz="0" w:space="0" w:color="auto"/>
          </w:divBdr>
          <w:divsChild>
            <w:div w:id="11578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13809">
      <w:bodyDiv w:val="1"/>
      <w:marLeft w:val="0"/>
      <w:marRight w:val="0"/>
      <w:marTop w:val="0"/>
      <w:marBottom w:val="0"/>
      <w:divBdr>
        <w:top w:val="none" w:sz="0" w:space="0" w:color="auto"/>
        <w:left w:val="none" w:sz="0" w:space="0" w:color="auto"/>
        <w:bottom w:val="none" w:sz="0" w:space="0" w:color="auto"/>
        <w:right w:val="none" w:sz="0" w:space="0" w:color="auto"/>
      </w:divBdr>
      <w:divsChild>
        <w:div w:id="548539897">
          <w:marLeft w:val="0"/>
          <w:marRight w:val="0"/>
          <w:marTop w:val="0"/>
          <w:marBottom w:val="0"/>
          <w:divBdr>
            <w:top w:val="none" w:sz="0" w:space="0" w:color="auto"/>
            <w:left w:val="none" w:sz="0" w:space="0" w:color="auto"/>
            <w:bottom w:val="none" w:sz="0" w:space="0" w:color="auto"/>
            <w:right w:val="none" w:sz="0" w:space="0" w:color="auto"/>
          </w:divBdr>
          <w:divsChild>
            <w:div w:id="40314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8660">
      <w:bodyDiv w:val="1"/>
      <w:marLeft w:val="0"/>
      <w:marRight w:val="0"/>
      <w:marTop w:val="0"/>
      <w:marBottom w:val="0"/>
      <w:divBdr>
        <w:top w:val="none" w:sz="0" w:space="0" w:color="auto"/>
        <w:left w:val="none" w:sz="0" w:space="0" w:color="auto"/>
        <w:bottom w:val="none" w:sz="0" w:space="0" w:color="auto"/>
        <w:right w:val="none" w:sz="0" w:space="0" w:color="auto"/>
      </w:divBdr>
      <w:divsChild>
        <w:div w:id="991636337">
          <w:marLeft w:val="0"/>
          <w:marRight w:val="0"/>
          <w:marTop w:val="0"/>
          <w:marBottom w:val="0"/>
          <w:divBdr>
            <w:top w:val="none" w:sz="0" w:space="0" w:color="auto"/>
            <w:left w:val="none" w:sz="0" w:space="0" w:color="auto"/>
            <w:bottom w:val="none" w:sz="0" w:space="0" w:color="auto"/>
            <w:right w:val="none" w:sz="0" w:space="0" w:color="auto"/>
          </w:divBdr>
          <w:divsChild>
            <w:div w:id="18006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318953">
      <w:bodyDiv w:val="1"/>
      <w:marLeft w:val="0"/>
      <w:marRight w:val="0"/>
      <w:marTop w:val="0"/>
      <w:marBottom w:val="0"/>
      <w:divBdr>
        <w:top w:val="none" w:sz="0" w:space="0" w:color="auto"/>
        <w:left w:val="none" w:sz="0" w:space="0" w:color="auto"/>
        <w:bottom w:val="none" w:sz="0" w:space="0" w:color="auto"/>
        <w:right w:val="none" w:sz="0" w:space="0" w:color="auto"/>
      </w:divBdr>
      <w:divsChild>
        <w:div w:id="1995452838">
          <w:marLeft w:val="0"/>
          <w:marRight w:val="0"/>
          <w:marTop w:val="0"/>
          <w:marBottom w:val="0"/>
          <w:divBdr>
            <w:top w:val="none" w:sz="0" w:space="0" w:color="auto"/>
            <w:left w:val="none" w:sz="0" w:space="0" w:color="auto"/>
            <w:bottom w:val="none" w:sz="0" w:space="0" w:color="auto"/>
            <w:right w:val="none" w:sz="0" w:space="0" w:color="auto"/>
          </w:divBdr>
          <w:divsChild>
            <w:div w:id="177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052133">
      <w:bodyDiv w:val="1"/>
      <w:marLeft w:val="0"/>
      <w:marRight w:val="0"/>
      <w:marTop w:val="0"/>
      <w:marBottom w:val="0"/>
      <w:divBdr>
        <w:top w:val="none" w:sz="0" w:space="0" w:color="auto"/>
        <w:left w:val="none" w:sz="0" w:space="0" w:color="auto"/>
        <w:bottom w:val="none" w:sz="0" w:space="0" w:color="auto"/>
        <w:right w:val="none" w:sz="0" w:space="0" w:color="auto"/>
      </w:divBdr>
      <w:divsChild>
        <w:div w:id="368798912">
          <w:marLeft w:val="0"/>
          <w:marRight w:val="0"/>
          <w:marTop w:val="0"/>
          <w:marBottom w:val="0"/>
          <w:divBdr>
            <w:top w:val="none" w:sz="0" w:space="0" w:color="auto"/>
            <w:left w:val="none" w:sz="0" w:space="0" w:color="auto"/>
            <w:bottom w:val="none" w:sz="0" w:space="0" w:color="auto"/>
            <w:right w:val="none" w:sz="0" w:space="0" w:color="auto"/>
          </w:divBdr>
          <w:divsChild>
            <w:div w:id="100532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398991">
      <w:bodyDiv w:val="1"/>
      <w:marLeft w:val="0"/>
      <w:marRight w:val="0"/>
      <w:marTop w:val="0"/>
      <w:marBottom w:val="0"/>
      <w:divBdr>
        <w:top w:val="none" w:sz="0" w:space="0" w:color="auto"/>
        <w:left w:val="none" w:sz="0" w:space="0" w:color="auto"/>
        <w:bottom w:val="none" w:sz="0" w:space="0" w:color="auto"/>
        <w:right w:val="none" w:sz="0" w:space="0" w:color="auto"/>
      </w:divBdr>
      <w:divsChild>
        <w:div w:id="1206259404">
          <w:marLeft w:val="0"/>
          <w:marRight w:val="0"/>
          <w:marTop w:val="0"/>
          <w:marBottom w:val="0"/>
          <w:divBdr>
            <w:top w:val="none" w:sz="0" w:space="0" w:color="auto"/>
            <w:left w:val="none" w:sz="0" w:space="0" w:color="auto"/>
            <w:bottom w:val="none" w:sz="0" w:space="0" w:color="auto"/>
            <w:right w:val="none" w:sz="0" w:space="0" w:color="auto"/>
          </w:divBdr>
          <w:divsChild>
            <w:div w:id="19526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1407">
      <w:bodyDiv w:val="1"/>
      <w:marLeft w:val="0"/>
      <w:marRight w:val="0"/>
      <w:marTop w:val="0"/>
      <w:marBottom w:val="0"/>
      <w:divBdr>
        <w:top w:val="none" w:sz="0" w:space="0" w:color="auto"/>
        <w:left w:val="none" w:sz="0" w:space="0" w:color="auto"/>
        <w:bottom w:val="none" w:sz="0" w:space="0" w:color="auto"/>
        <w:right w:val="none" w:sz="0" w:space="0" w:color="auto"/>
      </w:divBdr>
      <w:divsChild>
        <w:div w:id="1623227055">
          <w:marLeft w:val="0"/>
          <w:marRight w:val="0"/>
          <w:marTop w:val="0"/>
          <w:marBottom w:val="0"/>
          <w:divBdr>
            <w:top w:val="none" w:sz="0" w:space="0" w:color="auto"/>
            <w:left w:val="none" w:sz="0" w:space="0" w:color="auto"/>
            <w:bottom w:val="none" w:sz="0" w:space="0" w:color="auto"/>
            <w:right w:val="none" w:sz="0" w:space="0" w:color="auto"/>
          </w:divBdr>
          <w:divsChild>
            <w:div w:id="165401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7914">
      <w:bodyDiv w:val="1"/>
      <w:marLeft w:val="0"/>
      <w:marRight w:val="0"/>
      <w:marTop w:val="0"/>
      <w:marBottom w:val="0"/>
      <w:divBdr>
        <w:top w:val="none" w:sz="0" w:space="0" w:color="auto"/>
        <w:left w:val="none" w:sz="0" w:space="0" w:color="auto"/>
        <w:bottom w:val="none" w:sz="0" w:space="0" w:color="auto"/>
        <w:right w:val="none" w:sz="0" w:space="0" w:color="auto"/>
      </w:divBdr>
      <w:divsChild>
        <w:div w:id="412513089">
          <w:marLeft w:val="0"/>
          <w:marRight w:val="0"/>
          <w:marTop w:val="0"/>
          <w:marBottom w:val="0"/>
          <w:divBdr>
            <w:top w:val="none" w:sz="0" w:space="0" w:color="auto"/>
            <w:left w:val="none" w:sz="0" w:space="0" w:color="auto"/>
            <w:bottom w:val="none" w:sz="0" w:space="0" w:color="auto"/>
            <w:right w:val="none" w:sz="0" w:space="0" w:color="auto"/>
          </w:divBdr>
          <w:divsChild>
            <w:div w:id="183398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469284">
      <w:bodyDiv w:val="1"/>
      <w:marLeft w:val="0"/>
      <w:marRight w:val="0"/>
      <w:marTop w:val="0"/>
      <w:marBottom w:val="0"/>
      <w:divBdr>
        <w:top w:val="none" w:sz="0" w:space="0" w:color="auto"/>
        <w:left w:val="none" w:sz="0" w:space="0" w:color="auto"/>
        <w:bottom w:val="none" w:sz="0" w:space="0" w:color="auto"/>
        <w:right w:val="none" w:sz="0" w:space="0" w:color="auto"/>
      </w:divBdr>
      <w:divsChild>
        <w:div w:id="1860270527">
          <w:marLeft w:val="0"/>
          <w:marRight w:val="0"/>
          <w:marTop w:val="0"/>
          <w:marBottom w:val="0"/>
          <w:divBdr>
            <w:top w:val="none" w:sz="0" w:space="0" w:color="auto"/>
            <w:left w:val="none" w:sz="0" w:space="0" w:color="auto"/>
            <w:bottom w:val="none" w:sz="0" w:space="0" w:color="auto"/>
            <w:right w:val="none" w:sz="0" w:space="0" w:color="auto"/>
          </w:divBdr>
          <w:divsChild>
            <w:div w:id="88710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865246">
      <w:bodyDiv w:val="1"/>
      <w:marLeft w:val="0"/>
      <w:marRight w:val="0"/>
      <w:marTop w:val="0"/>
      <w:marBottom w:val="0"/>
      <w:divBdr>
        <w:top w:val="none" w:sz="0" w:space="0" w:color="auto"/>
        <w:left w:val="none" w:sz="0" w:space="0" w:color="auto"/>
        <w:bottom w:val="none" w:sz="0" w:space="0" w:color="auto"/>
        <w:right w:val="none" w:sz="0" w:space="0" w:color="auto"/>
      </w:divBdr>
      <w:divsChild>
        <w:div w:id="1229919779">
          <w:marLeft w:val="0"/>
          <w:marRight w:val="0"/>
          <w:marTop w:val="0"/>
          <w:marBottom w:val="0"/>
          <w:divBdr>
            <w:top w:val="none" w:sz="0" w:space="0" w:color="auto"/>
            <w:left w:val="none" w:sz="0" w:space="0" w:color="auto"/>
            <w:bottom w:val="none" w:sz="0" w:space="0" w:color="auto"/>
            <w:right w:val="none" w:sz="0" w:space="0" w:color="auto"/>
          </w:divBdr>
          <w:divsChild>
            <w:div w:id="158892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891996">
      <w:bodyDiv w:val="1"/>
      <w:marLeft w:val="0"/>
      <w:marRight w:val="0"/>
      <w:marTop w:val="0"/>
      <w:marBottom w:val="0"/>
      <w:divBdr>
        <w:top w:val="none" w:sz="0" w:space="0" w:color="auto"/>
        <w:left w:val="none" w:sz="0" w:space="0" w:color="auto"/>
        <w:bottom w:val="none" w:sz="0" w:space="0" w:color="auto"/>
        <w:right w:val="none" w:sz="0" w:space="0" w:color="auto"/>
      </w:divBdr>
      <w:divsChild>
        <w:div w:id="1749035610">
          <w:marLeft w:val="0"/>
          <w:marRight w:val="0"/>
          <w:marTop w:val="0"/>
          <w:marBottom w:val="0"/>
          <w:divBdr>
            <w:top w:val="none" w:sz="0" w:space="0" w:color="auto"/>
            <w:left w:val="none" w:sz="0" w:space="0" w:color="auto"/>
            <w:bottom w:val="none" w:sz="0" w:space="0" w:color="auto"/>
            <w:right w:val="none" w:sz="0" w:space="0" w:color="auto"/>
          </w:divBdr>
          <w:divsChild>
            <w:div w:id="159678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08843">
      <w:bodyDiv w:val="1"/>
      <w:marLeft w:val="0"/>
      <w:marRight w:val="0"/>
      <w:marTop w:val="0"/>
      <w:marBottom w:val="0"/>
      <w:divBdr>
        <w:top w:val="none" w:sz="0" w:space="0" w:color="auto"/>
        <w:left w:val="none" w:sz="0" w:space="0" w:color="auto"/>
        <w:bottom w:val="none" w:sz="0" w:space="0" w:color="auto"/>
        <w:right w:val="none" w:sz="0" w:space="0" w:color="auto"/>
      </w:divBdr>
      <w:divsChild>
        <w:div w:id="582572383">
          <w:marLeft w:val="0"/>
          <w:marRight w:val="0"/>
          <w:marTop w:val="0"/>
          <w:marBottom w:val="0"/>
          <w:divBdr>
            <w:top w:val="none" w:sz="0" w:space="0" w:color="auto"/>
            <w:left w:val="none" w:sz="0" w:space="0" w:color="auto"/>
            <w:bottom w:val="none" w:sz="0" w:space="0" w:color="auto"/>
            <w:right w:val="none" w:sz="0" w:space="0" w:color="auto"/>
          </w:divBdr>
          <w:divsChild>
            <w:div w:id="18240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51868">
      <w:bodyDiv w:val="1"/>
      <w:marLeft w:val="0"/>
      <w:marRight w:val="0"/>
      <w:marTop w:val="0"/>
      <w:marBottom w:val="0"/>
      <w:divBdr>
        <w:top w:val="none" w:sz="0" w:space="0" w:color="auto"/>
        <w:left w:val="none" w:sz="0" w:space="0" w:color="auto"/>
        <w:bottom w:val="none" w:sz="0" w:space="0" w:color="auto"/>
        <w:right w:val="none" w:sz="0" w:space="0" w:color="auto"/>
      </w:divBdr>
      <w:divsChild>
        <w:div w:id="196160951">
          <w:marLeft w:val="0"/>
          <w:marRight w:val="0"/>
          <w:marTop w:val="0"/>
          <w:marBottom w:val="0"/>
          <w:divBdr>
            <w:top w:val="none" w:sz="0" w:space="0" w:color="auto"/>
            <w:left w:val="none" w:sz="0" w:space="0" w:color="auto"/>
            <w:bottom w:val="none" w:sz="0" w:space="0" w:color="auto"/>
            <w:right w:val="none" w:sz="0" w:space="0" w:color="auto"/>
          </w:divBdr>
          <w:divsChild>
            <w:div w:id="28196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86209">
      <w:bodyDiv w:val="1"/>
      <w:marLeft w:val="0"/>
      <w:marRight w:val="0"/>
      <w:marTop w:val="0"/>
      <w:marBottom w:val="0"/>
      <w:divBdr>
        <w:top w:val="none" w:sz="0" w:space="0" w:color="auto"/>
        <w:left w:val="none" w:sz="0" w:space="0" w:color="auto"/>
        <w:bottom w:val="none" w:sz="0" w:space="0" w:color="auto"/>
        <w:right w:val="none" w:sz="0" w:space="0" w:color="auto"/>
      </w:divBdr>
      <w:divsChild>
        <w:div w:id="1750300993">
          <w:marLeft w:val="0"/>
          <w:marRight w:val="0"/>
          <w:marTop w:val="0"/>
          <w:marBottom w:val="0"/>
          <w:divBdr>
            <w:top w:val="none" w:sz="0" w:space="0" w:color="auto"/>
            <w:left w:val="none" w:sz="0" w:space="0" w:color="auto"/>
            <w:bottom w:val="none" w:sz="0" w:space="0" w:color="auto"/>
            <w:right w:val="none" w:sz="0" w:space="0" w:color="auto"/>
          </w:divBdr>
          <w:divsChild>
            <w:div w:id="3252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83914">
      <w:bodyDiv w:val="1"/>
      <w:marLeft w:val="0"/>
      <w:marRight w:val="0"/>
      <w:marTop w:val="0"/>
      <w:marBottom w:val="0"/>
      <w:divBdr>
        <w:top w:val="none" w:sz="0" w:space="0" w:color="auto"/>
        <w:left w:val="none" w:sz="0" w:space="0" w:color="auto"/>
        <w:bottom w:val="none" w:sz="0" w:space="0" w:color="auto"/>
        <w:right w:val="none" w:sz="0" w:space="0" w:color="auto"/>
      </w:divBdr>
      <w:divsChild>
        <w:div w:id="116921097">
          <w:marLeft w:val="0"/>
          <w:marRight w:val="0"/>
          <w:marTop w:val="0"/>
          <w:marBottom w:val="0"/>
          <w:divBdr>
            <w:top w:val="none" w:sz="0" w:space="0" w:color="auto"/>
            <w:left w:val="none" w:sz="0" w:space="0" w:color="auto"/>
            <w:bottom w:val="none" w:sz="0" w:space="0" w:color="auto"/>
            <w:right w:val="none" w:sz="0" w:space="0" w:color="auto"/>
          </w:divBdr>
          <w:divsChild>
            <w:div w:id="122009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761412">
      <w:bodyDiv w:val="1"/>
      <w:marLeft w:val="0"/>
      <w:marRight w:val="0"/>
      <w:marTop w:val="0"/>
      <w:marBottom w:val="0"/>
      <w:divBdr>
        <w:top w:val="none" w:sz="0" w:space="0" w:color="auto"/>
        <w:left w:val="none" w:sz="0" w:space="0" w:color="auto"/>
        <w:bottom w:val="none" w:sz="0" w:space="0" w:color="auto"/>
        <w:right w:val="none" w:sz="0" w:space="0" w:color="auto"/>
      </w:divBdr>
      <w:divsChild>
        <w:div w:id="20397970">
          <w:marLeft w:val="0"/>
          <w:marRight w:val="0"/>
          <w:marTop w:val="0"/>
          <w:marBottom w:val="0"/>
          <w:divBdr>
            <w:top w:val="none" w:sz="0" w:space="0" w:color="auto"/>
            <w:left w:val="none" w:sz="0" w:space="0" w:color="auto"/>
            <w:bottom w:val="none" w:sz="0" w:space="0" w:color="auto"/>
            <w:right w:val="none" w:sz="0" w:space="0" w:color="auto"/>
          </w:divBdr>
          <w:divsChild>
            <w:div w:id="9765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98260">
      <w:bodyDiv w:val="1"/>
      <w:marLeft w:val="0"/>
      <w:marRight w:val="0"/>
      <w:marTop w:val="0"/>
      <w:marBottom w:val="0"/>
      <w:divBdr>
        <w:top w:val="none" w:sz="0" w:space="0" w:color="auto"/>
        <w:left w:val="none" w:sz="0" w:space="0" w:color="auto"/>
        <w:bottom w:val="none" w:sz="0" w:space="0" w:color="auto"/>
        <w:right w:val="none" w:sz="0" w:space="0" w:color="auto"/>
      </w:divBdr>
      <w:divsChild>
        <w:div w:id="1507669412">
          <w:marLeft w:val="0"/>
          <w:marRight w:val="0"/>
          <w:marTop w:val="0"/>
          <w:marBottom w:val="0"/>
          <w:divBdr>
            <w:top w:val="none" w:sz="0" w:space="0" w:color="auto"/>
            <w:left w:val="none" w:sz="0" w:space="0" w:color="auto"/>
            <w:bottom w:val="none" w:sz="0" w:space="0" w:color="auto"/>
            <w:right w:val="none" w:sz="0" w:space="0" w:color="auto"/>
          </w:divBdr>
          <w:divsChild>
            <w:div w:id="150735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68065">
      <w:bodyDiv w:val="1"/>
      <w:marLeft w:val="0"/>
      <w:marRight w:val="0"/>
      <w:marTop w:val="0"/>
      <w:marBottom w:val="0"/>
      <w:divBdr>
        <w:top w:val="none" w:sz="0" w:space="0" w:color="auto"/>
        <w:left w:val="none" w:sz="0" w:space="0" w:color="auto"/>
        <w:bottom w:val="none" w:sz="0" w:space="0" w:color="auto"/>
        <w:right w:val="none" w:sz="0" w:space="0" w:color="auto"/>
      </w:divBdr>
      <w:divsChild>
        <w:div w:id="1179779375">
          <w:marLeft w:val="0"/>
          <w:marRight w:val="0"/>
          <w:marTop w:val="0"/>
          <w:marBottom w:val="0"/>
          <w:divBdr>
            <w:top w:val="none" w:sz="0" w:space="0" w:color="auto"/>
            <w:left w:val="none" w:sz="0" w:space="0" w:color="auto"/>
            <w:bottom w:val="none" w:sz="0" w:space="0" w:color="auto"/>
            <w:right w:val="none" w:sz="0" w:space="0" w:color="auto"/>
          </w:divBdr>
          <w:divsChild>
            <w:div w:id="137777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902619">
      <w:bodyDiv w:val="1"/>
      <w:marLeft w:val="0"/>
      <w:marRight w:val="0"/>
      <w:marTop w:val="0"/>
      <w:marBottom w:val="0"/>
      <w:divBdr>
        <w:top w:val="none" w:sz="0" w:space="0" w:color="auto"/>
        <w:left w:val="none" w:sz="0" w:space="0" w:color="auto"/>
        <w:bottom w:val="none" w:sz="0" w:space="0" w:color="auto"/>
        <w:right w:val="none" w:sz="0" w:space="0" w:color="auto"/>
      </w:divBdr>
      <w:divsChild>
        <w:div w:id="532692519">
          <w:marLeft w:val="0"/>
          <w:marRight w:val="0"/>
          <w:marTop w:val="0"/>
          <w:marBottom w:val="0"/>
          <w:divBdr>
            <w:top w:val="none" w:sz="0" w:space="0" w:color="auto"/>
            <w:left w:val="none" w:sz="0" w:space="0" w:color="auto"/>
            <w:bottom w:val="none" w:sz="0" w:space="0" w:color="auto"/>
            <w:right w:val="none" w:sz="0" w:space="0" w:color="auto"/>
          </w:divBdr>
          <w:divsChild>
            <w:div w:id="4060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73709">
      <w:bodyDiv w:val="1"/>
      <w:marLeft w:val="0"/>
      <w:marRight w:val="0"/>
      <w:marTop w:val="0"/>
      <w:marBottom w:val="0"/>
      <w:divBdr>
        <w:top w:val="none" w:sz="0" w:space="0" w:color="auto"/>
        <w:left w:val="none" w:sz="0" w:space="0" w:color="auto"/>
        <w:bottom w:val="none" w:sz="0" w:space="0" w:color="auto"/>
        <w:right w:val="none" w:sz="0" w:space="0" w:color="auto"/>
      </w:divBdr>
      <w:divsChild>
        <w:div w:id="562260385">
          <w:marLeft w:val="0"/>
          <w:marRight w:val="0"/>
          <w:marTop w:val="0"/>
          <w:marBottom w:val="0"/>
          <w:divBdr>
            <w:top w:val="none" w:sz="0" w:space="0" w:color="auto"/>
            <w:left w:val="none" w:sz="0" w:space="0" w:color="auto"/>
            <w:bottom w:val="none" w:sz="0" w:space="0" w:color="auto"/>
            <w:right w:val="none" w:sz="0" w:space="0" w:color="auto"/>
          </w:divBdr>
          <w:divsChild>
            <w:div w:id="184277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1977">
      <w:bodyDiv w:val="1"/>
      <w:marLeft w:val="0"/>
      <w:marRight w:val="0"/>
      <w:marTop w:val="0"/>
      <w:marBottom w:val="0"/>
      <w:divBdr>
        <w:top w:val="none" w:sz="0" w:space="0" w:color="auto"/>
        <w:left w:val="none" w:sz="0" w:space="0" w:color="auto"/>
        <w:bottom w:val="none" w:sz="0" w:space="0" w:color="auto"/>
        <w:right w:val="none" w:sz="0" w:space="0" w:color="auto"/>
      </w:divBdr>
      <w:divsChild>
        <w:div w:id="763577819">
          <w:marLeft w:val="0"/>
          <w:marRight w:val="0"/>
          <w:marTop w:val="0"/>
          <w:marBottom w:val="0"/>
          <w:divBdr>
            <w:top w:val="none" w:sz="0" w:space="0" w:color="auto"/>
            <w:left w:val="none" w:sz="0" w:space="0" w:color="auto"/>
            <w:bottom w:val="none" w:sz="0" w:space="0" w:color="auto"/>
            <w:right w:val="none" w:sz="0" w:space="0" w:color="auto"/>
          </w:divBdr>
          <w:divsChild>
            <w:div w:id="73462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080498">
      <w:bodyDiv w:val="1"/>
      <w:marLeft w:val="0"/>
      <w:marRight w:val="0"/>
      <w:marTop w:val="0"/>
      <w:marBottom w:val="0"/>
      <w:divBdr>
        <w:top w:val="none" w:sz="0" w:space="0" w:color="auto"/>
        <w:left w:val="none" w:sz="0" w:space="0" w:color="auto"/>
        <w:bottom w:val="none" w:sz="0" w:space="0" w:color="auto"/>
        <w:right w:val="none" w:sz="0" w:space="0" w:color="auto"/>
      </w:divBdr>
      <w:divsChild>
        <w:div w:id="498425599">
          <w:marLeft w:val="0"/>
          <w:marRight w:val="0"/>
          <w:marTop w:val="0"/>
          <w:marBottom w:val="0"/>
          <w:divBdr>
            <w:top w:val="none" w:sz="0" w:space="0" w:color="auto"/>
            <w:left w:val="none" w:sz="0" w:space="0" w:color="auto"/>
            <w:bottom w:val="none" w:sz="0" w:space="0" w:color="auto"/>
            <w:right w:val="none" w:sz="0" w:space="0" w:color="auto"/>
          </w:divBdr>
          <w:divsChild>
            <w:div w:id="105376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57703">
      <w:bodyDiv w:val="1"/>
      <w:marLeft w:val="0"/>
      <w:marRight w:val="0"/>
      <w:marTop w:val="0"/>
      <w:marBottom w:val="0"/>
      <w:divBdr>
        <w:top w:val="none" w:sz="0" w:space="0" w:color="auto"/>
        <w:left w:val="none" w:sz="0" w:space="0" w:color="auto"/>
        <w:bottom w:val="none" w:sz="0" w:space="0" w:color="auto"/>
        <w:right w:val="none" w:sz="0" w:space="0" w:color="auto"/>
      </w:divBdr>
      <w:divsChild>
        <w:div w:id="1367635532">
          <w:marLeft w:val="0"/>
          <w:marRight w:val="0"/>
          <w:marTop w:val="0"/>
          <w:marBottom w:val="0"/>
          <w:divBdr>
            <w:top w:val="none" w:sz="0" w:space="0" w:color="auto"/>
            <w:left w:val="none" w:sz="0" w:space="0" w:color="auto"/>
            <w:bottom w:val="none" w:sz="0" w:space="0" w:color="auto"/>
            <w:right w:val="none" w:sz="0" w:space="0" w:color="auto"/>
          </w:divBdr>
          <w:divsChild>
            <w:div w:id="189426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433884.html" TargetMode="External"/><Relationship Id="rId13" Type="http://schemas.openxmlformats.org/officeDocument/2006/relationships/hyperlink" Target="https://tax.gov.ua/nove-pro-podatki--novini-/434544.html" TargetMode="External"/><Relationship Id="rId18" Type="http://schemas.openxmlformats.org/officeDocument/2006/relationships/hyperlink" Target="https://guide.diia.gov.ua/"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cabinet.tax.gov.ua/" TargetMode="External"/><Relationship Id="rId12" Type="http://schemas.openxmlformats.org/officeDocument/2006/relationships/hyperlink" Target="https://www.youtube.com/watch?v=j0yUkrJXYgM" TargetMode="External"/><Relationship Id="rId17" Type="http://schemas.openxmlformats.org/officeDocument/2006/relationships/hyperlink" Target="https://registry.diia.gov.ua/" TargetMode="External"/><Relationship Id="rId2" Type="http://schemas.openxmlformats.org/officeDocument/2006/relationships/styles" Target="styles.xml"/><Relationship Id="rId16" Type="http://schemas.openxmlformats.org/officeDocument/2006/relationships/hyperlink" Target="http://cabinet.tax.gov.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tax.gov.ua/nove-pro-podatki--novini-/433883.html" TargetMode="External"/><Relationship Id="rId11" Type="http://schemas.openxmlformats.org/officeDocument/2006/relationships/hyperlink" Target="https://www.facebook.com/103313391061454/videos/1440108519519147" TargetMode="External"/><Relationship Id="rId5" Type="http://schemas.openxmlformats.org/officeDocument/2006/relationships/webSettings" Target="webSettings.xml"/><Relationship Id="rId15" Type="http://schemas.openxmlformats.org/officeDocument/2006/relationships/hyperlink" Target="https://guide.diia.gov.ua/" TargetMode="External"/><Relationship Id="rId10" Type="http://schemas.openxmlformats.org/officeDocument/2006/relationships/hyperlink" Target="https://dp.tax.gov.ua/media-ark/videogalereya/prezentatsii-ta-inshi-materiali/6613.html" TargetMode="External"/><Relationship Id="rId19" Type="http://schemas.openxmlformats.org/officeDocument/2006/relationships/hyperlink" Target="http://cabinet.tax.gov.ua/" TargetMode="External"/><Relationship Id="rId4" Type="http://schemas.openxmlformats.org/officeDocument/2006/relationships/settings" Target="settings.xml"/><Relationship Id="rId9" Type="http://schemas.openxmlformats.org/officeDocument/2006/relationships/hyperlink" Target="https://tax.gov.ua/media-tsentr/novini/433786.html" TargetMode="External"/><Relationship Id="rId14" Type="http://schemas.openxmlformats.org/officeDocument/2006/relationships/hyperlink" Target="https://registry.diia.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E056E-2678-43EE-B364-90F83C527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12337</Words>
  <Characters>70322</Characters>
  <Application>Microsoft Office Word</Application>
  <DocSecurity>0</DocSecurity>
  <Lines>586</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Olga</cp:lastModifiedBy>
  <cp:revision>2</cp:revision>
  <dcterms:created xsi:type="dcterms:W3CDTF">2020-10-09T05:30:00Z</dcterms:created>
  <dcterms:modified xsi:type="dcterms:W3CDTF">2020-10-09T05:30:00Z</dcterms:modified>
</cp:coreProperties>
</file>