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108" w:rsidRPr="00907108" w:rsidRDefault="00907108" w:rsidP="00907108">
      <w:pPr>
        <w:outlineLvl w:val="0"/>
        <w:rPr>
          <w:rFonts w:ascii="Times New Roman" w:eastAsia="Times New Roman" w:hAnsi="Times New Roman" w:cs="Times New Roman"/>
          <w:b/>
          <w:bCs/>
          <w:kern w:val="36"/>
          <w:sz w:val="20"/>
          <w:szCs w:val="20"/>
          <w:lang w:val="uk-UA" w:eastAsia="ru-RU"/>
        </w:rPr>
      </w:pPr>
    </w:p>
    <w:p w:rsidR="00907108" w:rsidRPr="00907108" w:rsidRDefault="00907108" w:rsidP="00907108">
      <w:pPr>
        <w:jc w:val="left"/>
        <w:outlineLvl w:val="0"/>
        <w:rPr>
          <w:rFonts w:ascii="Times New Roman" w:eastAsia="Times New Roman" w:hAnsi="Times New Roman" w:cs="Times New Roman"/>
          <w:b/>
          <w:bCs/>
          <w:kern w:val="36"/>
          <w:sz w:val="20"/>
          <w:szCs w:val="20"/>
          <w:lang w:val="uk-UA" w:eastAsia="ru-RU"/>
        </w:rPr>
      </w:pPr>
      <w:r w:rsidRPr="00907108">
        <w:rPr>
          <w:rFonts w:ascii="Times New Roman" w:eastAsia="Times New Roman" w:hAnsi="Times New Roman" w:cs="Times New Roman"/>
          <w:b/>
          <w:bCs/>
          <w:kern w:val="36"/>
          <w:sz w:val="20"/>
          <w:szCs w:val="20"/>
          <w:lang w:val="uk-UA" w:eastAsia="ru-RU"/>
        </w:rPr>
        <w:t xml:space="preserve">Внесено зміни до Порядку обміну електронними документами з контролюючими органами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Міністерства фінансів України від 01.06.2020 № 261 «Про внесення змін до Порядку обміну електронними документами з контролюючими органами», що зареєстрований у Міністерстві юстиції України 31.07.2020 за № 723/35006 (далі – Наказ № 261).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Зміни внесені Наказом № 261 до Порядку обміну електронними документами з контролюючими органами, затвердженого наказом Міністерства фінансів України від 06 червня 2017 року № 557, зареєстрованого у Міністерстві юстиції України 03 серпня 2017 року № 959/30827 (зі змінами) (далі – Порядок), з метою спрощення обміну електронними документами з контролюючими органами.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Наказом № 261 встановлено, що договори про визнання електронних документів, які на день набрання чинності Наказом № 261 є чинними, продовжують діяти до виникнення підстав, визначених пунктом 5 розділу III Порядку, затвердженого Наказом № 261.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Розділом ІІ Порядку визначено, що суб’єкти електронного документообігу (далі – СЕД), які здійснюють його на договірних засадах, самостійно визначають режим доступу до електронних документів, що містять конфіденційну інформацію, та встановлюють для них систему (способи) захисту. В інформаційних, телекомунікаційних, інформаційно-телекомунікаційних системах, які забезпечують обмін електронними документами, що містять державні інформаційні ресурси або інформацію з обмеженим доступом, повинен забезпечуватися рівень захисту цієї інформації, який відповідно до законодавства має відповідати ступеню обмеження доступу до неї.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Згідно з розділом III Порядку юридичні особи, </w:t>
      </w:r>
      <w:proofErr w:type="spellStart"/>
      <w:r w:rsidRPr="00907108">
        <w:rPr>
          <w:rFonts w:ascii="Times New Roman" w:eastAsia="Times New Roman" w:hAnsi="Times New Roman" w:cs="Times New Roman"/>
          <w:sz w:val="20"/>
          <w:szCs w:val="20"/>
          <w:lang w:val="uk-UA" w:eastAsia="ru-RU"/>
        </w:rPr>
        <w:t>самозайняті</w:t>
      </w:r>
      <w:proofErr w:type="spellEnd"/>
      <w:r w:rsidRPr="00907108">
        <w:rPr>
          <w:rFonts w:ascii="Times New Roman" w:eastAsia="Times New Roman" w:hAnsi="Times New Roman" w:cs="Times New Roman"/>
          <w:sz w:val="20"/>
          <w:szCs w:val="20"/>
          <w:lang w:val="uk-UA" w:eastAsia="ru-RU"/>
        </w:rPr>
        <w:t xml:space="preserve"> особи, податкові агенти, контролюючі органи, органи державної влади, органи місцевого самоврядування набувають статусу СЕД з дати приєднання до Договору, примірну форму якого визначено у додатку 1 до Порядку.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Приєднання до Договору здійснюється шляхом надсилання до контролюючого органу першого будь-якого електронного документа у встановленому форматі (стандарті) з дотриманням вимог законодавства. Підтвердженням про приєднання автора до Договору є отримання автором відповідної квитанції про прийняття контролюючим органом такого документа.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Фізичні особи, які не є </w:t>
      </w:r>
      <w:proofErr w:type="spellStart"/>
      <w:r w:rsidRPr="00907108">
        <w:rPr>
          <w:rFonts w:ascii="Times New Roman" w:eastAsia="Times New Roman" w:hAnsi="Times New Roman" w:cs="Times New Roman"/>
          <w:sz w:val="20"/>
          <w:szCs w:val="20"/>
          <w:lang w:val="uk-UA" w:eastAsia="ru-RU"/>
        </w:rPr>
        <w:t>самозайнятими</w:t>
      </w:r>
      <w:proofErr w:type="spellEnd"/>
      <w:r w:rsidRPr="00907108">
        <w:rPr>
          <w:rFonts w:ascii="Times New Roman" w:eastAsia="Times New Roman" w:hAnsi="Times New Roman" w:cs="Times New Roman"/>
          <w:sz w:val="20"/>
          <w:szCs w:val="20"/>
          <w:lang w:val="uk-UA" w:eastAsia="ru-RU"/>
        </w:rPr>
        <w:t xml:space="preserve"> особами, автоматично вважаються СЕД та мають право подавати електронні документи до контролюючих органів виключно з використанням кваліфікованого електронного підпису.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У день припинення дії Договору контролюючий орган повідомляє автора про припинення дії Договору (із зазначенням причини) шляхом направлення автоматично сформованого повідомлення про припинення дії Договору в Електронний кабінет або на електронну адресу, внесену до облікових даних автора, із зазначенням дати припинення за формою згідно з додатком 3 до Порядку. </w:t>
      </w:r>
    </w:p>
    <w:p w:rsidR="00907108" w:rsidRPr="00907108" w:rsidRDefault="00907108" w:rsidP="00907108">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 xml:space="preserve">Наказ № 261 опубліковано у бюлетені «Офіційний вісник України» від 14.08.2020 № 63. </w:t>
      </w:r>
    </w:p>
    <w:p w:rsidR="00907108" w:rsidRPr="00907108" w:rsidRDefault="00907108" w:rsidP="007C6437">
      <w:pPr>
        <w:outlineLvl w:val="0"/>
        <w:rPr>
          <w:rFonts w:ascii="Times New Roman" w:eastAsia="Times New Roman" w:hAnsi="Times New Roman" w:cs="Times New Roman"/>
          <w:b/>
          <w:bCs/>
          <w:kern w:val="36"/>
          <w:sz w:val="20"/>
          <w:szCs w:val="20"/>
          <w:lang w:val="uk-UA" w:eastAsia="ru-RU"/>
        </w:rPr>
      </w:pPr>
    </w:p>
    <w:p w:rsidR="00907108" w:rsidRPr="00907108" w:rsidRDefault="00907108" w:rsidP="007C6437">
      <w:pPr>
        <w:outlineLvl w:val="0"/>
        <w:rPr>
          <w:rFonts w:ascii="Times New Roman" w:eastAsia="Times New Roman" w:hAnsi="Times New Roman" w:cs="Times New Roman"/>
          <w:b/>
          <w:bCs/>
          <w:kern w:val="36"/>
          <w:sz w:val="20"/>
          <w:szCs w:val="20"/>
          <w:lang w:val="uk-UA" w:eastAsia="ru-RU"/>
        </w:rPr>
      </w:pPr>
    </w:p>
    <w:p w:rsidR="007C6437" w:rsidRPr="00907108" w:rsidRDefault="007C6437" w:rsidP="007C6437">
      <w:pPr>
        <w:outlineLvl w:val="0"/>
        <w:rPr>
          <w:rFonts w:ascii="Times New Roman" w:eastAsia="Times New Roman" w:hAnsi="Times New Roman" w:cs="Times New Roman"/>
          <w:b/>
          <w:bCs/>
          <w:kern w:val="36"/>
          <w:sz w:val="20"/>
          <w:szCs w:val="20"/>
          <w:lang w:val="uk-UA" w:eastAsia="ru-RU"/>
        </w:rPr>
      </w:pPr>
      <w:r w:rsidRPr="00907108">
        <w:rPr>
          <w:rFonts w:ascii="Times New Roman" w:eastAsia="Times New Roman" w:hAnsi="Times New Roman" w:cs="Times New Roman"/>
          <w:b/>
          <w:bCs/>
          <w:kern w:val="36"/>
          <w:sz w:val="20"/>
          <w:szCs w:val="20"/>
          <w:lang w:val="uk-UA" w:eastAsia="ru-RU"/>
        </w:rPr>
        <w:t>25.08.2020</w:t>
      </w:r>
    </w:p>
    <w:p w:rsidR="007C6437" w:rsidRPr="00907108" w:rsidRDefault="007C6437" w:rsidP="007C6437">
      <w:pPr>
        <w:outlineLvl w:val="0"/>
        <w:rPr>
          <w:rFonts w:ascii="Times New Roman" w:eastAsia="Times New Roman" w:hAnsi="Times New Roman" w:cs="Times New Roman"/>
          <w:b/>
          <w:bCs/>
          <w:kern w:val="36"/>
          <w:sz w:val="20"/>
          <w:szCs w:val="20"/>
          <w:lang w:val="uk-UA" w:eastAsia="ru-RU"/>
        </w:rPr>
      </w:pPr>
    </w:p>
    <w:p w:rsidR="00534B30" w:rsidRPr="00534B30" w:rsidRDefault="00534B30" w:rsidP="007C6437">
      <w:pPr>
        <w:outlineLvl w:val="0"/>
        <w:rPr>
          <w:rFonts w:ascii="Times New Roman" w:eastAsia="Times New Roman" w:hAnsi="Times New Roman" w:cs="Times New Roman"/>
          <w:b/>
          <w:bCs/>
          <w:kern w:val="36"/>
          <w:sz w:val="20"/>
          <w:szCs w:val="20"/>
          <w:lang w:val="uk-UA" w:eastAsia="ru-RU"/>
        </w:rPr>
      </w:pPr>
      <w:r w:rsidRPr="00534B30">
        <w:rPr>
          <w:rFonts w:ascii="Times New Roman" w:eastAsia="Times New Roman" w:hAnsi="Times New Roman" w:cs="Times New Roman"/>
          <w:b/>
          <w:bCs/>
          <w:kern w:val="36"/>
          <w:sz w:val="20"/>
          <w:szCs w:val="20"/>
          <w:lang w:val="uk-UA" w:eastAsia="ru-RU"/>
        </w:rPr>
        <w:t xml:space="preserve">У разі розбіжностей між даними, зазначеними у ППР, та даними платника транспортного податку контролюючий орган проводить перерахунок </w:t>
      </w:r>
    </w:p>
    <w:p w:rsidR="00534B30" w:rsidRPr="00534B30"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Н</w:t>
      </w:r>
      <w:r w:rsidR="00534B30" w:rsidRPr="00534B30">
        <w:rPr>
          <w:rFonts w:ascii="Times New Roman" w:eastAsia="Times New Roman" w:hAnsi="Times New Roman" w:cs="Times New Roman"/>
          <w:sz w:val="20"/>
          <w:szCs w:val="20"/>
          <w:lang w:val="uk-UA" w:eastAsia="ru-RU"/>
        </w:rPr>
        <w:t>агадує</w:t>
      </w:r>
      <w:r w:rsidRPr="00907108">
        <w:rPr>
          <w:rFonts w:ascii="Times New Roman" w:eastAsia="Times New Roman" w:hAnsi="Times New Roman" w:cs="Times New Roman"/>
          <w:sz w:val="20"/>
          <w:szCs w:val="20"/>
          <w:lang w:val="uk-UA" w:eastAsia="ru-RU"/>
        </w:rPr>
        <w:t>мо</w:t>
      </w:r>
      <w:r w:rsidR="00534B30" w:rsidRPr="00534B30">
        <w:rPr>
          <w:rFonts w:ascii="Times New Roman" w:eastAsia="Times New Roman" w:hAnsi="Times New Roman" w:cs="Times New Roman"/>
          <w:sz w:val="20"/>
          <w:szCs w:val="20"/>
          <w:lang w:val="uk-UA" w:eastAsia="ru-RU"/>
        </w:rPr>
        <w:t xml:space="preserve">, що з транспортного податку (далі – податок) податкові повідомлення-рішення (ППР) можуть бути скасовані (відкликані) на підставі: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заяви платника податку, поданої до контролюючого органу за місцем своєї реєстрації для проведення звірки даних щодо: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об’єктів оподаткування, що перебувають у власності платника податку;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розміру ставки податку;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нарахованої суми податку.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документів, що впливають на </w:t>
      </w:r>
      <w:proofErr w:type="spellStart"/>
      <w:r w:rsidRPr="00534B30">
        <w:rPr>
          <w:rFonts w:ascii="Times New Roman" w:eastAsia="Times New Roman" w:hAnsi="Times New Roman" w:cs="Times New Roman"/>
          <w:sz w:val="20"/>
          <w:szCs w:val="20"/>
          <w:lang w:val="uk-UA" w:eastAsia="ru-RU"/>
        </w:rPr>
        <w:t>середньоринкову</w:t>
      </w:r>
      <w:proofErr w:type="spellEnd"/>
      <w:r w:rsidRPr="00534B30">
        <w:rPr>
          <w:rFonts w:ascii="Times New Roman" w:eastAsia="Times New Roman" w:hAnsi="Times New Roman" w:cs="Times New Roman"/>
          <w:sz w:val="20"/>
          <w:szCs w:val="20"/>
          <w:lang w:val="uk-UA" w:eastAsia="ru-RU"/>
        </w:rPr>
        <w:t xml:space="preserve"> вартість легкового автомобіля), контролюючий орган за місцем реєстрації платника податку проводить протягом 10 робочих днів перерахунок суми транспортного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Норми визначені п. 5 глави дев’ятої розділу ІV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w:t>
      </w:r>
    </w:p>
    <w:p w:rsidR="00970055" w:rsidRPr="00907108" w:rsidRDefault="00970055" w:rsidP="007C6437">
      <w:pPr>
        <w:rPr>
          <w:rFonts w:ascii="Times New Roman" w:hAnsi="Times New Roman" w:cs="Times New Roman"/>
          <w:sz w:val="20"/>
          <w:szCs w:val="20"/>
          <w:lang w:val="uk-UA"/>
        </w:rPr>
      </w:pPr>
    </w:p>
    <w:p w:rsidR="00534B30" w:rsidRPr="00534B30" w:rsidRDefault="00534B30" w:rsidP="007C6437">
      <w:pPr>
        <w:outlineLvl w:val="0"/>
        <w:rPr>
          <w:rFonts w:ascii="Times New Roman" w:eastAsia="Times New Roman" w:hAnsi="Times New Roman" w:cs="Times New Roman"/>
          <w:b/>
          <w:bCs/>
          <w:kern w:val="36"/>
          <w:sz w:val="20"/>
          <w:szCs w:val="20"/>
          <w:lang w:val="uk-UA" w:eastAsia="ru-RU"/>
        </w:rPr>
      </w:pPr>
      <w:r w:rsidRPr="00534B30">
        <w:rPr>
          <w:rFonts w:ascii="Times New Roman" w:eastAsia="Times New Roman" w:hAnsi="Times New Roman" w:cs="Times New Roman"/>
          <w:b/>
          <w:bCs/>
          <w:kern w:val="36"/>
          <w:sz w:val="20"/>
          <w:szCs w:val="20"/>
          <w:lang w:val="uk-UA" w:eastAsia="ru-RU"/>
        </w:rPr>
        <w:t xml:space="preserve">Який розмір сум добових витрат на відрядження не включається до оподатковуваного доходу платника ПДФО </w:t>
      </w:r>
    </w:p>
    <w:p w:rsidR="00534B30" w:rsidRPr="00534B30"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Н</w:t>
      </w:r>
      <w:r w:rsidR="00534B30" w:rsidRPr="00534B30">
        <w:rPr>
          <w:rFonts w:ascii="Times New Roman" w:eastAsia="Times New Roman" w:hAnsi="Times New Roman" w:cs="Times New Roman"/>
          <w:sz w:val="20"/>
          <w:szCs w:val="20"/>
          <w:lang w:val="uk-UA" w:eastAsia="ru-RU"/>
        </w:rPr>
        <w:t>агадує</w:t>
      </w:r>
      <w:r w:rsidRPr="00907108">
        <w:rPr>
          <w:rFonts w:ascii="Times New Roman" w:eastAsia="Times New Roman" w:hAnsi="Times New Roman" w:cs="Times New Roman"/>
          <w:sz w:val="20"/>
          <w:szCs w:val="20"/>
          <w:lang w:val="uk-UA" w:eastAsia="ru-RU"/>
        </w:rPr>
        <w:t>мо</w:t>
      </w:r>
      <w:r w:rsidR="00534B30" w:rsidRPr="00534B30">
        <w:rPr>
          <w:rFonts w:ascii="Times New Roman" w:eastAsia="Times New Roman" w:hAnsi="Times New Roman" w:cs="Times New Roman"/>
          <w:sz w:val="20"/>
          <w:szCs w:val="20"/>
          <w:lang w:val="uk-UA" w:eastAsia="ru-RU"/>
        </w:rPr>
        <w:t xml:space="preserve">, що до оподатковуваного доходу податком на доходи фізичних осіб (далі – ПДФО) не включаються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плати, встановленої законом на    01 січня податкового (звітного) року, в розрахунку за кожен календарний день такого відрядження, а для відряджень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Норми встановлені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170.9.1 п. 170.9 ст. 170 Податкового кодексу України (далі – ПКУ).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Постановою Кабінетом Міністрів України від 2 лютого 2011 року № 73 «Про граничні норми добових витрат для відрядження членів екіпажів суден, інших транспортних засобів та суми, що спрямовуються на їх харчування замість добових витрат» із змінами окремо визначаються граничні норми добових для відрядження членів екіпажів суден/інших транспортних засобів або суми, що спрямовуються на харчування таких членів екіпажів замість добових, якщо такі судна (інші транспортні засоби):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lastRenderedPageBreak/>
        <w:t xml:space="preserve">► провадять комерційну, промислову, науково-пошукову чи риболовецьку діяльність за межами територіальних вод України;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виконують міжнародні рейси для провадження навігаційної діяльності чи перевезення пасажирів або вантажів за плату за межами повітряного або митного кордону України;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використовуються для проведення аварійно-рятувальних та пошуково-рятувальних робіт за межами митного кордону або територіальних вод України.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визначаються постановою Кабінетом Міністрів України від  02 лютого 2011 року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із змінами. Сума добових для таких категорій фізичних осіб не може перевищувати суму, встановлену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170.9.1 п. 170.9 ст. 170 ПКУ.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Сума добових визначається в разі відрядження: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у межах України та країн, в’їзд громадян України на територію яких не потребує наявності візи (дозволу на в’їзд), – згідно з наказом про відрядження та відповідними первинними документами;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до країн, в’їзд громадян України на територію яких здійснюється за наявності візи (дозволу на в’їзд), – згідно з наказом про відрядження за наявності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документів, що підтверджують фактичне перебування особи у відрядженні). </w:t>
      </w:r>
    </w:p>
    <w:p w:rsidR="00534B30" w:rsidRPr="00907108"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За відсутності зазначених відповідних підтвердних документів, сума добових включається до оподатковуваного доходу платника ПДФО. </w:t>
      </w:r>
    </w:p>
    <w:p w:rsidR="007C6437" w:rsidRPr="00534B30" w:rsidRDefault="007C6437" w:rsidP="007C6437">
      <w:pPr>
        <w:rPr>
          <w:rFonts w:ascii="Times New Roman" w:eastAsia="Times New Roman" w:hAnsi="Times New Roman" w:cs="Times New Roman"/>
          <w:sz w:val="20"/>
          <w:szCs w:val="20"/>
          <w:lang w:val="uk-UA" w:eastAsia="ru-RU"/>
        </w:rPr>
      </w:pPr>
    </w:p>
    <w:p w:rsidR="00534B30" w:rsidRPr="00534B30" w:rsidRDefault="00534B30" w:rsidP="007C6437">
      <w:pPr>
        <w:outlineLvl w:val="0"/>
        <w:rPr>
          <w:rFonts w:ascii="Times New Roman" w:eastAsia="Times New Roman" w:hAnsi="Times New Roman" w:cs="Times New Roman"/>
          <w:b/>
          <w:bCs/>
          <w:kern w:val="36"/>
          <w:sz w:val="20"/>
          <w:szCs w:val="20"/>
          <w:lang w:val="uk-UA" w:eastAsia="ru-RU"/>
        </w:rPr>
      </w:pPr>
      <w:r w:rsidRPr="00534B30">
        <w:rPr>
          <w:rFonts w:ascii="Times New Roman" w:eastAsia="Times New Roman" w:hAnsi="Times New Roman" w:cs="Times New Roman"/>
          <w:b/>
          <w:bCs/>
          <w:kern w:val="36"/>
          <w:sz w:val="20"/>
          <w:szCs w:val="20"/>
          <w:lang w:val="uk-UA" w:eastAsia="ru-RU"/>
        </w:rPr>
        <w:t>Одночасне використання води для виробничих потреб та для задоволення власних питних і санітарно-гігієнічних потреб:</w:t>
      </w:r>
      <w:r w:rsidR="007C6437" w:rsidRPr="00907108">
        <w:rPr>
          <w:rFonts w:ascii="Times New Roman" w:eastAsia="Times New Roman" w:hAnsi="Times New Roman" w:cs="Times New Roman"/>
          <w:b/>
          <w:bCs/>
          <w:kern w:val="36"/>
          <w:sz w:val="20"/>
          <w:szCs w:val="20"/>
          <w:lang w:val="uk-UA" w:eastAsia="ru-RU"/>
        </w:rPr>
        <w:t xml:space="preserve"> </w:t>
      </w:r>
      <w:r w:rsidRPr="00534B30">
        <w:rPr>
          <w:rFonts w:ascii="Times New Roman" w:eastAsia="Times New Roman" w:hAnsi="Times New Roman" w:cs="Times New Roman"/>
          <w:b/>
          <w:bCs/>
          <w:kern w:val="36"/>
          <w:sz w:val="20"/>
          <w:szCs w:val="20"/>
          <w:lang w:val="uk-UA" w:eastAsia="ru-RU"/>
        </w:rPr>
        <w:t xml:space="preserve">що з рентною платою за воду? </w:t>
      </w:r>
    </w:p>
    <w:p w:rsidR="00534B30" w:rsidRPr="00534B30"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В</w:t>
      </w:r>
      <w:r w:rsidR="00534B30" w:rsidRPr="00534B30">
        <w:rPr>
          <w:rFonts w:ascii="Times New Roman" w:eastAsia="Times New Roman" w:hAnsi="Times New Roman" w:cs="Times New Roman"/>
          <w:sz w:val="20"/>
          <w:szCs w:val="20"/>
          <w:lang w:val="uk-UA" w:eastAsia="ru-RU"/>
        </w:rPr>
        <w:t xml:space="preserve">ідповідно до п. 255.1 ст. 255 Податкового кодексу України (далі – ПКУ) платниками рентної плати за спеціальне використання води, зокрема, є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Рентна плата за спеціальне використання води обчислюється виходячи з фактичних обсягів використаної води (підземної, поверхневої) водних об’єктів, встановлених у дозволі на спеціальне водокористування, лімітів використання води, ставок рентної плати та коефіцієнтів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255.11.2 п. 255.11 ст. 255 ПКУ).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Об’єктом оподаткування рентною платою за спеціальне використання води є фактичний обсяг води, який використовують водокористувачі (п. 255.3 ст. 255 ПКУ).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При цьому відповідно до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255.4.1 п. 255.4 ст. 255 ПКУ рентна плата за спеціальне використання води не справляється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Форма податкової декларації з рентної плати (далі – Декларація) та додатки (розрахунки) до неї затверджені наказом Міністерства фінансів України від 17.08.2015 № 719 зі змінами та доповненнями. Додатки є невід’ємною частиною Декларації.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Зокрема у додатку 5 до Декларації здійснюється розрахунок податкових зобов’язань з рентної плати за спеціальне використання води (далі – додаток 5).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Отже, первинний водокористувач, який має дозвіл на спеціальне водокористування та використовує воду одночасно для виробничих потреб (у тому числі виготовлення напоїв) та для задоволення власних питних і санітарно-гігієнічних потреб обчислює рентну плату за спеціальне використання води за фактичний обсяг води, який вилучено з водного об’єкта, шляхом складання по кожному напрямку використання води окремого додатка 5, а саме: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за обсяги води, що використані первинним водокористувачем для виробничих потреб та для задоволення власних питних і санітарно-гігієнічних потреб із застосуванням ставок для відповідного водного об’єкта, визначених підпунктами 255.5.1 та 255.5.2 п. 255.5 ст. 255 ПКУ;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 за обсяги води, що використані первинним водокористувачем для виготовлення напоїв із застосуванням ставок, визначених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255.5.6 п. 255.5 ст. 255 ПКУ – за воду, що входить виключно до складу напоїв.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Нагадуємо: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255.11.1 п. 255.11 ст. 255 ПКУ передбачено, що водокористувачі самостійно обчислюють рентну плату щокварталу наростаючим підсумком з початку року. </w:t>
      </w:r>
    </w:p>
    <w:p w:rsidR="00534B30" w:rsidRPr="00907108"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Сума податкових зобов’язань з рентної плати, визначена у податковій Декларації за податковий (звітний) квартал, сплачується платником рентної плати до бюджету протягом 10 календарних днів після закінчення граничного строку подання такої податкової Декларації (п. 257.5 ст. 257 ПКУ). </w:t>
      </w:r>
    </w:p>
    <w:p w:rsidR="007C6437" w:rsidRPr="00534B30" w:rsidRDefault="007C6437" w:rsidP="007C6437">
      <w:pPr>
        <w:rPr>
          <w:rFonts w:ascii="Times New Roman" w:eastAsia="Times New Roman" w:hAnsi="Times New Roman" w:cs="Times New Roman"/>
          <w:sz w:val="20"/>
          <w:szCs w:val="20"/>
          <w:lang w:val="uk-UA" w:eastAsia="ru-RU"/>
        </w:rPr>
      </w:pPr>
    </w:p>
    <w:p w:rsidR="00534B30" w:rsidRPr="00534B30" w:rsidRDefault="00534B30" w:rsidP="007C6437">
      <w:pPr>
        <w:outlineLvl w:val="0"/>
        <w:rPr>
          <w:rFonts w:ascii="Times New Roman" w:eastAsia="Times New Roman" w:hAnsi="Times New Roman" w:cs="Times New Roman"/>
          <w:b/>
          <w:bCs/>
          <w:kern w:val="36"/>
          <w:sz w:val="20"/>
          <w:szCs w:val="20"/>
          <w:lang w:val="uk-UA" w:eastAsia="ru-RU"/>
        </w:rPr>
      </w:pPr>
      <w:r w:rsidRPr="00534B30">
        <w:rPr>
          <w:rFonts w:ascii="Times New Roman" w:eastAsia="Times New Roman" w:hAnsi="Times New Roman" w:cs="Times New Roman"/>
          <w:b/>
          <w:bCs/>
          <w:kern w:val="36"/>
          <w:sz w:val="20"/>
          <w:szCs w:val="20"/>
          <w:lang w:val="uk-UA" w:eastAsia="ru-RU"/>
        </w:rPr>
        <w:t xml:space="preserve">До уваги платників єдиного податку другої або третьої груп, які є власниками земельних ділянок або постійними землекористувачами!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зміни, зокрема до </w:t>
      </w:r>
      <w:proofErr w:type="spellStart"/>
      <w:r w:rsidRPr="00534B30">
        <w:rPr>
          <w:rFonts w:ascii="Times New Roman" w:eastAsia="Times New Roman" w:hAnsi="Times New Roman" w:cs="Times New Roman"/>
          <w:sz w:val="20"/>
          <w:szCs w:val="20"/>
          <w:lang w:val="uk-UA" w:eastAsia="ru-RU"/>
        </w:rPr>
        <w:t>п.п</w:t>
      </w:r>
      <w:proofErr w:type="spellEnd"/>
      <w:r w:rsidRPr="00534B30">
        <w:rPr>
          <w:rFonts w:ascii="Times New Roman" w:eastAsia="Times New Roman" w:hAnsi="Times New Roman" w:cs="Times New Roman"/>
          <w:sz w:val="20"/>
          <w:szCs w:val="20"/>
          <w:lang w:val="uk-UA" w:eastAsia="ru-RU"/>
        </w:rPr>
        <w:t xml:space="preserve">. 4 п. 297.1 ст. 297 Податкового кодексу України (далі – ПКУ), згідно з якими з 01 липня поточного року платники єдиного податку звільняються від обов’язку нарахування, сплати та подання податкової звітності з податку на майно у частині земельного податку за земельні ділянки, що використовуються платниками </w:t>
      </w:r>
      <w:r w:rsidRPr="00534B30">
        <w:rPr>
          <w:rFonts w:ascii="Times New Roman" w:eastAsia="Times New Roman" w:hAnsi="Times New Roman" w:cs="Times New Roman"/>
          <w:sz w:val="20"/>
          <w:szCs w:val="20"/>
          <w:lang w:val="uk-UA" w:eastAsia="ru-RU"/>
        </w:rPr>
        <w:lastRenderedPageBreak/>
        <w:t xml:space="preserve">єдиного податку першої – третьої груп для провадження господарської діяльності </w:t>
      </w:r>
      <w:r w:rsidRPr="00907108">
        <w:rPr>
          <w:rFonts w:ascii="Times New Roman" w:eastAsia="Times New Roman" w:hAnsi="Times New Roman" w:cs="Times New Roman"/>
          <w:i/>
          <w:iCs/>
          <w:sz w:val="20"/>
          <w:szCs w:val="20"/>
          <w:lang w:val="uk-UA" w:eastAsia="ru-RU"/>
        </w:rPr>
        <w:t>(крім діяльності з надання земельних ділянок та/або нерухомого майна, що знаходиться на таких земельних ділянках, в оренду (найм, позичку))</w:t>
      </w:r>
      <w:r w:rsidRPr="00534B30">
        <w:rPr>
          <w:rFonts w:ascii="Times New Roman" w:eastAsia="Times New Roman" w:hAnsi="Times New Roman" w:cs="Times New Roman"/>
          <w:sz w:val="20"/>
          <w:szCs w:val="20"/>
          <w:lang w:val="uk-UA" w:eastAsia="ru-RU"/>
        </w:rPr>
        <w:t xml:space="preserve">.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Отже, суб’єкти господарювання – платники єдиного податку другої або третьої груп (далі – платники єдиного податку), що є власниками земельних ділянок або постійними землекористувачами, з 01.07.2020 є платниками земельного податку у разі здійснення ними діяльності з надання земельних ділянок та/або нерухомого майна, що знаходиться на таких земельних ділянках, в оренду (найм, позичку), у тому числі якщо надання в оренду нерухомого майна є одним із видів діяльності або основним.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Такі платники єдиного податку самостійно обчислюють суму земельного податку за 2020 рік (з 01 липня по 31 грудня) з розбивкою річної суми рівними частинами за місяцями (липень – грудень) та подать з 01 по 20 серпня 2020 року (включно) до контролюючого органу за місцезнаходженням земельної ділянки податкову декларацію з плати за землю (земельний податок та/або орендна плата за земельні ділянки державної або комунальної власності) (далі – Декларація) з позначкою </w:t>
      </w:r>
      <w:r w:rsidRPr="00907108">
        <w:rPr>
          <w:rFonts w:ascii="Times New Roman" w:eastAsia="Times New Roman" w:hAnsi="Times New Roman" w:cs="Times New Roman"/>
          <w:i/>
          <w:iCs/>
          <w:sz w:val="20"/>
          <w:szCs w:val="20"/>
          <w:lang w:val="uk-UA" w:eastAsia="ru-RU"/>
        </w:rPr>
        <w:t>«Земельний податок»</w:t>
      </w:r>
      <w:r w:rsidRPr="00534B30">
        <w:rPr>
          <w:rFonts w:ascii="Times New Roman" w:eastAsia="Times New Roman" w:hAnsi="Times New Roman" w:cs="Times New Roman"/>
          <w:sz w:val="20"/>
          <w:szCs w:val="20"/>
          <w:lang w:val="uk-UA" w:eastAsia="ru-RU"/>
        </w:rPr>
        <w:t xml:space="preserve">, з типом </w:t>
      </w:r>
      <w:r w:rsidRPr="00907108">
        <w:rPr>
          <w:rFonts w:ascii="Times New Roman" w:eastAsia="Times New Roman" w:hAnsi="Times New Roman" w:cs="Times New Roman"/>
          <w:i/>
          <w:iCs/>
          <w:sz w:val="20"/>
          <w:szCs w:val="20"/>
          <w:lang w:val="uk-UA" w:eastAsia="ru-RU"/>
        </w:rPr>
        <w:t>«Звітна»</w:t>
      </w:r>
      <w:r w:rsidRPr="00534B30">
        <w:rPr>
          <w:rFonts w:ascii="Times New Roman" w:eastAsia="Times New Roman" w:hAnsi="Times New Roman" w:cs="Times New Roman"/>
          <w:sz w:val="20"/>
          <w:szCs w:val="20"/>
          <w:lang w:val="uk-UA" w:eastAsia="ru-RU"/>
        </w:rPr>
        <w:t xml:space="preserve">, заповненням графи </w:t>
      </w:r>
      <w:r w:rsidRPr="00907108">
        <w:rPr>
          <w:rFonts w:ascii="Times New Roman" w:eastAsia="Times New Roman" w:hAnsi="Times New Roman" w:cs="Times New Roman"/>
          <w:i/>
          <w:iCs/>
          <w:sz w:val="20"/>
          <w:szCs w:val="20"/>
          <w:lang w:val="uk-UA" w:eastAsia="ru-RU"/>
        </w:rPr>
        <w:t>«починаючи з»</w:t>
      </w:r>
      <w:r w:rsidRPr="00534B30">
        <w:rPr>
          <w:rFonts w:ascii="Times New Roman" w:eastAsia="Times New Roman" w:hAnsi="Times New Roman" w:cs="Times New Roman"/>
          <w:sz w:val="20"/>
          <w:szCs w:val="20"/>
          <w:lang w:val="uk-UA" w:eastAsia="ru-RU"/>
        </w:rPr>
        <w:t xml:space="preserve">, в якій вказується число – 01 і місяць – 07, за умови, що ними не подавалися Декларації за 2020 рік.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При цьому платники єдиного податку, які з 01.07.2020 стали платниками земельного податку, мають право подавати Декларації щомісячно з типом </w:t>
      </w:r>
      <w:r w:rsidRPr="00907108">
        <w:rPr>
          <w:rFonts w:ascii="Times New Roman" w:eastAsia="Times New Roman" w:hAnsi="Times New Roman" w:cs="Times New Roman"/>
          <w:i/>
          <w:iCs/>
          <w:sz w:val="20"/>
          <w:szCs w:val="20"/>
          <w:lang w:val="uk-UA" w:eastAsia="ru-RU"/>
        </w:rPr>
        <w:t>«Звітна»</w:t>
      </w:r>
      <w:r w:rsidRPr="00534B30">
        <w:rPr>
          <w:rFonts w:ascii="Times New Roman" w:eastAsia="Times New Roman" w:hAnsi="Times New Roman" w:cs="Times New Roman"/>
          <w:sz w:val="20"/>
          <w:szCs w:val="20"/>
          <w:lang w:val="uk-UA" w:eastAsia="ru-RU"/>
        </w:rPr>
        <w:t xml:space="preserve"> – протягом 20 календарних днів після закінчення звітного місяця, для яких перший звітний місяць – </w:t>
      </w:r>
      <w:r w:rsidRPr="00907108">
        <w:rPr>
          <w:rFonts w:ascii="Times New Roman" w:eastAsia="Times New Roman" w:hAnsi="Times New Roman" w:cs="Times New Roman"/>
          <w:i/>
          <w:iCs/>
          <w:sz w:val="20"/>
          <w:szCs w:val="20"/>
          <w:lang w:val="uk-UA" w:eastAsia="ru-RU"/>
        </w:rPr>
        <w:t>«липень»</w:t>
      </w:r>
      <w:r w:rsidRPr="00534B30">
        <w:rPr>
          <w:rFonts w:ascii="Times New Roman" w:eastAsia="Times New Roman" w:hAnsi="Times New Roman" w:cs="Times New Roman"/>
          <w:sz w:val="20"/>
          <w:szCs w:val="20"/>
          <w:lang w:val="uk-UA" w:eastAsia="ru-RU"/>
        </w:rPr>
        <w:t xml:space="preserve">.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Крім того, Декларація з позначкою </w:t>
      </w:r>
      <w:r w:rsidRPr="00907108">
        <w:rPr>
          <w:rFonts w:ascii="Times New Roman" w:eastAsia="Times New Roman" w:hAnsi="Times New Roman" w:cs="Times New Roman"/>
          <w:i/>
          <w:iCs/>
          <w:sz w:val="20"/>
          <w:szCs w:val="20"/>
          <w:lang w:val="uk-UA" w:eastAsia="ru-RU"/>
        </w:rPr>
        <w:t>«Земельний податок»</w:t>
      </w:r>
      <w:r w:rsidRPr="00534B30">
        <w:rPr>
          <w:rFonts w:ascii="Times New Roman" w:eastAsia="Times New Roman" w:hAnsi="Times New Roman" w:cs="Times New Roman"/>
          <w:sz w:val="20"/>
          <w:szCs w:val="20"/>
          <w:lang w:val="uk-UA" w:eastAsia="ru-RU"/>
        </w:rPr>
        <w:t xml:space="preserve">, з типом </w:t>
      </w:r>
      <w:r w:rsidRPr="00907108">
        <w:rPr>
          <w:rFonts w:ascii="Times New Roman" w:eastAsia="Times New Roman" w:hAnsi="Times New Roman" w:cs="Times New Roman"/>
          <w:i/>
          <w:iCs/>
          <w:sz w:val="20"/>
          <w:szCs w:val="20"/>
          <w:lang w:val="uk-UA" w:eastAsia="ru-RU"/>
        </w:rPr>
        <w:t>«Уточнююча»</w:t>
      </w:r>
      <w:r w:rsidRPr="00534B30">
        <w:rPr>
          <w:rFonts w:ascii="Times New Roman" w:eastAsia="Times New Roman" w:hAnsi="Times New Roman" w:cs="Times New Roman"/>
          <w:sz w:val="20"/>
          <w:szCs w:val="20"/>
          <w:lang w:val="uk-UA" w:eastAsia="ru-RU"/>
        </w:rPr>
        <w:t xml:space="preserve">, з заповненням графи </w:t>
      </w:r>
      <w:r w:rsidRPr="00907108">
        <w:rPr>
          <w:rFonts w:ascii="Times New Roman" w:eastAsia="Times New Roman" w:hAnsi="Times New Roman" w:cs="Times New Roman"/>
          <w:i/>
          <w:iCs/>
          <w:sz w:val="20"/>
          <w:szCs w:val="20"/>
          <w:lang w:val="uk-UA" w:eastAsia="ru-RU"/>
        </w:rPr>
        <w:t>«з урахуванням уточнень з»</w:t>
      </w:r>
      <w:r w:rsidRPr="00534B30">
        <w:rPr>
          <w:rFonts w:ascii="Times New Roman" w:eastAsia="Times New Roman" w:hAnsi="Times New Roman" w:cs="Times New Roman"/>
          <w:sz w:val="20"/>
          <w:szCs w:val="20"/>
          <w:lang w:val="uk-UA" w:eastAsia="ru-RU"/>
        </w:rPr>
        <w:t xml:space="preserve">, в якій вказується число – 01 і місяць – 07, подається у разі, якщо платник єдиного податку до 01 липня був платником земельного податку та подавав до контролюючого органу у 2020 році Декларацію з типом </w:t>
      </w:r>
      <w:r w:rsidRPr="00907108">
        <w:rPr>
          <w:rFonts w:ascii="Times New Roman" w:eastAsia="Times New Roman" w:hAnsi="Times New Roman" w:cs="Times New Roman"/>
          <w:i/>
          <w:iCs/>
          <w:sz w:val="20"/>
          <w:szCs w:val="20"/>
          <w:lang w:val="uk-UA" w:eastAsia="ru-RU"/>
        </w:rPr>
        <w:t>«Звітна»</w:t>
      </w:r>
      <w:r w:rsidRPr="00534B30">
        <w:rPr>
          <w:rFonts w:ascii="Times New Roman" w:eastAsia="Times New Roman" w:hAnsi="Times New Roman" w:cs="Times New Roman"/>
          <w:sz w:val="20"/>
          <w:szCs w:val="20"/>
          <w:lang w:val="uk-UA" w:eastAsia="ru-RU"/>
        </w:rPr>
        <w:t xml:space="preserve">. </w:t>
      </w:r>
    </w:p>
    <w:p w:rsidR="00534B30" w:rsidRPr="00534B30"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Слід зазначити, що фізичні – особи – підприємці – платники єдиного податку подають Декларацію, якщо право власності на земельну ділянку, право постійного користування оформлено на фізичну особу – підприємця. </w:t>
      </w:r>
    </w:p>
    <w:p w:rsidR="00534B30" w:rsidRPr="00907108" w:rsidRDefault="00534B30" w:rsidP="007C6437">
      <w:pPr>
        <w:rPr>
          <w:rFonts w:ascii="Times New Roman" w:eastAsia="Times New Roman" w:hAnsi="Times New Roman" w:cs="Times New Roman"/>
          <w:sz w:val="20"/>
          <w:szCs w:val="20"/>
          <w:lang w:val="uk-UA" w:eastAsia="ru-RU"/>
        </w:rPr>
      </w:pPr>
      <w:r w:rsidRPr="00534B30">
        <w:rPr>
          <w:rFonts w:ascii="Times New Roman" w:eastAsia="Times New Roman" w:hAnsi="Times New Roman" w:cs="Times New Roman"/>
          <w:sz w:val="20"/>
          <w:szCs w:val="20"/>
          <w:lang w:val="uk-UA" w:eastAsia="ru-RU"/>
        </w:rPr>
        <w:t xml:space="preserve">Якщо право власності на земельну ділянку або право постійного користування оформлене на фізичну особу, яка зареєстрована фізичною особою – підприємцем – платником єдиного податку, та здійснює діяльність з надання таких земельних ділянок та/або нерухомого майна, що знаходиться на таких земельних ділянках, в оренду (найм, позичку), то нарахування сум земельного податку відповідно до п. 286.5 ст. 286 ПКУ здійснюється контролюючим органом (за місцем знаходження земельної ділянки), який надсилає (вручає) фізичній особі за місцем його реєстрації до 01 липня поточного року податкове повідомлення-рішення про внесення земельного податку. </w:t>
      </w:r>
    </w:p>
    <w:p w:rsidR="007C6437" w:rsidRPr="00534B30" w:rsidRDefault="007C6437" w:rsidP="007C6437">
      <w:pPr>
        <w:rPr>
          <w:rFonts w:ascii="Times New Roman" w:eastAsia="Times New Roman" w:hAnsi="Times New Roman" w:cs="Times New Roman"/>
          <w:sz w:val="20"/>
          <w:szCs w:val="20"/>
          <w:lang w:val="uk-UA" w:eastAsia="ru-RU"/>
        </w:rPr>
      </w:pPr>
    </w:p>
    <w:p w:rsidR="00534B30" w:rsidRPr="00907108" w:rsidRDefault="00534B30" w:rsidP="007C6437">
      <w:pPr>
        <w:pStyle w:val="1"/>
        <w:spacing w:before="0" w:beforeAutospacing="0" w:after="0" w:afterAutospacing="0"/>
        <w:jc w:val="both"/>
        <w:rPr>
          <w:sz w:val="20"/>
          <w:szCs w:val="20"/>
          <w:lang w:val="uk-UA"/>
        </w:rPr>
      </w:pPr>
      <w:r w:rsidRPr="00907108">
        <w:rPr>
          <w:sz w:val="20"/>
          <w:szCs w:val="20"/>
          <w:lang w:val="uk-UA"/>
        </w:rPr>
        <w:t xml:space="preserve">Порядок інформаційної взаємодії органів ДПС та банків у процесі передачі інкасових доручень (розпоряджень) в електронній формі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Міністерства фінансів України від 18.05.2020 № 217 затверджено Порядок інформаційної взаємодії органів Державної податкової служби України та банків у процесі передачі інкасових доручень (розпоряджень) в електронній формі, який набирає чинності 31 січня 2021 року.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Наказ № 217 опубліковано в Офіційному віснику України від 31.07.2020 № 59 та </w:t>
      </w:r>
      <w:proofErr w:type="spellStart"/>
      <w:r w:rsidRPr="00907108">
        <w:rPr>
          <w:sz w:val="20"/>
          <w:szCs w:val="20"/>
          <w:lang w:val="uk-UA"/>
        </w:rPr>
        <w:t>оприлюднено</w:t>
      </w:r>
      <w:proofErr w:type="spellEnd"/>
      <w:r w:rsidRPr="00907108">
        <w:rPr>
          <w:sz w:val="20"/>
          <w:szCs w:val="20"/>
          <w:lang w:val="uk-UA"/>
        </w:rPr>
        <w:t xml:space="preserve"> на офіційному </w:t>
      </w:r>
      <w:proofErr w:type="spellStart"/>
      <w:r w:rsidRPr="00907108">
        <w:rPr>
          <w:sz w:val="20"/>
          <w:szCs w:val="20"/>
          <w:lang w:val="uk-UA"/>
        </w:rPr>
        <w:t>вебпорталі</w:t>
      </w:r>
      <w:proofErr w:type="spellEnd"/>
      <w:r w:rsidRPr="00907108">
        <w:rPr>
          <w:sz w:val="20"/>
          <w:szCs w:val="20"/>
          <w:lang w:val="uk-UA"/>
        </w:rPr>
        <w:t xml:space="preserve"> ДПС за посиланням:  </w:t>
      </w:r>
      <w:hyperlink r:id="rId5" w:history="1">
        <w:r w:rsidRPr="00907108">
          <w:rPr>
            <w:rStyle w:val="a8"/>
            <w:sz w:val="20"/>
            <w:szCs w:val="20"/>
            <w:lang w:val="uk-UA"/>
          </w:rPr>
          <w:t>https://tax.gov.ua/zakonodavstvo/podatkove-zakonodavstvo/nakazi/74694.html</w:t>
        </w:r>
      </w:hyperlink>
      <w:r w:rsidRPr="00907108">
        <w:rPr>
          <w:sz w:val="20"/>
          <w:szCs w:val="20"/>
          <w:lang w:val="uk-UA"/>
        </w:rPr>
        <w:t xml:space="preserve">.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Документ врегульовує механізм інформаційної взаємодії при формуванні органами ДПС інкасових доручень (розпоряджень) в електронній формі, перевірці таких інкасових доручень (розпоряджень) Казначейством та/або його територіальними органами, їх транспортуванні до банків платників з використанням телекомунікаційних мереж з дотриманням вимог законів щодо електронного документообігу та електронних довірчих послуг, а також при виконанні (частковому виконанні) або невиконанні банками платників таких документів тощо.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Запровадження такої інформаційної взаємодії дозволить оптимізувати процедуру доставки електронних інкасових доручень (розпоряджень) до банків платників, підвищити ефективність використання робочого часу державних службовців, а також зменшити витрати бюджетних коштів та часу, необхідних на доставку відповідних документів у паперовому вигляді.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Для забезпечення своєчасної реалізації норм наказу № 217 повідомляємо про необхідність проведення робіт, пов’язаних зі створенням (доопрацюванням) зацікавленими сторонами власних програмних продуктів, що будуть використовуватись у визначеній інформаційній взаємодії.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Формати (стандарти) електронних документів та схеми їх контролю розміщено на офіційному </w:t>
      </w:r>
      <w:proofErr w:type="spellStart"/>
      <w:r w:rsidRPr="00907108">
        <w:rPr>
          <w:sz w:val="20"/>
          <w:szCs w:val="20"/>
          <w:lang w:val="uk-UA"/>
        </w:rPr>
        <w:t>вебпорталі</w:t>
      </w:r>
      <w:proofErr w:type="spellEnd"/>
      <w:r w:rsidRPr="00907108">
        <w:rPr>
          <w:sz w:val="20"/>
          <w:szCs w:val="20"/>
          <w:lang w:val="uk-UA"/>
        </w:rPr>
        <w:t xml:space="preserve"> ДПС за посиланням: </w:t>
      </w:r>
    </w:p>
    <w:p w:rsidR="00534B30" w:rsidRPr="00907108" w:rsidRDefault="00534B30" w:rsidP="007C6437">
      <w:pPr>
        <w:pStyle w:val="a6"/>
        <w:spacing w:before="0" w:beforeAutospacing="0" w:after="0" w:afterAutospacing="0"/>
        <w:jc w:val="both"/>
        <w:rPr>
          <w:sz w:val="20"/>
          <w:szCs w:val="20"/>
          <w:lang w:val="uk-UA"/>
        </w:rPr>
      </w:pPr>
      <w:hyperlink r:id="rId6" w:history="1">
        <w:r w:rsidRPr="00907108">
          <w:rPr>
            <w:rStyle w:val="a8"/>
            <w:sz w:val="20"/>
            <w:szCs w:val="20"/>
            <w:lang w:val="uk-UA"/>
          </w:rPr>
          <w:t>https://tax.gov.ua/elektronna-zvitnist/platnikam-podatkiv-pro/informatsiyno-analitichne-za/reestr-elektronnih-form-po/</w:t>
        </w:r>
      </w:hyperlink>
      <w:r w:rsidRPr="00907108">
        <w:rPr>
          <w:sz w:val="20"/>
          <w:szCs w:val="20"/>
          <w:lang w:val="uk-UA"/>
        </w:rPr>
        <w:t xml:space="preserve">.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Також повідомляємо, що списання банком коштів з рахунків платників податків/суб’єктів господарювання, які мають податковий борг, здійснюється відповідно до глави 11 Інструкції про безготівкові розрахунки в Україні в національній валюті, затвердженої постановою Правління Національного банку України від 21.01.2004 № 22, зареєстрованої у Міністерстві юстиції України 29.03.2004 за № 377/8976 (зі змінами). </w:t>
      </w:r>
    </w:p>
    <w:p w:rsidR="00534B30" w:rsidRPr="00907108" w:rsidRDefault="00534B30" w:rsidP="007C6437">
      <w:pPr>
        <w:pStyle w:val="a6"/>
        <w:spacing w:before="0" w:beforeAutospacing="0" w:after="0" w:afterAutospacing="0"/>
        <w:jc w:val="both"/>
        <w:rPr>
          <w:sz w:val="20"/>
          <w:szCs w:val="20"/>
          <w:lang w:val="uk-UA"/>
        </w:rPr>
      </w:pPr>
      <w:r w:rsidRPr="00907108">
        <w:rPr>
          <w:sz w:val="20"/>
          <w:szCs w:val="20"/>
          <w:lang w:val="uk-UA"/>
        </w:rPr>
        <w:t xml:space="preserve">Інформацію розміщено на офіційному </w:t>
      </w:r>
      <w:proofErr w:type="spellStart"/>
      <w:r w:rsidRPr="00907108">
        <w:rPr>
          <w:sz w:val="20"/>
          <w:szCs w:val="20"/>
          <w:lang w:val="uk-UA"/>
        </w:rPr>
        <w:t>вебпорталі</w:t>
      </w:r>
      <w:proofErr w:type="spellEnd"/>
      <w:r w:rsidRPr="00907108">
        <w:rPr>
          <w:sz w:val="20"/>
          <w:szCs w:val="20"/>
          <w:lang w:val="uk-UA"/>
        </w:rPr>
        <w:t xml:space="preserve"> ДПС України за посиланням: </w:t>
      </w:r>
      <w:hyperlink r:id="rId7" w:history="1">
        <w:r w:rsidRPr="00907108">
          <w:rPr>
            <w:rStyle w:val="a8"/>
            <w:sz w:val="20"/>
            <w:szCs w:val="20"/>
            <w:lang w:val="uk-UA"/>
          </w:rPr>
          <w:t>https://tax.gov.ua/media-tsentr/novini/430857.html</w:t>
        </w:r>
      </w:hyperlink>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p>
    <w:p w:rsidR="007C6437" w:rsidRPr="00907108" w:rsidRDefault="007C6437" w:rsidP="007C6437">
      <w:pPr>
        <w:pStyle w:val="a6"/>
        <w:spacing w:before="0" w:beforeAutospacing="0" w:after="0" w:afterAutospacing="0"/>
        <w:jc w:val="both"/>
        <w:rPr>
          <w:b/>
          <w:sz w:val="20"/>
          <w:szCs w:val="20"/>
          <w:lang w:val="uk-UA"/>
        </w:rPr>
      </w:pPr>
      <w:r w:rsidRPr="00907108">
        <w:rPr>
          <w:b/>
          <w:sz w:val="20"/>
          <w:szCs w:val="20"/>
          <w:lang w:val="uk-UA"/>
        </w:rPr>
        <w:t>26.08.2020</w:t>
      </w:r>
    </w:p>
    <w:p w:rsidR="007C6437" w:rsidRPr="00907108" w:rsidRDefault="007C6437" w:rsidP="007C6437">
      <w:pPr>
        <w:pStyle w:val="a6"/>
        <w:spacing w:before="0" w:beforeAutospacing="0" w:after="0" w:afterAutospacing="0"/>
        <w:jc w:val="both"/>
        <w:rPr>
          <w:b/>
          <w:sz w:val="20"/>
          <w:szCs w:val="20"/>
          <w:lang w:val="uk-UA"/>
        </w:rPr>
      </w:pPr>
    </w:p>
    <w:p w:rsidR="007C6437" w:rsidRPr="00907108" w:rsidRDefault="007C6437" w:rsidP="007C6437">
      <w:pPr>
        <w:pStyle w:val="1"/>
        <w:spacing w:before="0" w:beforeAutospacing="0" w:after="0" w:afterAutospacing="0"/>
        <w:jc w:val="both"/>
        <w:rPr>
          <w:sz w:val="20"/>
          <w:szCs w:val="20"/>
          <w:lang w:val="uk-UA"/>
        </w:rPr>
      </w:pPr>
      <w:r w:rsidRPr="00907108">
        <w:rPr>
          <w:sz w:val="20"/>
          <w:szCs w:val="20"/>
          <w:lang w:val="uk-UA"/>
        </w:rPr>
        <w:t xml:space="preserve">Податкова знижка: визначення граничних сум витрат на сплату страхових внесків за наслідками 2019 року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Н</w:t>
      </w:r>
      <w:r w:rsidRPr="007C6437">
        <w:rPr>
          <w:rFonts w:ascii="Times New Roman" w:eastAsia="Times New Roman" w:hAnsi="Times New Roman" w:cs="Times New Roman"/>
          <w:sz w:val="20"/>
          <w:szCs w:val="20"/>
          <w:lang w:val="uk-UA" w:eastAsia="ru-RU"/>
        </w:rPr>
        <w:t>агадує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порядок застосування фізичною особою – платником податку на доходи фізичних осіб (далі – ПДФО) права на податкову знижку передбачений ст. 166 Податкового кодексу України (далі –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Платник ПДФО має право включити до податкової знижки у зменшення оподатковуваного доходу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перелік яких визначено у п. 166.3 ст. 166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Підпунктом 166.3.5 п. 166.3 ст. 166 ПКУ передбачено, що платник ПДФО має право включити до податкової знижки, зокрема, суму витрат на сплату страхових платежів (страхових внесків, страхових премій) та пенсійних внесків, сплачених платником ПДФО страховику-резиденту, недержавному пенсійному фонду, банківській установі за </w:t>
      </w:r>
      <w:r w:rsidRPr="007C6437">
        <w:rPr>
          <w:rFonts w:ascii="Times New Roman" w:eastAsia="Times New Roman" w:hAnsi="Times New Roman" w:cs="Times New Roman"/>
          <w:sz w:val="20"/>
          <w:szCs w:val="20"/>
          <w:lang w:val="uk-UA" w:eastAsia="ru-RU"/>
        </w:rPr>
        <w:lastRenderedPageBreak/>
        <w:t xml:space="preserve">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депозитний рахунок, на пенсійні вклади та рахунки учасників фондів банківського управління як такого платника ПДФО,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а) при страхуванні платника ПДФО або за пенсійним контрактом з недержавним пенсійним фондом платника ПДФО,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169.4.1 п. 169.4 ст. 169 ПКУ (у 2019 році: 1921 </w:t>
      </w:r>
      <w:proofErr w:type="spellStart"/>
      <w:r w:rsidRPr="007C6437">
        <w:rPr>
          <w:rFonts w:ascii="Times New Roman" w:eastAsia="Times New Roman" w:hAnsi="Times New Roman" w:cs="Times New Roman"/>
          <w:sz w:val="20"/>
          <w:szCs w:val="20"/>
          <w:lang w:val="uk-UA" w:eastAsia="ru-RU"/>
        </w:rPr>
        <w:t>грн</w:t>
      </w:r>
      <w:proofErr w:type="spellEnd"/>
      <w:r w:rsidRPr="007C6437">
        <w:rPr>
          <w:rFonts w:ascii="Times New Roman" w:eastAsia="Times New Roman" w:hAnsi="Times New Roman" w:cs="Times New Roman"/>
          <w:sz w:val="20"/>
          <w:szCs w:val="20"/>
          <w:lang w:val="uk-UA" w:eastAsia="ru-RU"/>
        </w:rPr>
        <w:t xml:space="preserve"> х 1,4 = 2690 гривень);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 при страхуванні члена сім’ї платника ПДФО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 суми, визначеної в абзаці першому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169.4.1 п. 169.4 ст. 169 ПКУ, в розрахунку на кожного застрахованого члена сім’ї (у 2019 році: 1921 </w:t>
      </w:r>
      <w:proofErr w:type="spellStart"/>
      <w:r w:rsidRPr="007C6437">
        <w:rPr>
          <w:rFonts w:ascii="Times New Roman" w:eastAsia="Times New Roman" w:hAnsi="Times New Roman" w:cs="Times New Roman"/>
          <w:sz w:val="20"/>
          <w:szCs w:val="20"/>
          <w:lang w:val="uk-UA" w:eastAsia="ru-RU"/>
        </w:rPr>
        <w:t>грн</w:t>
      </w:r>
      <w:proofErr w:type="spellEnd"/>
      <w:r w:rsidRPr="007C6437">
        <w:rPr>
          <w:rFonts w:ascii="Times New Roman" w:eastAsia="Times New Roman" w:hAnsi="Times New Roman" w:cs="Times New Roman"/>
          <w:sz w:val="20"/>
          <w:szCs w:val="20"/>
          <w:lang w:val="uk-UA" w:eastAsia="ru-RU"/>
        </w:rPr>
        <w:t xml:space="preserve"> х 1,4  х 50 % = 1345 гривень).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Доводимо до відома, у разі якщо фізична особа має право на податкову знижку, такій особі необхідно подати річну податкову декларацію про майновий стан і доходи в період з 01 січня по 31 грудня року, наступного за звітним. Якщо впродовж зазначеного періоду </w:t>
      </w:r>
      <w:proofErr w:type="spellStart"/>
      <w:r w:rsidRPr="007C6437">
        <w:rPr>
          <w:rFonts w:ascii="Times New Roman" w:eastAsia="Times New Roman" w:hAnsi="Times New Roman" w:cs="Times New Roman"/>
          <w:sz w:val="20"/>
          <w:szCs w:val="20"/>
          <w:lang w:val="uk-UA" w:eastAsia="ru-RU"/>
        </w:rPr>
        <w:t>фізособа</w:t>
      </w:r>
      <w:proofErr w:type="spellEnd"/>
      <w:r w:rsidRPr="007C6437">
        <w:rPr>
          <w:rFonts w:ascii="Times New Roman" w:eastAsia="Times New Roman" w:hAnsi="Times New Roman" w:cs="Times New Roman"/>
          <w:sz w:val="20"/>
          <w:szCs w:val="20"/>
          <w:lang w:val="uk-UA" w:eastAsia="ru-RU"/>
        </w:rPr>
        <w:t xml:space="preserve"> не скористалася правом на податкову знижку, то на наступні роки таке право не переноситься.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Набрали чинності зміни до Інструкції про нарахування і сплату єдиного внеску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П</w:t>
      </w:r>
      <w:r w:rsidRPr="007C6437">
        <w:rPr>
          <w:rFonts w:ascii="Times New Roman" w:eastAsia="Times New Roman" w:hAnsi="Times New Roman" w:cs="Times New Roman"/>
          <w:sz w:val="20"/>
          <w:szCs w:val="20"/>
          <w:lang w:val="uk-UA" w:eastAsia="ru-RU"/>
        </w:rPr>
        <w:t>овідомляє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21.08.2020 набрав чинності наказ Міністерства фінансів України від 10.06.2020   № 283 (далі – Наказ № 283), яким внесено зміни до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(далі – Інструкція № 449).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Так, Наказом № 283 в Інструкцію № 449 внесено зміни, згідно з якими фізичні особи – підприємці (далі –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у тому числі ті, що обрали спрощену систему оподаткування, і у яких працюють особи з інвалідністю, застосовують ставку єдиного внеску на загальнообов’язкове державне соціальне страхування (далі – єдиний внесок) 8,41 % для працюючих осіб з інвалідністю.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Також змінами, внесеними в Інструкцію № 449, зокрема, передбачено: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встановлення пільгового порядку сплати єдиного внеску для членів фермерських господарств;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у разі зняття з обліку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останнім періодом, за який необхідно обчислити та сплатити єдиний внесок, є період із дня закінчення попереднього звітного періоду до місяця, в якому здійснено державну реєстрацію припинення підприємницької діяльності включно;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суб’єкти господарювання, які отримують додаткову фінансову підтримку відповідно до ст. 13</w:t>
      </w:r>
      <w:r w:rsidRPr="007C6437">
        <w:rPr>
          <w:rFonts w:ascii="Times New Roman" w:eastAsia="Times New Roman" w:hAnsi="Times New Roman" w:cs="Times New Roman"/>
          <w:sz w:val="20"/>
          <w:szCs w:val="20"/>
          <w:vertAlign w:val="superscript"/>
          <w:lang w:val="uk-UA" w:eastAsia="ru-RU"/>
        </w:rPr>
        <w:t>1</w:t>
      </w:r>
      <w:r w:rsidRPr="007C6437">
        <w:rPr>
          <w:rFonts w:ascii="Times New Roman" w:eastAsia="Times New Roman" w:hAnsi="Times New Roman" w:cs="Times New Roman"/>
          <w:sz w:val="20"/>
          <w:szCs w:val="20"/>
          <w:lang w:val="uk-UA" w:eastAsia="ru-RU"/>
        </w:rPr>
        <w:t xml:space="preserve"> Закону України «Про державну підтримку сільського господарства України», сплачують єдиний внесок з урахуванням положень Порядку надання сімейним фермерським господарствам додаткової фінансової підтримки через механізм доплати на користь застрахованих осіб – членів/голови сімейного фермерського господарства єдиного внеску на загальнообов’язкове державне соціальне страхування, затвердженого постановою Кабінету Міністрів України від 22 травня 2019 року № 565 із змінами;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Крім того, уточнено порядок стягнення заборгованості з платників.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Наказ № 283 опубліковано у бюлетені «Офіційний вісник України» від 21.08.2020 № 65.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Який податковий (звітний) період встановлений ПКУ для плати за землю?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П</w:t>
      </w:r>
      <w:r w:rsidRPr="007C6437">
        <w:rPr>
          <w:rFonts w:ascii="Times New Roman" w:eastAsia="Times New Roman" w:hAnsi="Times New Roman" w:cs="Times New Roman"/>
          <w:sz w:val="20"/>
          <w:szCs w:val="20"/>
          <w:lang w:val="uk-UA" w:eastAsia="ru-RU"/>
        </w:rPr>
        <w:t>овідомляє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Норми встановлені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14.1.147 п. 14.1 ст. 14 Податкового кодексу України (далі –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Базовим податковим (звітним) періодом для плати за землю є календарний рік (п. 285.1 ст. 285 ПКУ).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Базовий податковий (звітний) рік починається 01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 (п. 285.2 ст. 285 ПКУ).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До уваги платників ПДВ!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З</w:t>
      </w:r>
      <w:r w:rsidRPr="007C6437">
        <w:rPr>
          <w:rFonts w:ascii="Times New Roman" w:eastAsia="Times New Roman" w:hAnsi="Times New Roman" w:cs="Times New Roman"/>
          <w:sz w:val="20"/>
          <w:szCs w:val="20"/>
          <w:lang w:val="uk-UA" w:eastAsia="ru-RU"/>
        </w:rPr>
        <w:t>вертає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увагу, що відповідно до частини восьмої ст. 45 Бюджетного кодексу України від 08 липня 2010 року № 2456-VI із змінами та доповненнями (далі – БКУ) у разі зміни місцезнаходження суб’єктів господарювання – платників податків сплата визначених законодавством податків і зборів після реєстрації здійснюється за місцем попередньої реєстрації до закінчення поточного бюджетного періоду.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Процедури переведення платника податків на обслуговування з одного контролюючого органу до іншого (взяття на облік/зняття з обліку) визначені розділом X Порядку обліку платників податків і зборів, затвердженого наказом Міністерства фінансів України від 09.12.2011 № 1588 із змінами (далі – Порядок № 1588).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Нормами п. 10.13 розділу X Порядку № 1588 визначено, що у разі зміни місцезнаходження суб’єкта господарювання – платника податків сплата визначених законодавством податків і зборів після такої реєстрації здійснюється таким платником податків за місцем попередньої реєстрації до закінчення поточного бюджетного періоду: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1) у такому випадку одночасно із зняттям з обліку юридичної особи </w:t>
      </w:r>
      <w:r w:rsidRPr="00907108">
        <w:rPr>
          <w:rFonts w:ascii="Times New Roman" w:eastAsia="Times New Roman" w:hAnsi="Times New Roman" w:cs="Times New Roman"/>
          <w:i/>
          <w:iCs/>
          <w:sz w:val="20"/>
          <w:szCs w:val="20"/>
          <w:lang w:val="uk-UA" w:eastAsia="ru-RU"/>
        </w:rPr>
        <w:t>(крім юридичних осіб, які включені до Реєстру неприбуткових установ та організацій)</w:t>
      </w:r>
      <w:r w:rsidRPr="007C6437">
        <w:rPr>
          <w:rFonts w:ascii="Times New Roman" w:eastAsia="Times New Roman" w:hAnsi="Times New Roman" w:cs="Times New Roman"/>
          <w:sz w:val="20"/>
          <w:szCs w:val="20"/>
          <w:lang w:val="uk-UA" w:eastAsia="ru-RU"/>
        </w:rPr>
        <w:t xml:space="preserve"> або фізичної особи – підприємця за основним місцем обліку здійснюється взяття на облік платника податків за неосновним місцем обліку згідно із розділом VII Порядку № 1588 без подання заяви платником податків та з урахуванням особливостей, визначених пунктами 10.14 – 10.21 розділу Х Порядку № 1588;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lastRenderedPageBreak/>
        <w:t xml:space="preserve">2) до закінчення року платник податків обліковується в контролюючому органі за попереднім місцезнаходженням (неосновне місце обліку) з ознакою того, що він є платником податків до закінчення року, а в контролюючому органі за новим місцезнаходженням (основне місце обліку) – з ознакою того, що він є платником податків з наступного року.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У контролюючому органі за неосновним місцем обліку платник податків сплачує всі податки та збори, які згідно із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 (п. 7.3 розділу VII Порядку № 1588).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Починаючи з 01 січня наступного року, платник податків подає податкові декларації (розрахунки, звіти) та виконує інші обов’язки платника податків до контролюючого органу за новим місцезнаходженням (місцем проживання), (основне місце обліку).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Платниками податків, на яких не розповсюджуються норми ст. 45 БКУ та п. 7.3 розділу VII Порядку № 1588, є: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юридичні особи, які не є суб’єктами господарювання відповідно до норм Господарського кодексу України;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відокремлені підрозділи юридичної особи;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особи, які здійснюють незалежну професійну діяльність.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Для зазначених платників сплата податків та подання звітності, здійснюється за новим місцезнаходженням (місцем проживання) з дати взяття па облік у контролюючому органі за новим місцезнаходженням (місцем проживання).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Враховуючи викладене вище, у разі зміни суб’єктом господарювання місцезнаходження (місця проживання), пов’язаного зі зміною адміністративного району, подання податкової декларації з ПДВ та сплата ПДВ здійснюється за попереднім місцезнаходженням (місцем проживання) (неосновне місце обліку) до закінчення поточного бюджетного року, а починаючи з 01 січня наступного року – за новим місцезнаходженням (місцем проживання) (основне місце обліку).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Фіскальний звітний чек (Z-звіт) створюється ПРРО щоденно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І</w:t>
      </w:r>
      <w:r w:rsidRPr="007C6437">
        <w:rPr>
          <w:rFonts w:ascii="Times New Roman" w:eastAsia="Times New Roman" w:hAnsi="Times New Roman" w:cs="Times New Roman"/>
          <w:sz w:val="20"/>
          <w:szCs w:val="20"/>
          <w:lang w:val="uk-UA" w:eastAsia="ru-RU"/>
        </w:rPr>
        <w:t>нформує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фіскальний звітний чек – це документ встановленої форми, створений у паперовій та/або електронній формі (електронний фіскальний звітний чек) програмним реєстратором розрахункових операцій (далі – ПРРО), який містить дані денного звіту, під час створення якого інформація про обсяг виконаних розрахункових операцій заноситься відповідно до фіскального сервера Державної податкової служби.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Норма визначена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7C6437">
        <w:rPr>
          <w:rFonts w:ascii="Times New Roman" w:eastAsia="Times New Roman" w:hAnsi="Times New Roman" w:cs="Times New Roman"/>
          <w:sz w:val="20"/>
          <w:szCs w:val="20"/>
          <w:lang w:val="uk-UA" w:eastAsia="ru-RU"/>
        </w:rPr>
        <w:t>детінізації</w:t>
      </w:r>
      <w:proofErr w:type="spellEnd"/>
      <w:r w:rsidRPr="007C6437">
        <w:rPr>
          <w:rFonts w:ascii="Times New Roman" w:eastAsia="Times New Roman" w:hAnsi="Times New Roman" w:cs="Times New Roman"/>
          <w:sz w:val="20"/>
          <w:szCs w:val="20"/>
          <w:lang w:val="uk-UA" w:eastAsia="ru-RU"/>
        </w:rPr>
        <w:t xml:space="preserve"> розрахунків у сфері торгівлі та послуг», який набрав чинності 01.08.2020.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Отже, фіскальний звітний чек (Z-звіт) створюється ПРРО щоденно. Z-звіт може бути сформованим в електронній формі або роздрукованим. Фіскальний звітний чек ПРРО підлягає реєстрації (</w:t>
      </w:r>
      <w:proofErr w:type="spellStart"/>
      <w:r w:rsidRPr="007C6437">
        <w:rPr>
          <w:rFonts w:ascii="Times New Roman" w:eastAsia="Times New Roman" w:hAnsi="Times New Roman" w:cs="Times New Roman"/>
          <w:sz w:val="20"/>
          <w:szCs w:val="20"/>
          <w:lang w:val="uk-UA" w:eastAsia="ru-RU"/>
        </w:rPr>
        <w:t>фіскалізації</w:t>
      </w:r>
      <w:proofErr w:type="spellEnd"/>
      <w:r w:rsidRPr="007C6437">
        <w:rPr>
          <w:rFonts w:ascii="Times New Roman" w:eastAsia="Times New Roman" w:hAnsi="Times New Roman" w:cs="Times New Roman"/>
          <w:sz w:val="20"/>
          <w:szCs w:val="20"/>
          <w:lang w:val="uk-UA" w:eastAsia="ru-RU"/>
        </w:rPr>
        <w:t xml:space="preserve">) на фіскальному сервері Державної податкової служби України (далі – фіскальний сервер). Після передачі до фіскального сервера Z-звіту і отримання відповідно підтвердження від фіскального сервера, його зберігання відбувається за бажанням суб’єкта господарювання в зручний для нього спосіб.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907108" w:rsidRDefault="007C6437" w:rsidP="007C6437">
      <w:pPr>
        <w:pStyle w:val="1"/>
        <w:spacing w:before="0" w:beforeAutospacing="0" w:after="0" w:afterAutospacing="0"/>
        <w:jc w:val="both"/>
        <w:rPr>
          <w:sz w:val="20"/>
          <w:szCs w:val="20"/>
          <w:lang w:val="uk-UA"/>
        </w:rPr>
      </w:pPr>
      <w:r w:rsidRPr="00907108">
        <w:rPr>
          <w:sz w:val="20"/>
          <w:szCs w:val="20"/>
          <w:lang w:val="uk-UA"/>
        </w:rPr>
        <w:t xml:space="preserve">Олексій Любченко: За січень – серпень ми очікуємо перевиконання індикативу на 14,6 </w:t>
      </w:r>
      <w:proofErr w:type="spellStart"/>
      <w:r w:rsidRPr="00907108">
        <w:rPr>
          <w:sz w:val="20"/>
          <w:szCs w:val="20"/>
          <w:lang w:val="uk-UA"/>
        </w:rPr>
        <w:t>млрд</w:t>
      </w:r>
      <w:proofErr w:type="spellEnd"/>
      <w:r w:rsidRPr="00907108">
        <w:rPr>
          <w:sz w:val="20"/>
          <w:szCs w:val="20"/>
          <w:lang w:val="uk-UA"/>
        </w:rPr>
        <w:t xml:space="preserve"> гривень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ДПС України на офіційному </w:t>
      </w:r>
      <w:proofErr w:type="spellStart"/>
      <w:r w:rsidRPr="00907108">
        <w:rPr>
          <w:sz w:val="20"/>
          <w:szCs w:val="20"/>
          <w:lang w:val="uk-UA"/>
        </w:rPr>
        <w:t>вебпорталі</w:t>
      </w:r>
      <w:proofErr w:type="spellEnd"/>
      <w:r w:rsidRPr="00907108">
        <w:rPr>
          <w:sz w:val="20"/>
          <w:szCs w:val="20"/>
          <w:lang w:val="uk-UA"/>
        </w:rPr>
        <w:t xml:space="preserve"> за посиланням </w:t>
      </w:r>
      <w:hyperlink r:id="rId8" w:history="1">
        <w:r w:rsidRPr="00907108">
          <w:rPr>
            <w:rStyle w:val="a8"/>
            <w:sz w:val="20"/>
            <w:szCs w:val="20"/>
            <w:lang w:val="uk-UA"/>
          </w:rPr>
          <w:t>https://tax.gov.ua/media-tsentr/novini/431045.html</w:t>
        </w:r>
      </w:hyperlink>
      <w:r w:rsidRPr="00907108">
        <w:rPr>
          <w:sz w:val="20"/>
          <w:szCs w:val="20"/>
          <w:lang w:val="uk-UA"/>
        </w:rPr>
        <w:t xml:space="preserve"> повідомила наступне.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За результатами січня – серпня поточного року до загального фонду державного бюджету очікуються надходження 352,5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платежів, які контролюються ДПС. Це на 14,6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перевищує індикатив Міністерства фінансів України, який визначено у розмірі 337,8 </w:t>
      </w:r>
      <w:proofErr w:type="spellStart"/>
      <w:r w:rsidRPr="00907108">
        <w:rPr>
          <w:sz w:val="20"/>
          <w:szCs w:val="20"/>
          <w:lang w:val="uk-UA"/>
        </w:rPr>
        <w:t>млрд</w:t>
      </w:r>
      <w:proofErr w:type="spellEnd"/>
      <w:r w:rsidRPr="00907108">
        <w:rPr>
          <w:sz w:val="20"/>
          <w:szCs w:val="20"/>
          <w:lang w:val="uk-UA"/>
        </w:rPr>
        <w:t xml:space="preserve"> гривень. Про це повідомив Голова Державної податкової служби України Олексій Любченко під час святкової селекторної наради, присвяченої відзначенню державного свята – Дня Незалежності України, за участю Міністра фінансів України Сергія Марченка.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w:t>
      </w:r>
      <w:hyperlink r:id="rId9" w:tgtFrame="_blank" w:history="1">
        <w:r w:rsidRPr="00907108">
          <w:rPr>
            <w:rStyle w:val="a8"/>
            <w:sz w:val="20"/>
            <w:szCs w:val="20"/>
            <w:lang w:val="uk-UA"/>
          </w:rPr>
          <w:t>За результатами 8-ми місяців поточного року</w:t>
        </w:r>
      </w:hyperlink>
      <w:r w:rsidRPr="00907108">
        <w:rPr>
          <w:sz w:val="20"/>
          <w:szCs w:val="20"/>
          <w:lang w:val="uk-UA"/>
        </w:rPr>
        <w:t xml:space="preserve"> не тільки надолужене відставання, допущене за січень – квітень у сумі 11,7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але й очікуються надходження із значним перевиконанням індикативу на 14,6 </w:t>
      </w:r>
      <w:proofErr w:type="spellStart"/>
      <w:r w:rsidRPr="00907108">
        <w:rPr>
          <w:sz w:val="20"/>
          <w:szCs w:val="20"/>
          <w:lang w:val="uk-UA"/>
        </w:rPr>
        <w:t>млрд</w:t>
      </w:r>
      <w:proofErr w:type="spellEnd"/>
      <w:r w:rsidRPr="00907108">
        <w:rPr>
          <w:sz w:val="20"/>
          <w:szCs w:val="20"/>
          <w:lang w:val="uk-UA"/>
        </w:rPr>
        <w:t xml:space="preserve"> грн. Дякую усім платникам за ту довіру до держави, яку вони демонструють, чесно сплачуючи податки. Запевняю, що податкова служба і надалі буде захищати їх від </w:t>
      </w:r>
      <w:proofErr w:type="spellStart"/>
      <w:r w:rsidRPr="00907108">
        <w:rPr>
          <w:sz w:val="20"/>
          <w:szCs w:val="20"/>
          <w:lang w:val="uk-UA"/>
        </w:rPr>
        <w:t>недоброчесної</w:t>
      </w:r>
      <w:proofErr w:type="spellEnd"/>
      <w:r w:rsidRPr="00907108">
        <w:rPr>
          <w:sz w:val="20"/>
          <w:szCs w:val="20"/>
          <w:lang w:val="uk-UA"/>
        </w:rPr>
        <w:t xml:space="preserve"> конкуренції з боку тіньового сектору економіки та підвищувати рівень і якість послуг, що надаються платникам», – підкреслив Олексій Любченко.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Порівняно з відповідним періодом минулого року очікується зростання надходжень на 49,3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або на 16,3 %, в т.ч. ПДВ – на 5,4 </w:t>
      </w:r>
      <w:proofErr w:type="spellStart"/>
      <w:r w:rsidRPr="00907108">
        <w:rPr>
          <w:sz w:val="20"/>
          <w:szCs w:val="20"/>
          <w:lang w:val="uk-UA"/>
        </w:rPr>
        <w:t>млрд</w:t>
      </w:r>
      <w:proofErr w:type="spellEnd"/>
      <w:r w:rsidRPr="00907108">
        <w:rPr>
          <w:sz w:val="20"/>
          <w:szCs w:val="20"/>
          <w:lang w:val="uk-UA"/>
        </w:rPr>
        <w:t xml:space="preserve"> грн., або в 1,6 </w:t>
      </w:r>
      <w:proofErr w:type="spellStart"/>
      <w:r w:rsidRPr="00907108">
        <w:rPr>
          <w:sz w:val="20"/>
          <w:szCs w:val="20"/>
          <w:lang w:val="uk-UA"/>
        </w:rPr>
        <w:t>раза</w:t>
      </w:r>
      <w:proofErr w:type="spellEnd"/>
      <w:r w:rsidRPr="00907108">
        <w:rPr>
          <w:sz w:val="20"/>
          <w:szCs w:val="20"/>
          <w:lang w:val="uk-UA"/>
        </w:rPr>
        <w:t xml:space="preserve"> більше порівняно з серпнем минулого року.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При скороченні ВВП за даними Мінекономіки у першому півріччі 2020 року на 6,5 % (у т.ч. за другий квартал – на 11 %), темп зростання сукупних надходжень платежів, які контролюються ДПС, за 8 місяців цього року складає 10,1 %.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Результативність роботи ДПС відзначив і Міністр фінансів України Сергій Марченко. За його словами, інституційна реформа податкової служби, командна робота колективу та зміна пріоритетів у діяльності позитивно позначилася на виконанні індикативних показників. Це дає впевненість у можливості забезпечення фінансування поточних потреб держави, зокрема, щодо виплати заробітних плат, соціальних виплат, пенсій.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На 19,7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або на 36,8 %, очікується перевиконання індикативу з надходжень податку на додану вартість. Планується, що у січні – серпні цього року буде сплачено 73,1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ПДВ при 53,4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запланованих. Порівняно з минулорічними показники надходжень ПДВ зростуть на 21,4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або в 1,4 рази, в т.ч. відносно серпня минулого року – на 5,4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(14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проти 8,6 </w:t>
      </w:r>
      <w:proofErr w:type="spellStart"/>
      <w:r w:rsidRPr="00907108">
        <w:rPr>
          <w:sz w:val="20"/>
          <w:szCs w:val="20"/>
          <w:lang w:val="uk-UA"/>
        </w:rPr>
        <w:t>млрд</w:t>
      </w:r>
      <w:proofErr w:type="spellEnd"/>
      <w:r w:rsidRPr="00907108">
        <w:rPr>
          <w:sz w:val="20"/>
          <w:szCs w:val="20"/>
          <w:lang w:val="uk-UA"/>
        </w:rPr>
        <w:t xml:space="preserve"> </w:t>
      </w:r>
      <w:proofErr w:type="spellStart"/>
      <w:r w:rsidRPr="00907108">
        <w:rPr>
          <w:sz w:val="20"/>
          <w:szCs w:val="20"/>
          <w:lang w:val="uk-UA"/>
        </w:rPr>
        <w:t>грн</w:t>
      </w:r>
      <w:proofErr w:type="spellEnd"/>
      <w:r w:rsidRPr="00907108">
        <w:rPr>
          <w:sz w:val="20"/>
          <w:szCs w:val="20"/>
          <w:lang w:val="uk-UA"/>
        </w:rPr>
        <w:t xml:space="preserve">), або в 1,6 </w:t>
      </w:r>
      <w:proofErr w:type="spellStart"/>
      <w:r w:rsidRPr="00907108">
        <w:rPr>
          <w:sz w:val="20"/>
          <w:szCs w:val="20"/>
          <w:lang w:val="uk-UA"/>
        </w:rPr>
        <w:t>раза</w:t>
      </w:r>
      <w:proofErr w:type="spellEnd"/>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«Вважаю, що такі результати будуть гарним подарунком до Дня Незалежності нашій державі від усіх платників податків. Конституцією України визначено обов’язок для громадян сплачувати податки та декларувати свої доходи. Але це не просто обов’язок, це та плата, яку кожен з нас вносить у становлення нашої держави, розвиток її фінансової та економічної незалежності», – наголосив Олексій Любченко. </w:t>
      </w:r>
    </w:p>
    <w:p w:rsidR="007C6437" w:rsidRPr="00907108" w:rsidRDefault="007C6437" w:rsidP="007C6437">
      <w:pPr>
        <w:pStyle w:val="a6"/>
        <w:spacing w:before="0" w:beforeAutospacing="0" w:after="0" w:afterAutospacing="0"/>
        <w:jc w:val="both"/>
        <w:rPr>
          <w:sz w:val="20"/>
          <w:szCs w:val="20"/>
          <w:lang w:val="uk-UA"/>
        </w:rPr>
      </w:pPr>
    </w:p>
    <w:p w:rsidR="00534B30" w:rsidRPr="00907108" w:rsidRDefault="007C6437" w:rsidP="007C6437">
      <w:pPr>
        <w:pStyle w:val="a6"/>
        <w:spacing w:before="0" w:beforeAutospacing="0" w:after="0" w:afterAutospacing="0"/>
        <w:jc w:val="both"/>
        <w:rPr>
          <w:b/>
          <w:sz w:val="20"/>
          <w:szCs w:val="20"/>
          <w:lang w:val="uk-UA"/>
        </w:rPr>
      </w:pPr>
      <w:r w:rsidRPr="00907108">
        <w:rPr>
          <w:b/>
          <w:sz w:val="20"/>
          <w:szCs w:val="20"/>
          <w:lang w:val="uk-UA"/>
        </w:rPr>
        <w:t>27.08.2020</w:t>
      </w:r>
    </w:p>
    <w:p w:rsidR="007C6437" w:rsidRPr="00907108" w:rsidRDefault="007C6437" w:rsidP="007C6437">
      <w:pPr>
        <w:pStyle w:val="a6"/>
        <w:spacing w:before="0" w:beforeAutospacing="0" w:after="0" w:afterAutospacing="0"/>
        <w:jc w:val="both"/>
        <w:rPr>
          <w:b/>
          <w:sz w:val="20"/>
          <w:szCs w:val="20"/>
          <w:lang w:val="uk-UA"/>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lastRenderedPageBreak/>
        <w:t xml:space="preserve">Закон України № 466: врахування </w:t>
      </w:r>
      <w:proofErr w:type="spellStart"/>
      <w:r w:rsidRPr="007C6437">
        <w:rPr>
          <w:rFonts w:ascii="Times New Roman" w:eastAsia="Times New Roman" w:hAnsi="Times New Roman" w:cs="Times New Roman"/>
          <w:b/>
          <w:bCs/>
          <w:kern w:val="36"/>
          <w:sz w:val="20"/>
          <w:szCs w:val="20"/>
          <w:lang w:val="uk-UA" w:eastAsia="ru-RU"/>
        </w:rPr>
        <w:t>ФОП</w:t>
      </w:r>
      <w:proofErr w:type="spellEnd"/>
      <w:r w:rsidRPr="007C6437">
        <w:rPr>
          <w:rFonts w:ascii="Times New Roman" w:eastAsia="Times New Roman" w:hAnsi="Times New Roman" w:cs="Times New Roman"/>
          <w:b/>
          <w:bCs/>
          <w:kern w:val="36"/>
          <w:sz w:val="20"/>
          <w:szCs w:val="20"/>
          <w:lang w:val="uk-UA" w:eastAsia="ru-RU"/>
        </w:rPr>
        <w:t xml:space="preserve"> сум сплаченого податку на нерухомість у складі витрат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П</w:t>
      </w:r>
      <w:r w:rsidRPr="007C6437">
        <w:rPr>
          <w:rFonts w:ascii="Times New Roman" w:eastAsia="Times New Roman" w:hAnsi="Times New Roman" w:cs="Times New Roman"/>
          <w:sz w:val="20"/>
          <w:szCs w:val="20"/>
          <w:lang w:val="uk-UA" w:eastAsia="ru-RU"/>
        </w:rPr>
        <w:t>овідомляє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об’єкти нежитлової нерухомості – це будівлі, приміщення, що не віднесені відповідно до законодавства до житлового фонду.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До нежитлової нерухомості відносяться: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а) будівлі готельні – готелі, мотелі, кемпінги, пансіонати, ресторани та бари, туристичні бази, гірські притулки, табори для відпочинку, будинки відпочинку;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 будівлі офісні – будівлі фінансового обслуговування, адміністративно-побутові будівлі, будівлі для конторських та адміністративних цілей;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 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г) гаражі – гаражі (наземні й підземні) та криті автомобільні стоянки;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ґ) будівлі промислові та склади;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 будівлі для публічних виступів (казино, ігорні будинки);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е)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є) інші будівлі.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Норми встановлені п. п. 14.1.129</w:t>
      </w:r>
      <w:r w:rsidRPr="007C6437">
        <w:rPr>
          <w:rFonts w:ascii="Times New Roman" w:eastAsia="Times New Roman" w:hAnsi="Times New Roman" w:cs="Times New Roman"/>
          <w:sz w:val="20"/>
          <w:szCs w:val="20"/>
          <w:vertAlign w:val="superscript"/>
          <w:lang w:val="uk-UA" w:eastAsia="ru-RU"/>
        </w:rPr>
        <w:t>1</w:t>
      </w:r>
      <w:r w:rsidRPr="007C6437">
        <w:rPr>
          <w:rFonts w:ascii="Times New Roman" w:eastAsia="Times New Roman" w:hAnsi="Times New Roman" w:cs="Times New Roman"/>
          <w:sz w:val="20"/>
          <w:szCs w:val="20"/>
          <w:lang w:val="uk-UA" w:eastAsia="ru-RU"/>
        </w:rPr>
        <w:t xml:space="preserve"> п. 14.1 ст. 14 Податкового кодексу України (далі –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Порядок оподаткування доходів фізичних осіб – підприємців (далі –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які знаходяться на загальній системі оподаткування, визначений ст. 177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Так, згідно з п. 177.2 ст. 177 ПКУ об’єктом оподаткування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є чистий оподатковуваний дохід, тобто різниця між загальним оподатковуваним доходом (виручка у грошовій та </w:t>
      </w:r>
      <w:proofErr w:type="spellStart"/>
      <w:r w:rsidRPr="007C6437">
        <w:rPr>
          <w:rFonts w:ascii="Times New Roman" w:eastAsia="Times New Roman" w:hAnsi="Times New Roman" w:cs="Times New Roman"/>
          <w:sz w:val="20"/>
          <w:szCs w:val="20"/>
          <w:lang w:val="uk-UA" w:eastAsia="ru-RU"/>
        </w:rPr>
        <w:t>негрошовій</w:t>
      </w:r>
      <w:proofErr w:type="spellEnd"/>
      <w:r w:rsidRPr="007C6437">
        <w:rPr>
          <w:rFonts w:ascii="Times New Roman" w:eastAsia="Times New Roman" w:hAnsi="Times New Roman" w:cs="Times New Roman"/>
          <w:sz w:val="20"/>
          <w:szCs w:val="20"/>
          <w:lang w:val="uk-UA" w:eastAsia="ru-RU"/>
        </w:rPr>
        <w:t xml:space="preserve"> формі) і документально підтвердженими витратами, пов’язаними з господарською діяльністю такої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Перелік витрат, безпосередньо пов’язаних з отриманням доходів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від провадження господарської діяльності на загальній системі оподаткування визначений п. 177.4 ст. 177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який набрав чинності з 23.05.2020,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177.4.3 п. 177.4        ст. 177 ПКУ змінено.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Вищевказаним пунктом визначено перелік витрат, безпосередньо пов’язаних з отриманням доходів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від провадження господарської діяльності на загальній системі оподаткування, до якого включаються суми податків, зборів, пов’язаних з проведенням господарської діяльності такої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w:t>
      </w:r>
      <w:r w:rsidRPr="00907108">
        <w:rPr>
          <w:rFonts w:ascii="Times New Roman" w:eastAsia="Times New Roman" w:hAnsi="Times New Roman" w:cs="Times New Roman"/>
          <w:i/>
          <w:iCs/>
          <w:sz w:val="20"/>
          <w:szCs w:val="20"/>
          <w:lang w:val="uk-UA" w:eastAsia="ru-RU"/>
        </w:rPr>
        <w:t xml:space="preserve">(крім податку на додану вартість для </w:t>
      </w:r>
      <w:proofErr w:type="spellStart"/>
      <w:r w:rsidRPr="00907108">
        <w:rPr>
          <w:rFonts w:ascii="Times New Roman" w:eastAsia="Times New Roman" w:hAnsi="Times New Roman" w:cs="Times New Roman"/>
          <w:i/>
          <w:iCs/>
          <w:sz w:val="20"/>
          <w:szCs w:val="20"/>
          <w:lang w:val="uk-UA" w:eastAsia="ru-RU"/>
        </w:rPr>
        <w:t>ФОП</w:t>
      </w:r>
      <w:proofErr w:type="spellEnd"/>
      <w:r w:rsidRPr="00907108">
        <w:rPr>
          <w:rFonts w:ascii="Times New Roman" w:eastAsia="Times New Roman" w:hAnsi="Times New Roman" w:cs="Times New Roman"/>
          <w:i/>
          <w:iCs/>
          <w:sz w:val="20"/>
          <w:szCs w:val="20"/>
          <w:lang w:val="uk-UA" w:eastAsia="ru-RU"/>
        </w:rPr>
        <w:t>, зареєстрованого як платник податку на додану вартість, та акцизного податку, податку на доходи фізичних осіб з доходу від господарської діяльності, податку на нерухоме майно, відмінне від земельної ділянки, з об’єктів житлової нерухомості)</w:t>
      </w:r>
      <w:r w:rsidRPr="007C6437">
        <w:rPr>
          <w:rFonts w:ascii="Times New Roman" w:eastAsia="Times New Roman" w:hAnsi="Times New Roman" w:cs="Times New Roman"/>
          <w:sz w:val="20"/>
          <w:szCs w:val="20"/>
          <w:lang w:val="uk-UA" w:eastAsia="ru-RU"/>
        </w:rPr>
        <w:t xml:space="preserve">, суми єдиного внеску на загальнообов’язкове державне соціальне страхування у розмірах і порядку, встановлених законом; платежі, сплачені за одержання ліцензій на провадження певних видів господарської діяльності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одержання дозволу, іншого документа дозвільного характеру, пов’язаних з господарською діяльністю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Отже, якщо сплата податку на нерухоме майно, відмінне від земельної ділянки (далі – податок на нерухомість), з об’єктів нежитлової нерухомості, які вона використовує для здійснення підприємницької діяльності, була здійснена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на загальній системі оподаткування </w:t>
      </w:r>
      <w:r w:rsidRPr="00907108">
        <w:rPr>
          <w:rFonts w:ascii="Times New Roman" w:eastAsia="Times New Roman" w:hAnsi="Times New Roman" w:cs="Times New Roman"/>
          <w:b/>
          <w:bCs/>
          <w:sz w:val="20"/>
          <w:szCs w:val="20"/>
          <w:lang w:val="uk-UA" w:eastAsia="ru-RU"/>
        </w:rPr>
        <w:t>після 23.05.2020</w:t>
      </w:r>
      <w:r w:rsidRPr="007C6437">
        <w:rPr>
          <w:rFonts w:ascii="Times New Roman" w:eastAsia="Times New Roman" w:hAnsi="Times New Roman" w:cs="Times New Roman"/>
          <w:sz w:val="20"/>
          <w:szCs w:val="20"/>
          <w:lang w:val="uk-UA" w:eastAsia="ru-RU"/>
        </w:rPr>
        <w:t xml:space="preserve">, тобто після набрання чинності Законом № 466, то такий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має право віднести до складу валових витрат сплачені суми податку на нерухомість.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Водночас, у разі сплати </w:t>
      </w:r>
      <w:r w:rsidRPr="00907108">
        <w:rPr>
          <w:rFonts w:ascii="Times New Roman" w:eastAsia="Times New Roman" w:hAnsi="Times New Roman" w:cs="Times New Roman"/>
          <w:b/>
          <w:bCs/>
          <w:sz w:val="20"/>
          <w:szCs w:val="20"/>
          <w:lang w:val="uk-UA" w:eastAsia="ru-RU"/>
        </w:rPr>
        <w:t>до 23.05.2020</w:t>
      </w:r>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на загальній системі оподаткування податку на нерухомість з об’єктів нежитлової нерухомості, які вона використовує для здійснення підприємницької діяльності, положення    Закону № 466 не застосовуються.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Фізичній особі отримувати ліцензію для продажу особисто вирощеної тютюнової сировини не потрібно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Н</w:t>
      </w:r>
      <w:r w:rsidRPr="007C6437">
        <w:rPr>
          <w:rFonts w:ascii="Times New Roman" w:eastAsia="Times New Roman" w:hAnsi="Times New Roman" w:cs="Times New Roman"/>
          <w:sz w:val="20"/>
          <w:szCs w:val="20"/>
          <w:lang w:val="uk-UA" w:eastAsia="ru-RU"/>
        </w:rPr>
        <w:t>агадує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виробництво тютюнових виробів здійснюється суб’єктами господарювання (у тому числі іноземними суб’єктами господарювання, які діють через свої зареєстровані постійні представництва) незалежно від форм власності за наявності відповідної ліцензії.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Норми встановлені ст. 2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 (далі – Закон № 481).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При цьому згідно із ст. 4 наказу Державного комітету України з питань технічного регулювання та споживчої політики від 11.10.2010 № 457 «Класифікація видів економічної діяльності </w:t>
      </w:r>
      <w:proofErr w:type="spellStart"/>
      <w:r w:rsidRPr="007C6437">
        <w:rPr>
          <w:rFonts w:ascii="Times New Roman" w:eastAsia="Times New Roman" w:hAnsi="Times New Roman" w:cs="Times New Roman"/>
          <w:sz w:val="20"/>
          <w:szCs w:val="20"/>
          <w:lang w:val="uk-UA" w:eastAsia="ru-RU"/>
        </w:rPr>
        <w:t>ДК</w:t>
      </w:r>
      <w:proofErr w:type="spellEnd"/>
      <w:r w:rsidRPr="007C6437">
        <w:rPr>
          <w:rFonts w:ascii="Times New Roman" w:eastAsia="Times New Roman" w:hAnsi="Times New Roman" w:cs="Times New Roman"/>
          <w:sz w:val="20"/>
          <w:szCs w:val="20"/>
          <w:lang w:val="uk-UA" w:eastAsia="ru-RU"/>
        </w:rPr>
        <w:t xml:space="preserve"> 009:2010» із змінами   виробництво – це економічна діяльність, результатом якої є продукція. Це поняття використовують для позначення всіх видів економічної діяльності. Готова продукція – це продукція, процес перероблення якої завершено.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Крім того, ст. 1 Закону № 481 визначено, що тютюнові вироби – це сигарети з фільтром або без фільтру, цигарки, сигари, </w:t>
      </w:r>
      <w:proofErr w:type="spellStart"/>
      <w:r w:rsidRPr="007C6437">
        <w:rPr>
          <w:rFonts w:ascii="Times New Roman" w:eastAsia="Times New Roman" w:hAnsi="Times New Roman" w:cs="Times New Roman"/>
          <w:sz w:val="20"/>
          <w:szCs w:val="20"/>
          <w:lang w:val="uk-UA" w:eastAsia="ru-RU"/>
        </w:rPr>
        <w:t>сигарили</w:t>
      </w:r>
      <w:proofErr w:type="spellEnd"/>
      <w:r w:rsidRPr="007C6437">
        <w:rPr>
          <w:rFonts w:ascii="Times New Roman" w:eastAsia="Times New Roman" w:hAnsi="Times New Roman" w:cs="Times New Roman"/>
          <w:sz w:val="20"/>
          <w:szCs w:val="20"/>
          <w:lang w:val="uk-UA" w:eastAsia="ru-RU"/>
        </w:rPr>
        <w:t xml:space="preserve">, а також люльковий, нюхальний, смоктальний, жувальний тютюн, махорка та інші вироби з тютюну чи його замінників для куріння, нюхання, смоктання чи жування.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Отже, фізичні особи та фізичні особи – підприємці, які здійснюють продаж вирощеної в особистому підсобному господарстві, на присадибній, дачній, садовій і городній ділянках тютюнової сировини, не зобов’язані отримувати ліцензію.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Відсотки за депозитом та сума безповоротної фінансової допомоги включаються до загальної суми доходу при визначенні частки сільськогосподарського </w:t>
      </w:r>
      <w:proofErr w:type="spellStart"/>
      <w:r w:rsidRPr="007C6437">
        <w:rPr>
          <w:rFonts w:ascii="Times New Roman" w:eastAsia="Times New Roman" w:hAnsi="Times New Roman" w:cs="Times New Roman"/>
          <w:b/>
          <w:bCs/>
          <w:kern w:val="36"/>
          <w:sz w:val="20"/>
          <w:szCs w:val="20"/>
          <w:lang w:val="uk-UA" w:eastAsia="ru-RU"/>
        </w:rPr>
        <w:t>товаровиробництва</w:t>
      </w:r>
      <w:proofErr w:type="spellEnd"/>
      <w:r w:rsidRPr="007C6437">
        <w:rPr>
          <w:rFonts w:ascii="Times New Roman" w:eastAsia="Times New Roman" w:hAnsi="Times New Roman" w:cs="Times New Roman"/>
          <w:b/>
          <w:bCs/>
          <w:kern w:val="36"/>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І</w:t>
      </w:r>
      <w:r w:rsidRPr="007C6437">
        <w:rPr>
          <w:rFonts w:ascii="Times New Roman" w:eastAsia="Times New Roman" w:hAnsi="Times New Roman" w:cs="Times New Roman"/>
          <w:sz w:val="20"/>
          <w:szCs w:val="20"/>
          <w:lang w:val="uk-UA" w:eastAsia="ru-RU"/>
        </w:rPr>
        <w:t>нформує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сільськогосподарські товаровиробники для переходу на спрощену систему оподаткування або щорічного підтвердження статусу платника єдиного податку подають не пізніше 20 лютого поточного року, зокрема, розрахунок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w:t>
      </w:r>
      <w:r w:rsidRPr="007C6437">
        <w:rPr>
          <w:rFonts w:ascii="Times New Roman" w:eastAsia="Times New Roman" w:hAnsi="Times New Roman" w:cs="Times New Roman"/>
          <w:sz w:val="20"/>
          <w:szCs w:val="20"/>
          <w:lang w:val="uk-UA" w:eastAsia="ru-RU"/>
        </w:rPr>
        <w:lastRenderedPageBreak/>
        <w:t xml:space="preserve">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Норми визначені абзацами першим і четвертим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298.8.1 п. 298.8 ст. 298 Податкового кодексу України (далі –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Форма розрахунку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затверджена наказом Міністерства аграрної політики та продовольства України від 26.12.2011 № 772 «Про затвердження Розрахунку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зі змінами та доповненнями.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При складанні Розрахунку сільськогосподарські товаровиробники керуються даними бухгалтерського обліку.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Відображення операцій в бухгалтерському обліку здійснюється відповідно до Плану рахунків бухгалтерського обліку активів, капіталу, зобов’язань і господарських операцій підприємств і організацій, затвердженого наказом Міністерства фінансів України від 30.11.1999 № 291 зі змінами та доповненнями, або якщо підприємство веде облік за спрощеною формою – відповідно до Спрощеного Плану рахунків бухгалтерського обліку активів, капіталу, зобов’язань і господарських операцій підприємств, затвердженого наказом Міністерства фінансів України від 19.04.2001 № 186 зі змінами та доповненнями.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Загальна сума доходу підприємства визначається відповідно до вимог Положення (стандарту) бухгалтерського обліку 15 «Дохід», затвердженого наказом Міністерства фінансів України від 29.11.1999 № 290 «Про затвердження Положення (стандарту) бухгалтерського обліку» зі змінами та доповненнями   (далі – П(С)БО 15).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Згідно з п. 7 П(С)БО 15 визнані доходи класифікуються в бухгалтерському обліку за такими групами: дохід (виручка) від реалізації продукції (товарів, робіт, послуг); чистий дохід від реалізації продукції (товарів, робіт, послуг); інші операційні доходи; фінансові доходи; інші доходи.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Дохід визнається під час збільшення активу або зменшення зобов’язання, що зумовлює зростання власного капіталу (за винятком зростання капіталу за рахунок внесків учасників підприємства), за умови, що оцінка доходу може бути достовірно визначена (абзац перший п. 5 П(С)БО 15).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Поворотна фінансова допомога – це сума коштів, що надійшла платнику податків у 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 (абзац восьмий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14.1.257 п. 14.1   ст. 14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Враховуючи вищевикладене, відсотки за депозитом та сума безповоротної фінансової допомоги включаються до загальної суми доходу при визначенні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оскільки відповідають умовам визначення доходу. Сума поворотної фінансової допомоги не включається до загальної суми доходу при визначенні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оскільки така допомога є обов’язковою до повернення у визначений у договорі термін.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Звертаємо увагу, що сума поворотної фінансової допомоги, яка не повертається у визначений у договорі термін, включається до загальної суми доходу при визначенні частки сільськогосподарського </w:t>
      </w:r>
      <w:proofErr w:type="spellStart"/>
      <w:r w:rsidRPr="007C6437">
        <w:rPr>
          <w:rFonts w:ascii="Times New Roman" w:eastAsia="Times New Roman" w:hAnsi="Times New Roman" w:cs="Times New Roman"/>
          <w:sz w:val="20"/>
          <w:szCs w:val="20"/>
          <w:lang w:val="uk-UA" w:eastAsia="ru-RU"/>
        </w:rPr>
        <w:t>товаровиробництва</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Особливості заповнення деяких показників звіту з єдиного внеску за формою № Д5 (річна)) з урахуванням норм Закону України № 592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З</w:t>
      </w:r>
      <w:r w:rsidRPr="007C6437">
        <w:rPr>
          <w:rFonts w:ascii="Times New Roman" w:eastAsia="Times New Roman" w:hAnsi="Times New Roman" w:cs="Times New Roman"/>
          <w:sz w:val="20"/>
          <w:szCs w:val="20"/>
          <w:lang w:val="uk-UA" w:eastAsia="ru-RU"/>
        </w:rPr>
        <w:t xml:space="preserve">гідно з нормами п. 5 розділу I Закону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що набрав чинності 03.06.2020, підлягають списанню за заявою платника та у порядку, визначеному Законом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несплачені станом на день набрання чинності Законом № 592 з урахуванням особливостей, визначених цим пунктом, суми недоїмки, нараховані платникам єдиного внеску на загальнообов’язкове державне соціальне страхування (далі – єдиний внесок), зазначеним у підпунктах 4 </w:t>
      </w:r>
      <w:r w:rsidRPr="00907108">
        <w:rPr>
          <w:rFonts w:ascii="Times New Roman" w:eastAsia="Times New Roman" w:hAnsi="Times New Roman" w:cs="Times New Roman"/>
          <w:i/>
          <w:iCs/>
          <w:sz w:val="20"/>
          <w:szCs w:val="20"/>
          <w:lang w:val="uk-UA" w:eastAsia="ru-RU"/>
        </w:rPr>
        <w:t>(крім фізичних осіб – підприємців, які обрали спрощену систему оподаткування)</w:t>
      </w:r>
      <w:r w:rsidRPr="007C6437">
        <w:rPr>
          <w:rFonts w:ascii="Times New Roman" w:eastAsia="Times New Roman" w:hAnsi="Times New Roman" w:cs="Times New Roman"/>
          <w:sz w:val="20"/>
          <w:szCs w:val="20"/>
          <w:lang w:val="uk-UA" w:eastAsia="ru-RU"/>
        </w:rPr>
        <w:t xml:space="preserve"> та 5 частини першої ст. 4 Закону № 2464, за період з 01 січня 2017 року до 03 червня 2020 року, а також штрафи та пеня, нараховані на ці суми недоїмки, у разі якщо такими платниками не отримано дохід (прибуток) від їх діяльності, що підлягає обкладенню податком на доходи фізичних осіб, та за умови подання протягом 90 календарних днів з 03 червня 2020 року: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а) фізичними особами – підприємцями </w:t>
      </w:r>
      <w:r w:rsidRPr="00907108">
        <w:rPr>
          <w:rFonts w:ascii="Times New Roman" w:eastAsia="Times New Roman" w:hAnsi="Times New Roman" w:cs="Times New Roman"/>
          <w:i/>
          <w:iCs/>
          <w:sz w:val="20"/>
          <w:szCs w:val="20"/>
          <w:lang w:val="uk-UA" w:eastAsia="ru-RU"/>
        </w:rPr>
        <w:t>(крім фізичних осіб – підприємців, які обрали спрощену систему оподаткування)</w:t>
      </w:r>
      <w:r w:rsidRPr="007C6437">
        <w:rPr>
          <w:rFonts w:ascii="Times New Roman" w:eastAsia="Times New Roman" w:hAnsi="Times New Roman" w:cs="Times New Roman"/>
          <w:sz w:val="20"/>
          <w:szCs w:val="20"/>
          <w:lang w:val="uk-UA" w:eastAsia="ru-RU"/>
        </w:rPr>
        <w:t xml:space="preserve"> – державному реєстратору за місцем знаходження реєстраційної справи фізичної особи – підприємця заяви про державну реєстрацію припинення підприємницької діяльності та до контролюючого органу – звітності відповідно до вимог частини 2 ст. 6 Закону     № 2464 за період з 01 січня 2017 року до 03 червня 2020 року. Зазначена звітність подається платником виключно у випадку, якщо вона не була подана раніше;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 особами, які провадять незалежну професійну діяльність, – до контролюючого органу за основним місцем обліку заяви про зняття з обліку як платника єдиного внеску та звітності відповідно до вимог частини 2 ст. 6 Закону № 2464 за період з 01 січня 2017 року до 03 червня 2020 року. Зазначена звітність подається платником виключно у випадку, якщо вона не була подана раніше.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Нагадуємо, що заяви такі платники подають </w:t>
      </w:r>
      <w:r w:rsidRPr="00907108">
        <w:rPr>
          <w:rFonts w:ascii="Times New Roman" w:eastAsia="Times New Roman" w:hAnsi="Times New Roman" w:cs="Times New Roman"/>
          <w:b/>
          <w:bCs/>
          <w:sz w:val="20"/>
          <w:szCs w:val="20"/>
          <w:lang w:val="uk-UA" w:eastAsia="ru-RU"/>
        </w:rPr>
        <w:t>по 31.08.2020 (включно)</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Отже, у разі подання Звіту про суми нарахованого доходу застрахованих осіб та суми нарахованого єдиного внеску (Форма № Д5 (річна)) (Звіт за ф. № 5) згідно з Порядком формування та подання страхувальниками звіту щодо сум нарахованого єдиного внеску на загальнообов’язкове державне соціальне страхування, затвердженим наказом Міністерства фінансів України від 14.04.2015 № 435 із змінами та доповненнями (далі – Звіт) враховуються норми Закону № 592, а саме: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у графі 3 </w:t>
      </w:r>
      <w:r w:rsidRPr="00907108">
        <w:rPr>
          <w:rFonts w:ascii="Times New Roman" w:eastAsia="Times New Roman" w:hAnsi="Times New Roman" w:cs="Times New Roman"/>
          <w:i/>
          <w:iCs/>
          <w:sz w:val="20"/>
          <w:szCs w:val="20"/>
          <w:lang w:val="uk-UA" w:eastAsia="ru-RU"/>
        </w:rPr>
        <w:t>«Сума чистого доходу (прибутку), заявлена в податковій декларації/Самостійно визначена сума доходу/Частка розподіленого доходу»</w:t>
      </w:r>
      <w:r w:rsidRPr="007C6437">
        <w:rPr>
          <w:rFonts w:ascii="Times New Roman" w:eastAsia="Times New Roman" w:hAnsi="Times New Roman" w:cs="Times New Roman"/>
          <w:sz w:val="20"/>
          <w:szCs w:val="20"/>
          <w:lang w:val="uk-UA" w:eastAsia="ru-RU"/>
        </w:rPr>
        <w:t xml:space="preserve"> таблиці 1 Звіту в рядках у розрізі кожного календарного місяця протягом яких такий платник перебував на обліку як платник єдиного внеску, проставляються прочерки у разі неотримання доходу;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графа 4 </w:t>
      </w:r>
      <w:r w:rsidRPr="00907108">
        <w:rPr>
          <w:rFonts w:ascii="Times New Roman" w:eastAsia="Times New Roman" w:hAnsi="Times New Roman" w:cs="Times New Roman"/>
          <w:i/>
          <w:iCs/>
          <w:sz w:val="20"/>
          <w:szCs w:val="20"/>
          <w:lang w:val="uk-UA" w:eastAsia="ru-RU"/>
        </w:rPr>
        <w:t>«Сума доходу, на яку нараховується єдиний внесок, з урахуванням максимальної величини»</w:t>
      </w:r>
      <w:r w:rsidRPr="007C6437">
        <w:rPr>
          <w:rFonts w:ascii="Times New Roman" w:eastAsia="Times New Roman" w:hAnsi="Times New Roman" w:cs="Times New Roman"/>
          <w:sz w:val="20"/>
          <w:szCs w:val="20"/>
          <w:lang w:val="uk-UA" w:eastAsia="ru-RU"/>
        </w:rPr>
        <w:t xml:space="preserve"> таблиці 1 Звіту заповнюється згідно з вимогами абзацу другого п. 2 частини 1 ст. 7 Закону № 2464.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lastRenderedPageBreak/>
        <w:t xml:space="preserve">Закон України №466: з 01.01.2021 нове у визначенні дивідендів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З</w:t>
      </w:r>
      <w:r w:rsidRPr="007C6437">
        <w:rPr>
          <w:rFonts w:ascii="Times New Roman" w:eastAsia="Times New Roman" w:hAnsi="Times New Roman" w:cs="Times New Roman"/>
          <w:sz w:val="20"/>
          <w:szCs w:val="20"/>
          <w:lang w:val="uk-UA" w:eastAsia="ru-RU"/>
        </w:rPr>
        <w:t>вертає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увагу платників, що 01.01.2021 набере чинності нова редакція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14.1.49 п. 14.1 ст. 14 Податкового кодексу України (далі –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Відповідно до оновленого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14.1.49 п. 14.1 ст. 14 ПКУ, запровадженого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 01 січня 2021 року дивідендами є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Для цілей оподаткування до дивідендів прирівнюються також: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платіж у грошовій чи </w:t>
      </w:r>
      <w:proofErr w:type="spellStart"/>
      <w:r w:rsidRPr="007C6437">
        <w:rPr>
          <w:rFonts w:ascii="Times New Roman" w:eastAsia="Times New Roman" w:hAnsi="Times New Roman" w:cs="Times New Roman"/>
          <w:sz w:val="20"/>
          <w:szCs w:val="20"/>
          <w:lang w:val="uk-UA" w:eastAsia="ru-RU"/>
        </w:rPr>
        <w:t>негрошовій</w:t>
      </w:r>
      <w:proofErr w:type="spellEnd"/>
      <w:r w:rsidRPr="007C6437">
        <w:rPr>
          <w:rFonts w:ascii="Times New Roman" w:eastAsia="Times New Roman" w:hAnsi="Times New Roman" w:cs="Times New Roman"/>
          <w:sz w:val="20"/>
          <w:szCs w:val="20"/>
          <w:lang w:val="uk-UA" w:eastAsia="ru-RU"/>
        </w:rPr>
        <w:t xml:space="preserve"> формі, що здійснюється юридичною особою на користь її засновника та/або учасника (учасників) у зв’язку з розподілом чистого прибутку (його частини);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суми доходів у вигляді платежів за цінні папери (корпоративні права), що виплачуються на користь нерезидента, зазначеного у підпунктах «а», «в», «г»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39.2.1.1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 п. 39.2 ст. 39 ПКУ, у контрольованих операціях понад суму, яка відповідає принципу «витягнутої руки»;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вартість товарів (робіт, послуг) </w:t>
      </w:r>
      <w:r w:rsidRPr="00907108">
        <w:rPr>
          <w:rFonts w:ascii="Times New Roman" w:eastAsia="Times New Roman" w:hAnsi="Times New Roman" w:cs="Times New Roman"/>
          <w:i/>
          <w:iCs/>
          <w:sz w:val="20"/>
          <w:szCs w:val="20"/>
          <w:lang w:val="uk-UA" w:eastAsia="ru-RU"/>
        </w:rPr>
        <w:t>(крім цінних паперів та деривативів</w:t>
      </w:r>
      <w:r w:rsidRPr="007C6437">
        <w:rPr>
          <w:rFonts w:ascii="Times New Roman" w:eastAsia="Times New Roman" w:hAnsi="Times New Roman" w:cs="Times New Roman"/>
          <w:sz w:val="20"/>
          <w:szCs w:val="20"/>
          <w:lang w:val="uk-UA" w:eastAsia="ru-RU"/>
        </w:rPr>
        <w:t xml:space="preserve">), що придбаваються у нерезидента, зазначеного в підпунктах «а», «в», «г»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39.2.1.1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 п. 39.2 ст. 39 ПКУ, у контрольованих операціях понад суму, яка відповідає принципу «витягнутої руки»;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сума заниження вартості товарів (робіт, послуг), які продаються нерезиденту, зазначеному в підпунктах «а», «в», «г»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39.2.1.1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39.2.1 п. 39.2 ст. 39 ПКУ, у контрольованих операціях порівняно із сумою, яка відповідає принципу «витягнутої руки»;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виплата в грошовій або </w:t>
      </w:r>
      <w:proofErr w:type="spellStart"/>
      <w:r w:rsidRPr="007C6437">
        <w:rPr>
          <w:rFonts w:ascii="Times New Roman" w:eastAsia="Times New Roman" w:hAnsi="Times New Roman" w:cs="Times New Roman"/>
          <w:sz w:val="20"/>
          <w:szCs w:val="20"/>
          <w:lang w:val="uk-UA" w:eastAsia="ru-RU"/>
        </w:rPr>
        <w:t>негрошовій</w:t>
      </w:r>
      <w:proofErr w:type="spellEnd"/>
      <w:r w:rsidRPr="007C6437">
        <w:rPr>
          <w:rFonts w:ascii="Times New Roman" w:eastAsia="Times New Roman" w:hAnsi="Times New Roman" w:cs="Times New Roman"/>
          <w:sz w:val="20"/>
          <w:szCs w:val="20"/>
          <w:lang w:val="uk-UA" w:eastAsia="ru-RU"/>
        </w:rPr>
        <w:t xml:space="preserve">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Нагадуємо, що згідно з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141.4.2 п. 141.4 ст. 141 ПКУ резидент, який здійснює на користь нерезидента або уповноваженої ним особи будь-яку виплату з доходу з джерелом його походження з України, отриманого таким нерезидентом (у тому числі на рахунки нерезидента, що ведуться в національній валюті), утримують податок з доходів у вигляді дивідендів, які сплачуються резидентом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«б»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141.4.1 п. 141.2 ст. 141 ПКУ), за ставкою в розмірі 15 відсотків їх суми та за їх рахунок, що сплачується до бюджету під час такої виплати, якщо інше не передбачено положеннями міжнародних договорів.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У разі якщо резидент здійснює на користь нерезидента виплату доходів, зазначених в абзацах четвертому – шостому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14.1.49 п. 14.1 ст. 14 ПКУ, у сумі, що перевищує суму, що відповідає принципу «витягнутої руки», або виплачує інші доходи, прирівняні згідно з ПКУ до дивідендів, такий резидент має утримати з суми такого перевищення та з таких інших доходів податок на доходи нерезидента за ставкою в розмірі 15 відсотків (якщо інша ставка не встановлена міжнародним договором). Такий податок має бути сплачений до граничної дати подання звіту про контрольовані операції за відповідний звітний (податковий) рік.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Звільнення від ПДВ: критерії для застосування «карантинних» пільг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І</w:t>
      </w:r>
      <w:r w:rsidRPr="007C6437">
        <w:rPr>
          <w:rFonts w:ascii="Times New Roman" w:eastAsia="Times New Roman" w:hAnsi="Times New Roman" w:cs="Times New Roman"/>
          <w:sz w:val="20"/>
          <w:szCs w:val="20"/>
          <w:lang w:val="uk-UA" w:eastAsia="ru-RU"/>
        </w:rPr>
        <w:t>нформує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для звільнення від оподаткування ПДВ згідно з п. 71 підрозділу 2 розділу XX «Перехідні положення» Податкового кодексу України потрібно, щоб такий товар був включений до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7C6437">
        <w:rPr>
          <w:rFonts w:ascii="Times New Roman" w:eastAsia="Times New Roman" w:hAnsi="Times New Roman" w:cs="Times New Roman"/>
          <w:sz w:val="20"/>
          <w:szCs w:val="20"/>
          <w:lang w:val="uk-UA" w:eastAsia="ru-RU"/>
        </w:rPr>
        <w:t>пандемій</w:t>
      </w:r>
      <w:proofErr w:type="spellEnd"/>
      <w:r w:rsidRPr="007C6437">
        <w:rPr>
          <w:rFonts w:ascii="Times New Roman" w:eastAsia="Times New Roman" w:hAnsi="Times New Roman" w:cs="Times New Roman"/>
          <w:sz w:val="20"/>
          <w:szCs w:val="20"/>
          <w:lang w:val="uk-UA" w:eastAsia="ru-RU"/>
        </w:rPr>
        <w:t xml:space="preserve"> гострої респіраторної хвороби COVID-19, спричиненої </w:t>
      </w:r>
      <w:proofErr w:type="spellStart"/>
      <w:r w:rsidRPr="007C6437">
        <w:rPr>
          <w:rFonts w:ascii="Times New Roman" w:eastAsia="Times New Roman" w:hAnsi="Times New Roman" w:cs="Times New Roman"/>
          <w:sz w:val="20"/>
          <w:szCs w:val="20"/>
          <w:lang w:val="uk-UA" w:eastAsia="ru-RU"/>
        </w:rPr>
        <w:t>коронавірусом</w:t>
      </w:r>
      <w:proofErr w:type="spellEnd"/>
      <w:r w:rsidRPr="007C6437">
        <w:rPr>
          <w:rFonts w:ascii="Times New Roman" w:eastAsia="Times New Roman" w:hAnsi="Times New Roman" w:cs="Times New Roman"/>
          <w:sz w:val="20"/>
          <w:szCs w:val="20"/>
          <w:lang w:val="uk-UA" w:eastAsia="ru-RU"/>
        </w:rPr>
        <w:t xml:space="preserve"> SARS-CoV-2,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визначеного постановою Кабінету Міністрів України. Такий перелік затверджено постановою Кабінету Міністрів України від 20 березня 2020 року № 224 із змінами (далі – Перелік № 224).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Отже, вартість товарів, що включені до Переліку № 224 з 17.03.2020 визначається без ПДВ, тобто з дати запровадження цієї пільги. Ця норма законодавства застосовується незалежно від того, чи містять договори та первинні документи, складені на постачання таких товарів, положення щодо необхідності нарахування ПДВ чи ні, а також незалежно від дати укладення таких договорів.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Земельний податок та орендна плата за земельні ділянки фізичними особами сплачується за відповідними кодами бюджетної класифікації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В</w:t>
      </w:r>
      <w:r w:rsidRPr="007C6437">
        <w:rPr>
          <w:rFonts w:ascii="Times New Roman" w:eastAsia="Times New Roman" w:hAnsi="Times New Roman" w:cs="Times New Roman"/>
          <w:sz w:val="20"/>
          <w:szCs w:val="20"/>
          <w:lang w:val="uk-UA" w:eastAsia="ru-RU"/>
        </w:rPr>
        <w:t xml:space="preserve">ідповідно до п. 286.5 ст. 286 Податкового кодексу України (далі – ПКУ) нарахування фізичним особам сум плати за землю проводиться контролюючими органами (за місцем знаходження земельної ділянки).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Контролюючі органи надсилають платнику земельного податку у порядку, визначеному ст. 42 ПКУ, до 01 липня поточного року податкове повідомлення-рішення про внесення земельного податку за встановленою формою у порядку, визначеному ст. 58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Земельний податок фізичними особами сплачується протягом 60 днів з дня вручення податкового повідомлення-рішення (п. 287.5 ст. 287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Податковий період, порядок обчислення орендної плати за земельні ділянки державної і комунальної власності, строк сплати та порядок її зарахування до бюджетів застосовується відповідно до вимог статей 285 – 287 ПКУ (п. 288.7 п. 288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Звертаємо увагу, що наказом Міністерства фінансів України від 14.01.2011 № 11 «Про бюджетну класифікацію» зі змінами і доповненнями затверджено наступну Класифікацію доходів бюджету по платі за землю: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b/>
          <w:bCs/>
          <w:sz w:val="20"/>
          <w:szCs w:val="20"/>
          <w:lang w:val="uk-UA" w:eastAsia="ru-RU"/>
        </w:rPr>
        <w:lastRenderedPageBreak/>
        <w:t>• 18010700</w:t>
      </w:r>
      <w:r w:rsidRPr="007C6437">
        <w:rPr>
          <w:rFonts w:ascii="Times New Roman" w:eastAsia="Times New Roman" w:hAnsi="Times New Roman" w:cs="Times New Roman"/>
          <w:sz w:val="20"/>
          <w:szCs w:val="20"/>
          <w:lang w:val="uk-UA" w:eastAsia="ru-RU"/>
        </w:rPr>
        <w:t xml:space="preserve"> «Земельний податок з фізичних осіб»;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b/>
          <w:bCs/>
          <w:sz w:val="20"/>
          <w:szCs w:val="20"/>
          <w:lang w:val="uk-UA" w:eastAsia="ru-RU"/>
        </w:rPr>
        <w:t>• 18010800</w:t>
      </w:r>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Реструктурована</w:t>
      </w:r>
      <w:proofErr w:type="spellEnd"/>
      <w:r w:rsidRPr="007C6437">
        <w:rPr>
          <w:rFonts w:ascii="Times New Roman" w:eastAsia="Times New Roman" w:hAnsi="Times New Roman" w:cs="Times New Roman"/>
          <w:sz w:val="20"/>
          <w:szCs w:val="20"/>
          <w:lang w:val="uk-UA" w:eastAsia="ru-RU"/>
        </w:rPr>
        <w:t xml:space="preserve"> сума заборгованості з плати за землю»; </w:t>
      </w:r>
    </w:p>
    <w:p w:rsidR="007C6437" w:rsidRPr="00907108"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b/>
          <w:bCs/>
          <w:sz w:val="20"/>
          <w:szCs w:val="20"/>
          <w:lang w:val="uk-UA" w:eastAsia="ru-RU"/>
        </w:rPr>
        <w:t>• 18010900</w:t>
      </w:r>
      <w:r w:rsidRPr="007C6437">
        <w:rPr>
          <w:rFonts w:ascii="Times New Roman" w:eastAsia="Times New Roman" w:hAnsi="Times New Roman" w:cs="Times New Roman"/>
          <w:sz w:val="20"/>
          <w:szCs w:val="20"/>
          <w:lang w:val="uk-UA" w:eastAsia="ru-RU"/>
        </w:rPr>
        <w:t xml:space="preserve"> «Орендна плата з фізичних осіб».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Мобільний ЦОП знову на виїзді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Вже вкотре, мобільний Центр обслуговування платників Головного управління ДПС у Дніпропетровській області (далі – ГУ ДПС) здійснив черговий виїзд. Були надані адміністративні послуги мешканцям </w:t>
      </w:r>
      <w:proofErr w:type="spellStart"/>
      <w:r w:rsidRPr="007C6437">
        <w:rPr>
          <w:rFonts w:ascii="Times New Roman" w:eastAsia="Times New Roman" w:hAnsi="Times New Roman" w:cs="Times New Roman"/>
          <w:sz w:val="20"/>
          <w:szCs w:val="20"/>
          <w:lang w:val="uk-UA" w:eastAsia="ru-RU"/>
        </w:rPr>
        <w:t>Гаврилівського</w:t>
      </w:r>
      <w:proofErr w:type="spellEnd"/>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старостинського</w:t>
      </w:r>
      <w:proofErr w:type="spellEnd"/>
      <w:r w:rsidRPr="007C6437">
        <w:rPr>
          <w:rFonts w:ascii="Times New Roman" w:eastAsia="Times New Roman" w:hAnsi="Times New Roman" w:cs="Times New Roman"/>
          <w:sz w:val="20"/>
          <w:szCs w:val="20"/>
          <w:lang w:val="uk-UA" w:eastAsia="ru-RU"/>
        </w:rPr>
        <w:t xml:space="preserve"> округу </w:t>
      </w:r>
      <w:proofErr w:type="spellStart"/>
      <w:r w:rsidRPr="007C6437">
        <w:rPr>
          <w:rFonts w:ascii="Times New Roman" w:eastAsia="Times New Roman" w:hAnsi="Times New Roman" w:cs="Times New Roman"/>
          <w:sz w:val="20"/>
          <w:szCs w:val="20"/>
          <w:lang w:val="uk-UA" w:eastAsia="ru-RU"/>
        </w:rPr>
        <w:t>Маломихайлівської</w:t>
      </w:r>
      <w:proofErr w:type="spellEnd"/>
      <w:r w:rsidRPr="007C6437">
        <w:rPr>
          <w:rFonts w:ascii="Times New Roman" w:eastAsia="Times New Roman" w:hAnsi="Times New Roman" w:cs="Times New Roman"/>
          <w:sz w:val="20"/>
          <w:szCs w:val="20"/>
          <w:lang w:val="uk-UA" w:eastAsia="ru-RU"/>
        </w:rPr>
        <w:t xml:space="preserve"> об’єднаної територіальної громади Покровського району Дніпропетровської області.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Представники управління податкових сервісів ГУ ДПС, начальник та фахівці Покровської ДПІ </w:t>
      </w:r>
      <w:proofErr w:type="spellStart"/>
      <w:r w:rsidRPr="007C6437">
        <w:rPr>
          <w:rFonts w:ascii="Times New Roman" w:eastAsia="Times New Roman" w:hAnsi="Times New Roman" w:cs="Times New Roman"/>
          <w:sz w:val="20"/>
          <w:szCs w:val="20"/>
          <w:lang w:val="uk-UA" w:eastAsia="ru-RU"/>
        </w:rPr>
        <w:t>Західно</w:t>
      </w:r>
      <w:proofErr w:type="spellEnd"/>
      <w:r w:rsidRPr="007C6437">
        <w:rPr>
          <w:rFonts w:ascii="Times New Roman" w:eastAsia="Times New Roman" w:hAnsi="Times New Roman" w:cs="Times New Roman"/>
          <w:sz w:val="20"/>
          <w:szCs w:val="20"/>
          <w:lang w:val="uk-UA" w:eastAsia="ru-RU"/>
        </w:rPr>
        <w:t xml:space="preserve"> – Донбаського територіального управління ГУ ДПС надали консультації мешканцям щодо роботи «Електронного кабінету» та зазначили, що одна з ключових функцій податкової служби – зробити процес роботи з платниками податків максимально автоматизованим.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Безкоштовним сервісом «Електронний кабінет» можна скористатись цілодобово, як з персональних комп’ютерів, так і зі </w:t>
      </w:r>
      <w:proofErr w:type="spellStart"/>
      <w:r w:rsidRPr="007C6437">
        <w:rPr>
          <w:rFonts w:ascii="Times New Roman" w:eastAsia="Times New Roman" w:hAnsi="Times New Roman" w:cs="Times New Roman"/>
          <w:sz w:val="20"/>
          <w:szCs w:val="20"/>
          <w:lang w:val="uk-UA" w:eastAsia="ru-RU"/>
        </w:rPr>
        <w:t>смартпристроїв</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Присутнім роздані примірники брошури «Електронний кабінет» - зручний електронний сервіс Державної податкової служби».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Проінформовано про графік роботи мобільного ЦОП, у тому числі у період карантину; за якими номерами телефонів можна отримати будь-яку податкову консультацію спеціаліста; які саме адміністративні послуги можна отримати у мобільному </w:t>
      </w:r>
      <w:proofErr w:type="spellStart"/>
      <w:r w:rsidRPr="007C6437">
        <w:rPr>
          <w:rFonts w:ascii="Times New Roman" w:eastAsia="Times New Roman" w:hAnsi="Times New Roman" w:cs="Times New Roman"/>
          <w:sz w:val="20"/>
          <w:szCs w:val="20"/>
          <w:lang w:val="uk-UA" w:eastAsia="ru-RU"/>
        </w:rPr>
        <w:t>ЦОПі</w:t>
      </w:r>
      <w:proofErr w:type="spellEnd"/>
      <w:r w:rsidRPr="007C6437">
        <w:rPr>
          <w:rFonts w:ascii="Times New Roman" w:eastAsia="Times New Roman" w:hAnsi="Times New Roman" w:cs="Times New Roman"/>
          <w:sz w:val="20"/>
          <w:szCs w:val="20"/>
          <w:lang w:val="uk-UA" w:eastAsia="ru-RU"/>
        </w:rPr>
        <w:t xml:space="preserve">; які документи потрібно мати при собі для отримання тієї чи іншої послуги. Надано консультації щодо заповнення декларації про майновий стан і доходи громадян.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Фахівцями, задіяними в роботі мобільного </w:t>
      </w:r>
      <w:proofErr w:type="spellStart"/>
      <w:r w:rsidRPr="007C6437">
        <w:rPr>
          <w:rFonts w:ascii="Times New Roman" w:eastAsia="Times New Roman" w:hAnsi="Times New Roman" w:cs="Times New Roman"/>
          <w:sz w:val="20"/>
          <w:szCs w:val="20"/>
          <w:lang w:val="uk-UA" w:eastAsia="ru-RU"/>
        </w:rPr>
        <w:t>ЦОПу</w:t>
      </w:r>
      <w:proofErr w:type="spellEnd"/>
      <w:r w:rsidRPr="007C6437">
        <w:rPr>
          <w:rFonts w:ascii="Times New Roman" w:eastAsia="Times New Roman" w:hAnsi="Times New Roman" w:cs="Times New Roman"/>
          <w:sz w:val="20"/>
          <w:szCs w:val="20"/>
          <w:lang w:val="uk-UA" w:eastAsia="ru-RU"/>
        </w:rPr>
        <w:t xml:space="preserve">, 26 серпня 2020 року у </w:t>
      </w:r>
      <w:proofErr w:type="spellStart"/>
      <w:r w:rsidRPr="007C6437">
        <w:rPr>
          <w:rFonts w:ascii="Times New Roman" w:eastAsia="Times New Roman" w:hAnsi="Times New Roman" w:cs="Times New Roman"/>
          <w:sz w:val="20"/>
          <w:szCs w:val="20"/>
          <w:lang w:val="uk-UA" w:eastAsia="ru-RU"/>
        </w:rPr>
        <w:t>Гаврилівському</w:t>
      </w:r>
      <w:proofErr w:type="spellEnd"/>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старостинському</w:t>
      </w:r>
      <w:proofErr w:type="spellEnd"/>
      <w:r w:rsidRPr="007C6437">
        <w:rPr>
          <w:rFonts w:ascii="Times New Roman" w:eastAsia="Times New Roman" w:hAnsi="Times New Roman" w:cs="Times New Roman"/>
          <w:sz w:val="20"/>
          <w:szCs w:val="20"/>
          <w:lang w:val="uk-UA" w:eastAsia="ru-RU"/>
        </w:rPr>
        <w:t xml:space="preserve"> окрузі </w:t>
      </w:r>
      <w:proofErr w:type="spellStart"/>
      <w:r w:rsidRPr="007C6437">
        <w:rPr>
          <w:rFonts w:ascii="Times New Roman" w:eastAsia="Times New Roman" w:hAnsi="Times New Roman" w:cs="Times New Roman"/>
          <w:sz w:val="20"/>
          <w:szCs w:val="20"/>
          <w:lang w:val="uk-UA" w:eastAsia="ru-RU"/>
        </w:rPr>
        <w:t>Маломихайлівської</w:t>
      </w:r>
      <w:proofErr w:type="spellEnd"/>
      <w:r w:rsidRPr="007C6437">
        <w:rPr>
          <w:rFonts w:ascii="Times New Roman" w:eastAsia="Times New Roman" w:hAnsi="Times New Roman" w:cs="Times New Roman"/>
          <w:sz w:val="20"/>
          <w:szCs w:val="20"/>
          <w:lang w:val="uk-UA" w:eastAsia="ru-RU"/>
        </w:rPr>
        <w:t xml:space="preserve"> об’єднаної територіальної громади прийнято 22 заяви на отримання адміністративних послуг, в тому числі: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 формою 1-ДР – 1 шт.;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 формою 5-ДР – 12 шт.;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прийнято запити на надання витягу з Реєстру платників єдиного податку – 4 </w:t>
      </w:r>
      <w:proofErr w:type="spellStart"/>
      <w:r w:rsidRPr="007C6437">
        <w:rPr>
          <w:rFonts w:ascii="Times New Roman" w:eastAsia="Times New Roman" w:hAnsi="Times New Roman" w:cs="Times New Roman"/>
          <w:sz w:val="20"/>
          <w:szCs w:val="20"/>
          <w:lang w:val="uk-UA" w:eastAsia="ru-RU"/>
        </w:rPr>
        <w:t>шт</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прийнято декларації про майновий стан і доходи за 2019 рік – 5 шт.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Голова </w:t>
      </w:r>
      <w:proofErr w:type="spellStart"/>
      <w:r w:rsidRPr="007C6437">
        <w:rPr>
          <w:rFonts w:ascii="Times New Roman" w:eastAsia="Times New Roman" w:hAnsi="Times New Roman" w:cs="Times New Roman"/>
          <w:sz w:val="20"/>
          <w:szCs w:val="20"/>
          <w:lang w:val="uk-UA" w:eastAsia="ru-RU"/>
        </w:rPr>
        <w:t>Маломихайлівської</w:t>
      </w:r>
      <w:proofErr w:type="spellEnd"/>
      <w:r w:rsidRPr="007C6437">
        <w:rPr>
          <w:rFonts w:ascii="Times New Roman" w:eastAsia="Times New Roman" w:hAnsi="Times New Roman" w:cs="Times New Roman"/>
          <w:sz w:val="20"/>
          <w:szCs w:val="20"/>
          <w:lang w:val="uk-UA" w:eastAsia="ru-RU"/>
        </w:rPr>
        <w:t xml:space="preserve"> об’єднаної територіальної громади в Покровському районі Зайцев Анатолій подякував за консультації та надані послуги, виявив бажання співпрацювати в питаннях отримання адміністративних послуг і в подальшому.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Сеанс телефонного зв‘язку «гаряча лінія» на тему «Супроводження судових спорів у справах загальної юрисдикції та правового забезпечення»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Питання</w:t>
      </w:r>
      <w:r w:rsidRPr="00907108">
        <w:rPr>
          <w:rFonts w:ascii="Times New Roman" w:eastAsia="Times New Roman" w:hAnsi="Times New Roman" w:cs="Times New Roman"/>
          <w:i/>
          <w:iCs/>
          <w:sz w:val="20"/>
          <w:szCs w:val="20"/>
          <w:lang w:val="uk-UA" w:eastAsia="ru-RU"/>
        </w:rPr>
        <w:t>:</w:t>
      </w:r>
      <w:r w:rsidRPr="007C6437">
        <w:rPr>
          <w:rFonts w:ascii="Times New Roman" w:eastAsia="Times New Roman" w:hAnsi="Times New Roman" w:cs="Times New Roman"/>
          <w:sz w:val="20"/>
          <w:szCs w:val="20"/>
          <w:lang w:val="uk-UA" w:eastAsia="ru-RU"/>
        </w:rPr>
        <w:t xml:space="preserve"> </w:t>
      </w:r>
      <w:r w:rsidRPr="00907108">
        <w:rPr>
          <w:rFonts w:ascii="Times New Roman" w:eastAsia="Times New Roman" w:hAnsi="Times New Roman" w:cs="Times New Roman"/>
          <w:i/>
          <w:iCs/>
          <w:sz w:val="20"/>
          <w:szCs w:val="20"/>
          <w:lang w:val="uk-UA" w:eastAsia="ru-RU"/>
        </w:rPr>
        <w:t>Скільки взагалі знаходиться на розгляді у судах справ за позовами платників податків до податкових органів області?</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Відповідь: Протягом січня-липня 2020 року на розгляді у судах різних інстанцій знаходилося близько 7 тисяч справ за позовами платників податків до ГУ ДФС/ДПС у Дніпропетровській області.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Питання</w:t>
      </w:r>
      <w:r w:rsidRPr="00907108">
        <w:rPr>
          <w:rFonts w:ascii="Times New Roman" w:eastAsia="Times New Roman" w:hAnsi="Times New Roman" w:cs="Times New Roman"/>
          <w:i/>
          <w:iCs/>
          <w:sz w:val="20"/>
          <w:szCs w:val="20"/>
          <w:lang w:val="uk-UA" w:eastAsia="ru-RU"/>
        </w:rPr>
        <w:t>:</w:t>
      </w:r>
      <w:r w:rsidRPr="007C6437">
        <w:rPr>
          <w:rFonts w:ascii="Times New Roman" w:eastAsia="Times New Roman" w:hAnsi="Times New Roman" w:cs="Times New Roman"/>
          <w:sz w:val="20"/>
          <w:szCs w:val="20"/>
          <w:lang w:val="uk-UA" w:eastAsia="ru-RU"/>
        </w:rPr>
        <w:t xml:space="preserve"> </w:t>
      </w:r>
      <w:r w:rsidRPr="00907108">
        <w:rPr>
          <w:rFonts w:ascii="Times New Roman" w:eastAsia="Times New Roman" w:hAnsi="Times New Roman" w:cs="Times New Roman"/>
          <w:i/>
          <w:iCs/>
          <w:sz w:val="20"/>
          <w:szCs w:val="20"/>
          <w:lang w:val="uk-UA" w:eastAsia="ru-RU"/>
        </w:rPr>
        <w:t xml:space="preserve">Як часто платниками податків </w:t>
      </w:r>
      <w:proofErr w:type="spellStart"/>
      <w:r w:rsidRPr="00907108">
        <w:rPr>
          <w:rFonts w:ascii="Times New Roman" w:eastAsia="Times New Roman" w:hAnsi="Times New Roman" w:cs="Times New Roman"/>
          <w:i/>
          <w:iCs/>
          <w:sz w:val="20"/>
          <w:szCs w:val="20"/>
          <w:lang w:val="uk-UA" w:eastAsia="ru-RU"/>
        </w:rPr>
        <w:t>оскаржуються</w:t>
      </w:r>
      <w:proofErr w:type="spellEnd"/>
      <w:r w:rsidRPr="00907108">
        <w:rPr>
          <w:rFonts w:ascii="Times New Roman" w:eastAsia="Times New Roman" w:hAnsi="Times New Roman" w:cs="Times New Roman"/>
          <w:i/>
          <w:iCs/>
          <w:sz w:val="20"/>
          <w:szCs w:val="20"/>
          <w:lang w:val="uk-UA" w:eastAsia="ru-RU"/>
        </w:rPr>
        <w:t xml:space="preserve"> до суду винесені органами ДПС у Дніпропетровській області податкові повідомлення-рішення</w:t>
      </w:r>
      <w:r w:rsidRPr="007C6437">
        <w:rPr>
          <w:rFonts w:ascii="Times New Roman" w:eastAsia="Times New Roman" w:hAnsi="Times New Roman" w:cs="Times New Roman"/>
          <w:sz w:val="20"/>
          <w:szCs w:val="20"/>
          <w:lang w:val="uk-UA" w:eastAsia="ru-RU"/>
        </w:rPr>
        <w:t xml:space="preserve"> </w:t>
      </w:r>
      <w:r w:rsidRPr="00907108">
        <w:rPr>
          <w:rFonts w:ascii="Times New Roman" w:eastAsia="Times New Roman" w:hAnsi="Times New Roman" w:cs="Times New Roman"/>
          <w:i/>
          <w:iCs/>
          <w:sz w:val="20"/>
          <w:szCs w:val="20"/>
          <w:lang w:val="uk-UA" w:eastAsia="ru-RU"/>
        </w:rPr>
        <w:t>?</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Відповідь: Протягом січня-липня 2020 року судом порушено провадження по 544 справах за адміністративними позовами платників податків до ГУ ДПС у Дніпропетровській області  про визнання недійсними/</w:t>
      </w:r>
      <w:proofErr w:type="spellStart"/>
      <w:r w:rsidRPr="007C6437">
        <w:rPr>
          <w:rFonts w:ascii="Times New Roman" w:eastAsia="Times New Roman" w:hAnsi="Times New Roman" w:cs="Times New Roman"/>
          <w:sz w:val="20"/>
          <w:szCs w:val="20"/>
          <w:lang w:val="uk-UA" w:eastAsia="ru-RU"/>
        </w:rPr>
        <w:t>нечинними</w:t>
      </w:r>
      <w:proofErr w:type="spellEnd"/>
      <w:r w:rsidRPr="007C6437">
        <w:rPr>
          <w:rFonts w:ascii="Times New Roman" w:eastAsia="Times New Roman" w:hAnsi="Times New Roman" w:cs="Times New Roman"/>
          <w:sz w:val="20"/>
          <w:szCs w:val="20"/>
          <w:lang w:val="uk-UA" w:eastAsia="ru-RU"/>
        </w:rPr>
        <w:t xml:space="preserve"> податкових повідомлень – рішень.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Питання</w:t>
      </w:r>
      <w:r w:rsidRPr="00907108">
        <w:rPr>
          <w:rFonts w:ascii="Times New Roman" w:eastAsia="Times New Roman" w:hAnsi="Times New Roman" w:cs="Times New Roman"/>
          <w:i/>
          <w:iCs/>
          <w:sz w:val="20"/>
          <w:szCs w:val="20"/>
          <w:lang w:val="uk-UA" w:eastAsia="ru-RU"/>
        </w:rPr>
        <w:t>:</w:t>
      </w:r>
      <w:r w:rsidRPr="007C6437">
        <w:rPr>
          <w:rFonts w:ascii="Times New Roman" w:eastAsia="Times New Roman" w:hAnsi="Times New Roman" w:cs="Times New Roman"/>
          <w:sz w:val="20"/>
          <w:szCs w:val="20"/>
          <w:lang w:val="uk-UA" w:eastAsia="ru-RU"/>
        </w:rPr>
        <w:t xml:space="preserve"> </w:t>
      </w:r>
      <w:r w:rsidRPr="00907108">
        <w:rPr>
          <w:rFonts w:ascii="Times New Roman" w:eastAsia="Times New Roman" w:hAnsi="Times New Roman" w:cs="Times New Roman"/>
          <w:i/>
          <w:iCs/>
          <w:sz w:val="20"/>
          <w:szCs w:val="20"/>
          <w:lang w:val="uk-UA" w:eastAsia="ru-RU"/>
        </w:rPr>
        <w:t>Скільки протягом 2020 року подано ГУ ДПС у Дніпропетровській області позовів про стягнення сум податкового боргу і яка на сьогоднішній день склалася судова практика?</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Відповідь: На протязі 2020 року ГУ ДПС у Дніпропетровській області направлено до суду 214 позовів.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Щодо цієї категорії справ напрацьована стала судова практика, суди задовольняють вимоги контролюючого органу. При цьому ретельно досліджують підстави виникнення боргу (самостійне декларування чи визначення контролюючим органом),  правомірність розрахунку штрафних санкцій, пені (детальний розрахунок).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Стягнення податкового боргу з фізичних осіб можливе лише в судовому порядку.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Місцеві бюджети Дніпропетровщини за сім місяців 2020 року поповнилися на 8 </w:t>
      </w:r>
      <w:proofErr w:type="spellStart"/>
      <w:r w:rsidRPr="007C6437">
        <w:rPr>
          <w:rFonts w:ascii="Times New Roman" w:eastAsia="Times New Roman" w:hAnsi="Times New Roman" w:cs="Times New Roman"/>
          <w:b/>
          <w:bCs/>
          <w:kern w:val="36"/>
          <w:sz w:val="20"/>
          <w:szCs w:val="20"/>
          <w:lang w:val="uk-UA" w:eastAsia="ru-RU"/>
        </w:rPr>
        <w:t>млрд</w:t>
      </w:r>
      <w:proofErr w:type="spellEnd"/>
      <w:r w:rsidRPr="007C6437">
        <w:rPr>
          <w:rFonts w:ascii="Times New Roman" w:eastAsia="Times New Roman" w:hAnsi="Times New Roman" w:cs="Times New Roman"/>
          <w:b/>
          <w:bCs/>
          <w:kern w:val="36"/>
          <w:sz w:val="20"/>
          <w:szCs w:val="20"/>
          <w:lang w:val="uk-UA" w:eastAsia="ru-RU"/>
        </w:rPr>
        <w:t xml:space="preserve"> 733,71 </w:t>
      </w:r>
      <w:proofErr w:type="spellStart"/>
      <w:r w:rsidRPr="007C6437">
        <w:rPr>
          <w:rFonts w:ascii="Times New Roman" w:eastAsia="Times New Roman" w:hAnsi="Times New Roman" w:cs="Times New Roman"/>
          <w:b/>
          <w:bCs/>
          <w:kern w:val="36"/>
          <w:sz w:val="20"/>
          <w:szCs w:val="20"/>
          <w:lang w:val="uk-UA" w:eastAsia="ru-RU"/>
        </w:rPr>
        <w:t>млн</w:t>
      </w:r>
      <w:proofErr w:type="spellEnd"/>
      <w:r w:rsidRPr="007C6437">
        <w:rPr>
          <w:rFonts w:ascii="Times New Roman" w:eastAsia="Times New Roman" w:hAnsi="Times New Roman" w:cs="Times New Roman"/>
          <w:b/>
          <w:bCs/>
          <w:kern w:val="36"/>
          <w:sz w:val="20"/>
          <w:szCs w:val="20"/>
          <w:lang w:val="uk-UA" w:eastAsia="ru-RU"/>
        </w:rPr>
        <w:t xml:space="preserve"> гривень ПДФО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 умовах, коли країна проводить заходи з метою запобігання поширенню на території України гострої респіраторної хвороби COVID-19, спричиненої </w:t>
      </w:r>
      <w:proofErr w:type="spellStart"/>
      <w:r w:rsidRPr="007C6437">
        <w:rPr>
          <w:rFonts w:ascii="Times New Roman" w:eastAsia="Times New Roman" w:hAnsi="Times New Roman" w:cs="Times New Roman"/>
          <w:sz w:val="20"/>
          <w:szCs w:val="20"/>
          <w:lang w:val="uk-UA" w:eastAsia="ru-RU"/>
        </w:rPr>
        <w:t>коронавірусом</w:t>
      </w:r>
      <w:proofErr w:type="spellEnd"/>
      <w:r w:rsidRPr="007C6437">
        <w:rPr>
          <w:rFonts w:ascii="Times New Roman" w:eastAsia="Times New Roman" w:hAnsi="Times New Roman" w:cs="Times New Roman"/>
          <w:sz w:val="20"/>
          <w:szCs w:val="20"/>
          <w:lang w:val="uk-UA" w:eastAsia="ru-RU"/>
        </w:rPr>
        <w:t xml:space="preserve">, кошти які надходять до місцевих бюджетів області є вагомим важелем для цієї боротьби.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Одним із основних бюджетоутворюючих податків є податок на доходи фізичних осіб. Поступове збільшення надходжень цього податку дуже важливо для місцевих бюджетів області.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За підсумками січня - липня 2020 року платниками податків направлено до місцевих бюджетів податку на доходи фізичних осіб у сумі 8 </w:t>
      </w:r>
      <w:proofErr w:type="spellStart"/>
      <w:r w:rsidRPr="007C6437">
        <w:rPr>
          <w:rFonts w:ascii="Times New Roman" w:eastAsia="Times New Roman" w:hAnsi="Times New Roman" w:cs="Times New Roman"/>
          <w:sz w:val="20"/>
          <w:szCs w:val="20"/>
          <w:lang w:val="uk-UA" w:eastAsia="ru-RU"/>
        </w:rPr>
        <w:t>млрд</w:t>
      </w:r>
      <w:proofErr w:type="spellEnd"/>
      <w:r w:rsidRPr="007C6437">
        <w:rPr>
          <w:rFonts w:ascii="Times New Roman" w:eastAsia="Times New Roman" w:hAnsi="Times New Roman" w:cs="Times New Roman"/>
          <w:sz w:val="20"/>
          <w:szCs w:val="20"/>
          <w:lang w:val="uk-UA" w:eastAsia="ru-RU"/>
        </w:rPr>
        <w:t xml:space="preserve"> 733,71 </w:t>
      </w:r>
      <w:proofErr w:type="spellStart"/>
      <w:r w:rsidRPr="007C6437">
        <w:rPr>
          <w:rFonts w:ascii="Times New Roman" w:eastAsia="Times New Roman" w:hAnsi="Times New Roman" w:cs="Times New Roman"/>
          <w:sz w:val="20"/>
          <w:szCs w:val="20"/>
          <w:lang w:val="uk-UA" w:eastAsia="ru-RU"/>
        </w:rPr>
        <w:t>млн</w:t>
      </w:r>
      <w:proofErr w:type="spellEnd"/>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грн</w:t>
      </w:r>
      <w:proofErr w:type="spellEnd"/>
      <w:r w:rsidRPr="007C6437">
        <w:rPr>
          <w:rFonts w:ascii="Times New Roman" w:eastAsia="Times New Roman" w:hAnsi="Times New Roman" w:cs="Times New Roman"/>
          <w:sz w:val="20"/>
          <w:szCs w:val="20"/>
          <w:lang w:val="uk-UA" w:eastAsia="ru-RU"/>
        </w:rPr>
        <w:t xml:space="preserve">,  що на 411,52 </w:t>
      </w:r>
      <w:proofErr w:type="spellStart"/>
      <w:r w:rsidRPr="007C6437">
        <w:rPr>
          <w:rFonts w:ascii="Times New Roman" w:eastAsia="Times New Roman" w:hAnsi="Times New Roman" w:cs="Times New Roman"/>
          <w:sz w:val="20"/>
          <w:szCs w:val="20"/>
          <w:lang w:val="uk-UA" w:eastAsia="ru-RU"/>
        </w:rPr>
        <w:t>млн</w:t>
      </w:r>
      <w:proofErr w:type="spellEnd"/>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грн</w:t>
      </w:r>
      <w:proofErr w:type="spellEnd"/>
      <w:r w:rsidRPr="007C6437">
        <w:rPr>
          <w:rFonts w:ascii="Times New Roman" w:eastAsia="Times New Roman" w:hAnsi="Times New Roman" w:cs="Times New Roman"/>
          <w:sz w:val="20"/>
          <w:szCs w:val="20"/>
          <w:lang w:val="uk-UA" w:eastAsia="ru-RU"/>
        </w:rPr>
        <w:t xml:space="preserve"> більше надходжень відповідного періоду минулого року.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907108" w:rsidRDefault="007C6437" w:rsidP="007C6437">
      <w:pPr>
        <w:pStyle w:val="a6"/>
        <w:spacing w:before="0" w:beforeAutospacing="0" w:after="0" w:afterAutospacing="0"/>
        <w:jc w:val="both"/>
        <w:rPr>
          <w:b/>
          <w:sz w:val="20"/>
          <w:szCs w:val="20"/>
          <w:lang w:val="uk-UA"/>
        </w:rPr>
      </w:pPr>
      <w:r w:rsidRPr="00907108">
        <w:rPr>
          <w:b/>
          <w:sz w:val="20"/>
          <w:szCs w:val="20"/>
          <w:lang w:val="uk-UA"/>
        </w:rPr>
        <w:t>28.08.2020</w:t>
      </w:r>
    </w:p>
    <w:p w:rsidR="007C6437" w:rsidRPr="00907108" w:rsidRDefault="007C6437" w:rsidP="007C6437">
      <w:pPr>
        <w:pStyle w:val="a6"/>
        <w:spacing w:before="0" w:beforeAutospacing="0" w:after="0" w:afterAutospacing="0"/>
        <w:jc w:val="both"/>
        <w:rPr>
          <w:b/>
          <w:sz w:val="20"/>
          <w:szCs w:val="20"/>
          <w:lang w:val="uk-UA"/>
        </w:rPr>
      </w:pPr>
    </w:p>
    <w:p w:rsidR="007C6437" w:rsidRPr="00907108" w:rsidRDefault="007C6437" w:rsidP="007C6437">
      <w:pPr>
        <w:pStyle w:val="1"/>
        <w:spacing w:before="0" w:beforeAutospacing="0" w:after="0" w:afterAutospacing="0"/>
        <w:jc w:val="both"/>
        <w:rPr>
          <w:sz w:val="20"/>
          <w:szCs w:val="20"/>
          <w:lang w:val="uk-UA"/>
        </w:rPr>
      </w:pPr>
      <w:r w:rsidRPr="00907108">
        <w:rPr>
          <w:sz w:val="20"/>
          <w:szCs w:val="20"/>
          <w:lang w:val="uk-UA"/>
        </w:rPr>
        <w:t xml:space="preserve">Підписано Меморандум про партнерство та співробітництво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Начальник Головного управління ДПС у Дніпропетровській області Ганна Чуб та Голова ради Територіального відділення Всеукраїнської громадської організації «Асоціація платників податків України» в Дніпропетровській області Вікторія Захарова підписали Меморандум про партнерство та співробітництво.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Відповідно до Меморандуму сторони сумісно працюватимуть над удосконаленням податкового законодавства та організовуватимуть спільні заходи для платників податків.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lastRenderedPageBreak/>
        <w:t xml:space="preserve">«Головне управління ДПС області спільно з територіальним відділенням АППУ працюватиме над створенням сприятливих умов для ведення бізнесу в регіоні. Відкритість та партнерство, відверте обговорення нагальних питань та спільний пошук шляхів їх вирішення – ключові акценти діалогу податкової служби з бізнесом», – зазначила Ганна Чуб.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Діалог вийшов активним і цікавим, адже партнерство та взаємна повага між бізнесом і податковою службою створює сприятливі умови для успішного ведення бізнесу, що є запорукою стабільної та процвітаючої економіки нашого регіону.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Учасники обговорили подальшу співпрацю та домовилися про розробку та підписання плану спільних заходів для платників податків. </w:t>
      </w:r>
    </w:p>
    <w:p w:rsidR="007C6437" w:rsidRPr="00907108" w:rsidRDefault="007C6437" w:rsidP="007C6437">
      <w:pPr>
        <w:pStyle w:val="a6"/>
        <w:spacing w:before="0" w:beforeAutospacing="0" w:after="0" w:afterAutospacing="0"/>
        <w:jc w:val="both"/>
        <w:rPr>
          <w:sz w:val="20"/>
          <w:szCs w:val="20"/>
          <w:lang w:val="uk-UA"/>
        </w:rPr>
      </w:pPr>
    </w:p>
    <w:p w:rsidR="007C6437" w:rsidRPr="00907108" w:rsidRDefault="007C6437" w:rsidP="007C6437">
      <w:pPr>
        <w:pStyle w:val="1"/>
        <w:spacing w:before="0" w:beforeAutospacing="0" w:after="0" w:afterAutospacing="0"/>
        <w:jc w:val="both"/>
        <w:rPr>
          <w:sz w:val="20"/>
          <w:szCs w:val="20"/>
          <w:lang w:val="uk-UA"/>
        </w:rPr>
      </w:pPr>
      <w:r w:rsidRPr="00907108">
        <w:rPr>
          <w:sz w:val="20"/>
          <w:szCs w:val="20"/>
          <w:lang w:val="uk-UA"/>
        </w:rPr>
        <w:t xml:space="preserve">До уваги фінансових агентів! Перенесено строки подання звітів про підзвітні рахунки в рамках Угоди FATCA за 2019 податковий рік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 метою забезпечення реалізації міжнародних зобов’язань України відповідно до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(далі – Угода FATCA) Державна податкова служба України повідомляє про отримання від Міністерства фінансів України такої інформації.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На офіційному сайті Служби внутрішніх доходів США опубліковане повідомлення про перенесення у зв’язку з COVID-19 строків подання звітів про підзвітні рахунки в рамках Угоди FATCA за 2019 податковий рік для компетентних органів країн, що звітують за моделлю IGA 1, до яких відноситься і Україна, на період до 31 грудня 2020 року. Повідомлення опубліковане за посиланням: </w:t>
      </w:r>
      <w:hyperlink r:id="rId10" w:history="1">
        <w:r w:rsidRPr="00907108">
          <w:rPr>
            <w:rStyle w:val="a8"/>
            <w:sz w:val="20"/>
            <w:szCs w:val="20"/>
            <w:lang w:val="uk-UA"/>
          </w:rPr>
          <w:t>https://www.irs.gov/newsroom/irs-grants-extension-of-time-to-file-fatca-information-returns</w:t>
        </w:r>
      </w:hyperlink>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Крім цього, листом від 07.08.2020 Міністерство фінансів США повідомило, що відповідно до постанов Мінфіну США (TD 9610, 78 </w:t>
      </w:r>
      <w:proofErr w:type="spellStart"/>
      <w:r w:rsidRPr="00907108">
        <w:rPr>
          <w:sz w:val="20"/>
          <w:szCs w:val="20"/>
          <w:lang w:val="uk-UA"/>
        </w:rPr>
        <w:t>Fed</w:t>
      </w:r>
      <w:proofErr w:type="spellEnd"/>
      <w:r w:rsidRPr="00907108">
        <w:rPr>
          <w:sz w:val="20"/>
          <w:szCs w:val="20"/>
          <w:lang w:val="uk-UA"/>
        </w:rPr>
        <w:t xml:space="preserve">. </w:t>
      </w:r>
      <w:proofErr w:type="spellStart"/>
      <w:r w:rsidRPr="00907108">
        <w:rPr>
          <w:sz w:val="20"/>
          <w:szCs w:val="20"/>
          <w:lang w:val="uk-UA"/>
        </w:rPr>
        <w:t>Reg</w:t>
      </w:r>
      <w:proofErr w:type="spellEnd"/>
      <w:r w:rsidRPr="00907108">
        <w:rPr>
          <w:sz w:val="20"/>
          <w:szCs w:val="20"/>
          <w:lang w:val="uk-UA"/>
        </w:rPr>
        <w:t xml:space="preserve">. 5873) термін подання звітів для всіх </w:t>
      </w:r>
      <w:proofErr w:type="spellStart"/>
      <w:r w:rsidRPr="00907108">
        <w:rPr>
          <w:sz w:val="20"/>
          <w:szCs w:val="20"/>
          <w:lang w:val="uk-UA"/>
        </w:rPr>
        <w:t>звітуючих</w:t>
      </w:r>
      <w:proofErr w:type="spellEnd"/>
      <w:r w:rsidRPr="00907108">
        <w:rPr>
          <w:sz w:val="20"/>
          <w:szCs w:val="20"/>
          <w:lang w:val="uk-UA"/>
        </w:rPr>
        <w:t xml:space="preserve"> країн, у тому числі для України, подовжено до 31 грудня 2020 року.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Зазначені рішення, прийняті Міністерством фінансів США, змінюють терміни виконання міжнародних зобов’язань України, встановлені пунктом 5 статті 3 Угоди FATCA, стосовно надання Службі внутрішніх доходів США інформації щодо підзвітних рахунків до 30 вересня 2020 року, що в свою чергу веде до зміни строків звітування для фінансових агентів.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Відповідно до пункту 69.8.3 статті 69 Податкового кодексу України фінансові агенти зобов’язані щороку, до 1 вересня, подавати до центрального органу виконавчої влади, що реалізує державну податкову політику, звіт про підзвітні рахунки.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Згідно з пунктом 3.2 статті 3 Кодексу якщо міжнародним договором, згода на обов’язковість якого надана Верховною Радою України, встановлено інші правила, ніж ті, що передбачені цим Кодексом, застосовуються правила міжнародного договору.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Підпунктом b) пункту 6 статті 4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встановлено, що незважаючи на пункти 3 і 5 статті 3 цієї Угоди, Україна не зобов’язується починати обмін інформацією раніше дати, до якої вимагається подавати подібну інформацію іноземними фінансовими установами, що беруть участь, до Служби внутрішніх доходів відповідно до постанов Міністерства фінансів США.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Враховуючи зазначене, для ДПС України, яка є компетентним органом для цілей автоматичного обміну інформацією в рамках Угоди FATCA, строки подання до Служби внутрішніх доходів США звітів за 2019 податковий рік подовжено до 31 грудня 2020 року. Зважаючи на те, що у Кодексі встановлений термін звітності для фінансових агентів, який забезпечує компетентному органу місячний термін для обробки та перевірки наданої інформації, кінцевий строк подання фінансовими агентами звіту про підзвітні рахунки подовжуються до 01 грудня 2020 року. До цієї дати фінансові агенти повинні подати через портал IDES (</w:t>
      </w:r>
      <w:proofErr w:type="spellStart"/>
      <w:r w:rsidRPr="00907108">
        <w:rPr>
          <w:sz w:val="20"/>
          <w:szCs w:val="20"/>
          <w:lang w:val="uk-UA"/>
        </w:rPr>
        <w:t>International</w:t>
      </w:r>
      <w:proofErr w:type="spellEnd"/>
      <w:r w:rsidRPr="00907108">
        <w:rPr>
          <w:sz w:val="20"/>
          <w:szCs w:val="20"/>
          <w:lang w:val="uk-UA"/>
        </w:rPr>
        <w:t xml:space="preserve"> </w:t>
      </w:r>
      <w:proofErr w:type="spellStart"/>
      <w:r w:rsidRPr="00907108">
        <w:rPr>
          <w:sz w:val="20"/>
          <w:szCs w:val="20"/>
          <w:lang w:val="uk-UA"/>
        </w:rPr>
        <w:t>data</w:t>
      </w:r>
      <w:proofErr w:type="spellEnd"/>
      <w:r w:rsidRPr="00907108">
        <w:rPr>
          <w:sz w:val="20"/>
          <w:szCs w:val="20"/>
          <w:lang w:val="uk-UA"/>
        </w:rPr>
        <w:t xml:space="preserve"> </w:t>
      </w:r>
      <w:proofErr w:type="spellStart"/>
      <w:r w:rsidRPr="00907108">
        <w:rPr>
          <w:sz w:val="20"/>
          <w:szCs w:val="20"/>
          <w:lang w:val="uk-UA"/>
        </w:rPr>
        <w:t>exchange</w:t>
      </w:r>
      <w:proofErr w:type="spellEnd"/>
      <w:r w:rsidRPr="00907108">
        <w:rPr>
          <w:sz w:val="20"/>
          <w:szCs w:val="20"/>
          <w:lang w:val="uk-UA"/>
        </w:rPr>
        <w:t xml:space="preserve"> </w:t>
      </w:r>
      <w:proofErr w:type="spellStart"/>
      <w:r w:rsidRPr="00907108">
        <w:rPr>
          <w:sz w:val="20"/>
          <w:szCs w:val="20"/>
          <w:lang w:val="uk-UA"/>
        </w:rPr>
        <w:t>service</w:t>
      </w:r>
      <w:proofErr w:type="spellEnd"/>
      <w:r w:rsidRPr="00907108">
        <w:rPr>
          <w:sz w:val="20"/>
          <w:szCs w:val="20"/>
          <w:lang w:val="uk-UA"/>
        </w:rPr>
        <w:t xml:space="preserve"> – Міжнародна служба обміну даними) до ДПС України (центрального органу виконавчої влади, що реалізує державну податкову політику) звіти про підзвітні рахунки за 2019 рік та інформацію, яка стосується звітних періодів з 2014 по 2018 роки, відповідно до положень Угоди FATCA.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Порядок заповнення і подання фінансовими агентами звіту про підзвітні рахунки відповідно до Угоди між Урядом України та Урядом Сполучених штатів Америки для поліпшення виконання податкових правил застосування Закону США «Про податкові вимоги до іноземних рахунків» (FATCA)» затверджений </w:t>
      </w:r>
      <w:hyperlink r:id="rId11" w:history="1">
        <w:r w:rsidRPr="00907108">
          <w:rPr>
            <w:rStyle w:val="a8"/>
            <w:sz w:val="20"/>
            <w:szCs w:val="20"/>
            <w:lang w:val="uk-UA"/>
          </w:rPr>
          <w:t>наказом Міністерства фінансів України від 12 серпня 2020 року № 496</w:t>
        </w:r>
      </w:hyperlink>
      <w:r w:rsidRPr="00907108">
        <w:rPr>
          <w:sz w:val="20"/>
          <w:szCs w:val="20"/>
          <w:lang w:val="uk-UA"/>
        </w:rPr>
        <w:t xml:space="preserve">, зареєстрованим в Міністерстві юстиції України 20 серпня 2020 року за № 810/35093.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Інформацію розміщено на офіційному </w:t>
      </w:r>
      <w:proofErr w:type="spellStart"/>
      <w:r w:rsidRPr="00907108">
        <w:rPr>
          <w:sz w:val="20"/>
          <w:szCs w:val="20"/>
          <w:lang w:val="uk-UA"/>
        </w:rPr>
        <w:t>вебпорталі</w:t>
      </w:r>
      <w:proofErr w:type="spellEnd"/>
      <w:r w:rsidRPr="00907108">
        <w:rPr>
          <w:sz w:val="20"/>
          <w:szCs w:val="20"/>
          <w:lang w:val="uk-UA"/>
        </w:rPr>
        <w:t xml:space="preserve"> ДПС України за посиланням:  </w:t>
      </w:r>
      <w:hyperlink r:id="rId12" w:history="1">
        <w:r w:rsidRPr="00907108">
          <w:rPr>
            <w:rStyle w:val="a8"/>
            <w:sz w:val="20"/>
            <w:szCs w:val="20"/>
            <w:lang w:val="uk-UA"/>
          </w:rPr>
          <w:t>https://tax.gov.ua/media-tsentr/novini/431286.html</w:t>
        </w:r>
      </w:hyperlink>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Чинним законодавством не передбачено розстрочення та відстрочення заборгованості по сплаті єдиного внеску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З</w:t>
      </w:r>
      <w:r w:rsidRPr="007C6437">
        <w:rPr>
          <w:rFonts w:ascii="Times New Roman" w:eastAsia="Times New Roman" w:hAnsi="Times New Roman" w:cs="Times New Roman"/>
          <w:sz w:val="20"/>
          <w:szCs w:val="20"/>
          <w:lang w:val="uk-UA" w:eastAsia="ru-RU"/>
        </w:rPr>
        <w:t>вертає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увагу, що чинним законодавством, яке регулює порядок нарахування, обчислення і сплати єдиного внеску на загальнообов’язкове державне соціальне страхування (далі – єдиний внесок), не передбачено розстрочення та відстрочення заборгованості по сплаті єдиного внеску.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Відповідно до частини 12 ст. 9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єдиний внесок підлягає сплаті незалежно від фінансового стану платника. За наявності у платника єдиного внеску одночасно із зобов’язаннями із сплати єдиного внеску зобов’язань із сплати податків, інших обов’язкових платежів, передбачених законом, або зобов’язань перед іншими кредиторами зобов’язання із сплати єдиного внеску виконуються в першу чергу і мають пріоритет перед усіма іншими зобов’язаннями, </w:t>
      </w:r>
      <w:r w:rsidRPr="00907108">
        <w:rPr>
          <w:rFonts w:ascii="Times New Roman" w:eastAsia="Times New Roman" w:hAnsi="Times New Roman" w:cs="Times New Roman"/>
          <w:i/>
          <w:iCs/>
          <w:sz w:val="20"/>
          <w:szCs w:val="20"/>
          <w:lang w:val="uk-UA" w:eastAsia="ru-RU"/>
        </w:rPr>
        <w:t>крім зобов’язань з виплати заробітної плати (доходу)</w:t>
      </w:r>
      <w:r w:rsidRPr="007C6437">
        <w:rPr>
          <w:rFonts w:ascii="Times New Roman" w:eastAsia="Times New Roman" w:hAnsi="Times New Roman" w:cs="Times New Roman"/>
          <w:sz w:val="20"/>
          <w:szCs w:val="20"/>
          <w:lang w:val="uk-UA" w:eastAsia="ru-RU"/>
        </w:rPr>
        <w:t xml:space="preserve">.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У разі несвоєчасної або не в повному обсязі сплати єдиного внеску до платника застосовуються фінансові санкції, передбачені Закон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Військовослужбовець, який отримує грошове забезпечення, не має права на застосування податкової знижки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Податковий кодекс України (далі – ПКУ),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(далі – ПДФО) </w:t>
      </w:r>
      <w:r w:rsidRPr="007C6437">
        <w:rPr>
          <w:rFonts w:ascii="Times New Roman" w:eastAsia="Times New Roman" w:hAnsi="Times New Roman" w:cs="Times New Roman"/>
          <w:sz w:val="20"/>
          <w:szCs w:val="20"/>
          <w:lang w:val="uk-UA" w:eastAsia="ru-RU"/>
        </w:rPr>
        <w:lastRenderedPageBreak/>
        <w:t xml:space="preserve">грошового забезпечення, грошових винагород та інших виплат, одержаних військовослужбовцями у зв’язку з виконанням обов’язків несення служби, </w:t>
      </w:r>
      <w:r w:rsidRPr="00907108">
        <w:rPr>
          <w:rFonts w:ascii="Times New Roman" w:eastAsia="Times New Roman" w:hAnsi="Times New Roman" w:cs="Times New Roman"/>
          <w:i/>
          <w:iCs/>
          <w:sz w:val="20"/>
          <w:szCs w:val="20"/>
          <w:lang w:val="uk-UA" w:eastAsia="ru-RU"/>
        </w:rPr>
        <w:t>крім сум грошового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w:t>
      </w:r>
      <w:r w:rsidRPr="007C6437">
        <w:rPr>
          <w:rFonts w:ascii="Times New Roman" w:eastAsia="Times New Roman" w:hAnsi="Times New Roman" w:cs="Times New Roman"/>
          <w:sz w:val="20"/>
          <w:szCs w:val="20"/>
          <w:lang w:val="uk-UA" w:eastAsia="ru-RU"/>
        </w:rPr>
        <w:t xml:space="preserve">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165.1.10 п. 165.1 ст. 165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При цьому, згідно з п. 168.5 ст. 168 ПКУ суми ПДФО, що утримуються з грошового забезпечення, грошових винагород та інших виплат, одержаних військовослужбовцями,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підрозділів цивільного захисту, податкової міліції, а також визначених Законом України від 20 грудня 1991 року № 2011-XII «Про соціальний і правовий захист військовослужбовців та членів їх сімей» із змінами та доповненнями членами сім’ї, батьками, утриманцями загиблого (померлого) військовослужбовця, у зв’язку з виконанням обов’язків під час проходження служби, спрямовуються виключно на виплату рівноцінної та повної компенсації втрат доходів цієї категорії громадян.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Податкова знижка для фізичних осіб, які не є суб’єктами господарювання, – це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14.1.170 п. 14.1 ст. 14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ПДФО у зв’язку з відносинами трудового найму згідно із законом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14.1.48 п. 14.1 ст. 14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Порядок застосування податкової знижки передбачений ст. 166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Згідно з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166.4.2 п. 166.4 ст. 166 ПКУ передбачено, що загальна сума податкової знижки, нарахована платнику ПДФО в звітному податковому році, не може перевищувати суми річного загального оподатковуваного доходу платника ПДФО, нарахованого як заробітна плата, зменшена з урахуванням положень п. 164.6 ст. 164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Враховуючи викладене, військовослужбовець, який отримує грошове забезпечення, не має права на застосування податкової знижки.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Право на податкову знижку має фізична особа, яка є найманою особою, виключно до доходів, одержаних протягом року у вигляді заробітної плати.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Формування податкового кредиту з ПДВ при одночасному застосуванні касового метода та метода «за подією, що сталася раніше»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sz w:val="20"/>
          <w:szCs w:val="20"/>
          <w:lang w:val="uk-UA" w:eastAsia="ru-RU"/>
        </w:rPr>
        <w:t>Н</w:t>
      </w:r>
      <w:r w:rsidRPr="007C6437">
        <w:rPr>
          <w:rFonts w:ascii="Times New Roman" w:eastAsia="Times New Roman" w:hAnsi="Times New Roman" w:cs="Times New Roman"/>
          <w:sz w:val="20"/>
          <w:szCs w:val="20"/>
          <w:lang w:val="uk-UA" w:eastAsia="ru-RU"/>
        </w:rPr>
        <w:t>агадує</w:t>
      </w:r>
      <w:r w:rsidRPr="00907108">
        <w:rPr>
          <w:rFonts w:ascii="Times New Roman" w:eastAsia="Times New Roman" w:hAnsi="Times New Roman" w:cs="Times New Roman"/>
          <w:sz w:val="20"/>
          <w:szCs w:val="20"/>
          <w:lang w:val="uk-UA" w:eastAsia="ru-RU"/>
        </w:rPr>
        <w:t>мо</w:t>
      </w:r>
      <w:r w:rsidRPr="007C6437">
        <w:rPr>
          <w:rFonts w:ascii="Times New Roman" w:eastAsia="Times New Roman" w:hAnsi="Times New Roman" w:cs="Times New Roman"/>
          <w:sz w:val="20"/>
          <w:szCs w:val="20"/>
          <w:lang w:val="uk-UA" w:eastAsia="ru-RU"/>
        </w:rPr>
        <w:t xml:space="preserve">, що касовий метод для цілей оподаткування ПДВ згідно з розділом V Податкового кодексу України (далі – ПКУ) – це метод податкового обліку, за яким дата виникнення податкових зобов’язань визначається як дата зарахування (отримання) коштів на рахунки платника ПДВ, відкриті в установах банків та/або в органах, що здійснюють казначейське обслуговування бюджетних коштів, у касу платника податків або дата отримання інших видів компенсацій вартості поставлених (або тих, що підлягають поставці) ним товарів (послуг), а дата віднесення сум ПДВ до податкового кредиту визначається як дата списання коштів з рахунків платника ПДВ, відкритих в установах банків, та/або в органах, що здійснюють казначейське обслуговування бюджетних коштів, дата видачі з каси платника податків або дата надання інших видів компенсацій вартості поставлених (або тих, що підлягають поставці) йому товарів (послуг).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Норми встановлені </w:t>
      </w:r>
      <w:proofErr w:type="spellStart"/>
      <w:r w:rsidRPr="007C6437">
        <w:rPr>
          <w:rFonts w:ascii="Times New Roman" w:eastAsia="Times New Roman" w:hAnsi="Times New Roman" w:cs="Times New Roman"/>
          <w:sz w:val="20"/>
          <w:szCs w:val="20"/>
          <w:lang w:val="uk-UA" w:eastAsia="ru-RU"/>
        </w:rPr>
        <w:t>п.п</w:t>
      </w:r>
      <w:proofErr w:type="spellEnd"/>
      <w:r w:rsidRPr="007C6437">
        <w:rPr>
          <w:rFonts w:ascii="Times New Roman" w:eastAsia="Times New Roman" w:hAnsi="Times New Roman" w:cs="Times New Roman"/>
          <w:sz w:val="20"/>
          <w:szCs w:val="20"/>
          <w:lang w:val="uk-UA" w:eastAsia="ru-RU"/>
        </w:rPr>
        <w:t xml:space="preserve">. 14.1.266 п.14.1 ст.14 ПКУ.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Тобто, якщо платник ПДВ придбаває (виготовляє) товари (послуги) та основні фонди, які призначаються для їх використання в операціях, за якими податкові зобов’язання визначаються за касовим методом, то суми ПДВ, сплачені у зв’язку з таким придбанням (виготовленням), до податкового кредиту включаються теж за касовим методом.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За операціями, за якими податкові зобов’язання нараховуються в загальновстановленому порядку відповідно до ст. 187 ПКУ, податковий кредит виникає за правилами, визначеними ст. 198 ПКУ.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Отже, при одночасному застосуванні платником ПДВ двох способів обліку податкових зобов’язань, а саме: за касовим методом та за подією, що сталася раніше, а придбані та/або виготовлені ним товари/послуги призначені для часткового використання в операціях, за якими дата виникнення податкових зобов’язань визначається частково за касовим методом, а частково – за подією, що сталася раніше, то податковий кредит відповідно виникатиме пропорційно такому призначенню та використанню таких товарів/послуг.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907108" w:rsidRDefault="007C6437" w:rsidP="007C6437">
      <w:pPr>
        <w:pStyle w:val="1"/>
        <w:spacing w:before="0" w:beforeAutospacing="0" w:after="0" w:afterAutospacing="0"/>
        <w:jc w:val="both"/>
        <w:rPr>
          <w:sz w:val="20"/>
          <w:szCs w:val="20"/>
          <w:lang w:val="uk-UA"/>
        </w:rPr>
      </w:pPr>
      <w:r w:rsidRPr="00907108">
        <w:rPr>
          <w:sz w:val="20"/>
          <w:szCs w:val="20"/>
          <w:lang w:val="uk-UA"/>
        </w:rPr>
        <w:t xml:space="preserve">Повернення помилково та/або надміру сплачених сум грошового зобов’язання (крім єдиного внеску): дії платника податків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Повідомляємо, що відповідно до ст. 43 Податкового кодексу України (далі – ПКУ) підлягають поверненню платнику, зокрема помилково та/або надміру сплачені суми грошового зобов’язання, </w:t>
      </w:r>
      <w:r w:rsidRPr="00907108">
        <w:rPr>
          <w:rStyle w:val="a7"/>
          <w:sz w:val="20"/>
          <w:szCs w:val="20"/>
          <w:lang w:val="uk-UA"/>
        </w:rPr>
        <w:t>крім випадків наявності у такого платника податкового боргу</w:t>
      </w:r>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Норми встановлені п. 43.1 ст. 43 (далі –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У разі наявності у платника податків податкового боргу, повернення помилково та/або надміру сплаченої суми грошового зобов’язання на поточний рахунок такого платника податків в установі банку або шляхом повернення готівковими коштами за чеком, у разі відсутності у платника податків рахунку в банку, проводиться лише після повного погашення такого податкового боргу платником податків (п. 43.2 ст. 43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Обов’язковою умовою для здійснення повернення сум грошового зобов’язання та пені є подання платником податків заяви про таке повернення </w:t>
      </w:r>
      <w:r w:rsidRPr="00907108">
        <w:rPr>
          <w:rStyle w:val="a7"/>
          <w:sz w:val="20"/>
          <w:szCs w:val="20"/>
          <w:lang w:val="uk-UA"/>
        </w:rPr>
        <w:t>(крім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w:t>
      </w:r>
      <w:r w:rsidRPr="00907108">
        <w:rPr>
          <w:sz w:val="20"/>
          <w:szCs w:val="20"/>
          <w:lang w:val="uk-UA"/>
        </w:rPr>
        <w:t xml:space="preserve"> протягом 1095 днів від дня виникнення помилково та/або надміру сплаченої суми та/або пені (п. 43.3 ст. 43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Платник податків подає заяву про повернення помилково та/або надміру сплачених грошових зобов’язань та пені (далі – заява) у довільній формі, в якій зазначає напрям перерахування коштів: на поточний рахунок платника податків в </w:t>
      </w:r>
      <w:r w:rsidRPr="00907108">
        <w:rPr>
          <w:sz w:val="20"/>
          <w:szCs w:val="20"/>
          <w:lang w:val="uk-UA"/>
        </w:rPr>
        <w:lastRenderedPageBreak/>
        <w:t xml:space="preserve">установі банку;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чеком у разі відсутності у платника податків рахунка в банку (п. 43.4 ст. 43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У разі повернення надміру сплачених податкових зобов’язань з податку на додану вартість, зарахованих до бюджету з рахунка платника податку в системі електронного адміністрування податку на додану вартість у порядку, визначеному п. 200</w:t>
      </w:r>
      <w:r w:rsidRPr="00907108">
        <w:rPr>
          <w:sz w:val="20"/>
          <w:szCs w:val="20"/>
          <w:vertAlign w:val="superscript"/>
          <w:lang w:val="uk-UA"/>
        </w:rPr>
        <w:t>1</w:t>
      </w:r>
      <w:r w:rsidRPr="00907108">
        <w:rPr>
          <w:sz w:val="20"/>
          <w:szCs w:val="20"/>
          <w:lang w:val="uk-UA"/>
        </w:rPr>
        <w:t>.5 ст. 200</w:t>
      </w:r>
      <w:r w:rsidRPr="00907108">
        <w:rPr>
          <w:sz w:val="20"/>
          <w:szCs w:val="20"/>
          <w:vertAlign w:val="superscript"/>
          <w:lang w:val="uk-UA"/>
        </w:rPr>
        <w:t>1</w:t>
      </w:r>
      <w:r w:rsidRPr="00907108">
        <w:rPr>
          <w:sz w:val="20"/>
          <w:szCs w:val="20"/>
          <w:lang w:val="uk-UA"/>
        </w:rPr>
        <w:t xml:space="preserve"> ПКУ, такі кошти підлягають поверненню виключно на рахунок платника в системі електронного адміністрування податку на додану вартість, а у разі його відсутності на момент звернення платника податків із заявою на повернення надміру сплачених податкових зобов’язань з податку на додану вартість чи на момент фактичного повернення коштів – шляхом перерахування на поточний рахунок платника податків в установі банку (п. 43.4</w:t>
      </w:r>
      <w:r w:rsidRPr="00907108">
        <w:rPr>
          <w:sz w:val="20"/>
          <w:szCs w:val="20"/>
          <w:vertAlign w:val="superscript"/>
          <w:lang w:val="uk-UA"/>
        </w:rPr>
        <w:t>1</w:t>
      </w:r>
      <w:r w:rsidRPr="00907108">
        <w:rPr>
          <w:sz w:val="20"/>
          <w:szCs w:val="20"/>
          <w:lang w:val="uk-UA"/>
        </w:rPr>
        <w:t xml:space="preserve"> ст. 43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Згідно з п. 43.5 ст. 43 ПКУ контролюючий орган не пізніше ніж за п’ять робочих днів до закінчення двадцятиденного строку з дня подання платником податків заяви готує висновок про повернення належних сум коштів з відповідного бюджету та подає його для виконання відповідному органові, що здійснює казначейське обслуговування бюджетних коштів.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У разі якщо повернення сум податку на доходи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 відповідне повідомлення надсилається контролюючим органом до органу, що здійснює казначейське обслуговування бюджетних коштів, не пізніше ніж за п’ять робочих днів до закінчення шістдесятиденного строку з дня отримання відповідної податкової декларації.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На підставі отриманого висновку орган, що здійснює казначейське обслуговування бюджетних коштів, протягом п’яти робочих днів здійснює повернення помилково та/або надміру сплачених грошових зобов’язань та пені платникам податків у порядку, встановленому центральним органом виконавчої влади, що забезпечує формування та реалізує державну фінансову політику.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Контролюючий орган несе відповідальність згідно із законом за несвоєчасність передачі органу, що здійснює казначейське обслуговування бюджетних коштів, для виконання висновку про повернення відповідних сум коштів з відповідного бюджету.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Пунктом 43.6 ст. 43 ПКУ визначено, що повернення помилково та/або надміру сплачених грошових зобов’язань платникам податків здійснюється з бюджету, у який такі кошти були зараховані.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Пунктом 1 розділу ІІ Порядку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(далі – Порядок № 60), встановлено, що повернення помилково та/або надміру сплачених сум грошових зобов’язань та пені у випадках, передбачених законодавством, здійснюється виключно на підставі заяви платника податку </w:t>
      </w:r>
      <w:r w:rsidRPr="00907108">
        <w:rPr>
          <w:rStyle w:val="a7"/>
          <w:sz w:val="20"/>
          <w:szCs w:val="20"/>
          <w:lang w:val="uk-UA"/>
        </w:rPr>
        <w:t>(за винятком повернення надміру утриманих (сплачених) сум податку на доходи фізичних осіб, які розраховуються територіальним органом ДПС на підставі поданої платником податків податкової декларації про майновий стан і доходи за звітний календарний рік шляхом проведення перерахунку за загальним річним оподатковуваним доходом платника податку)</w:t>
      </w:r>
      <w:r w:rsidRPr="00907108">
        <w:rPr>
          <w:sz w:val="20"/>
          <w:szCs w:val="20"/>
          <w:lang w:val="uk-UA"/>
        </w:rPr>
        <w:t xml:space="preserve">, поданої до територіального органу ДПС за місцем адміністрування (обліку) помилково та/або надміру сплаченої суми протягом 1095 днів від дня її виникнення.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Заява може бути подана платником до територіального органу ДПС в електронній формі за допомогою засобів інформаційно-телекомунікаційних систем та з дотриманням вимог законодавства у сферах захисту інформації, електронних довірчих послуг та електронного документообігу.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Додатково до заяви платник може подати копію платіжного документа, на виконання якого помилково та/або надміру сплачений платіж перераховано до бюджету (п. 2 розділу ІІ Порядку № 60).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зокрема, управління сумами помилково та/або надміру сплачених грошових зобов’язань та пені відповідно до положень ПКУ, в тому числі шляхом подачі заяви про повернення помилково та/або надміру сплачених грошових зобов’язань та/або пені (п. 42 </w:t>
      </w:r>
      <w:r w:rsidRPr="00907108">
        <w:rPr>
          <w:sz w:val="20"/>
          <w:szCs w:val="20"/>
          <w:vertAlign w:val="superscript"/>
          <w:lang w:val="uk-UA"/>
        </w:rPr>
        <w:t>1</w:t>
      </w:r>
      <w:r w:rsidRPr="00907108">
        <w:rPr>
          <w:sz w:val="20"/>
          <w:szCs w:val="20"/>
          <w:lang w:val="uk-UA"/>
        </w:rPr>
        <w:t xml:space="preserve">.2 ст. 42 </w:t>
      </w:r>
      <w:r w:rsidRPr="00907108">
        <w:rPr>
          <w:sz w:val="20"/>
          <w:szCs w:val="20"/>
          <w:vertAlign w:val="superscript"/>
          <w:lang w:val="uk-UA"/>
        </w:rPr>
        <w:t>1</w:t>
      </w:r>
      <w:r w:rsidRPr="00907108">
        <w:rPr>
          <w:sz w:val="20"/>
          <w:szCs w:val="20"/>
          <w:lang w:val="uk-UA"/>
        </w:rPr>
        <w:t xml:space="preserve"> ПКУ).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Отже, для повернення помилково та/або надміру сплачених сум грошового зобов’язання та пені </w:t>
      </w:r>
      <w:r w:rsidRPr="00907108">
        <w:rPr>
          <w:rStyle w:val="a7"/>
          <w:sz w:val="20"/>
          <w:szCs w:val="20"/>
          <w:lang w:val="uk-UA"/>
        </w:rPr>
        <w:t>(крім єдиного внеску на загальнообов’язкове державне соціальне страхування)</w:t>
      </w:r>
      <w:r w:rsidRPr="00907108">
        <w:rPr>
          <w:sz w:val="20"/>
          <w:szCs w:val="20"/>
          <w:lang w:val="uk-UA"/>
        </w:rPr>
        <w:t xml:space="preserve"> платник податків має подати протягом 1095 днів від дня їх виникнення до територіального органу ДПС за місцем адміністрування (обліку) помилково та/або надміру сплаченої суми заяву у довільній формі з зазначенням напряму перерахування коштів: на поточний рахунок платника податків в установі банку;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чеком у разі відсутності у платника податків рахунка в банку.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При цьому такий платник має можливість подати заяву в електронній формі через приватну частину Електронного кабінету за ідентифікатором форми </w:t>
      </w:r>
      <w:r w:rsidRPr="00907108">
        <w:rPr>
          <w:rStyle w:val="a7"/>
          <w:b/>
          <w:bCs/>
          <w:sz w:val="20"/>
          <w:szCs w:val="20"/>
          <w:lang w:val="uk-UA"/>
        </w:rPr>
        <w:t>J/F 1302001</w:t>
      </w:r>
      <w:r w:rsidRPr="00907108">
        <w:rPr>
          <w:sz w:val="20"/>
          <w:szCs w:val="20"/>
          <w:lang w:val="uk-UA"/>
        </w:rPr>
        <w:t xml:space="preserve"> або у довільній формі через меню </w:t>
      </w:r>
      <w:r w:rsidRPr="00907108">
        <w:rPr>
          <w:rStyle w:val="a7"/>
          <w:sz w:val="20"/>
          <w:szCs w:val="20"/>
          <w:lang w:val="uk-UA"/>
        </w:rPr>
        <w:t>«Листування з ДПС»</w:t>
      </w:r>
      <w:r w:rsidRPr="00907108">
        <w:rPr>
          <w:sz w:val="20"/>
          <w:szCs w:val="20"/>
          <w:lang w:val="uk-UA"/>
        </w:rPr>
        <w:t xml:space="preserve"> приватної частини Електронного кабінету.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Вхід до Електронного кабінету здійснюється за адресою: </w:t>
      </w:r>
      <w:hyperlink r:id="rId13" w:history="1">
        <w:r w:rsidRPr="00907108">
          <w:rPr>
            <w:rStyle w:val="a8"/>
            <w:sz w:val="20"/>
            <w:szCs w:val="20"/>
            <w:lang w:val="uk-UA"/>
          </w:rPr>
          <w:t>http://cabinet.tax.gov.ua</w:t>
        </w:r>
      </w:hyperlink>
      <w:r w:rsidRPr="00907108">
        <w:rPr>
          <w:sz w:val="20"/>
          <w:szCs w:val="20"/>
          <w:lang w:val="uk-UA"/>
        </w:rPr>
        <w:t xml:space="preserve">, а також через офіційний </w:t>
      </w:r>
      <w:proofErr w:type="spellStart"/>
      <w:r w:rsidRPr="00907108">
        <w:rPr>
          <w:sz w:val="20"/>
          <w:szCs w:val="20"/>
          <w:lang w:val="uk-UA"/>
        </w:rPr>
        <w:t>вебпортал</w:t>
      </w:r>
      <w:proofErr w:type="spellEnd"/>
      <w:r w:rsidRPr="00907108">
        <w:rPr>
          <w:sz w:val="20"/>
          <w:szCs w:val="20"/>
          <w:lang w:val="uk-UA"/>
        </w:rPr>
        <w:t xml:space="preserve"> ДПС. </w:t>
      </w:r>
    </w:p>
    <w:p w:rsidR="007C6437" w:rsidRPr="00907108" w:rsidRDefault="007C6437" w:rsidP="007C6437">
      <w:pPr>
        <w:pStyle w:val="a6"/>
        <w:spacing w:before="0" w:beforeAutospacing="0" w:after="0" w:afterAutospacing="0"/>
        <w:jc w:val="both"/>
        <w:rPr>
          <w:sz w:val="20"/>
          <w:szCs w:val="20"/>
          <w:lang w:val="uk-UA"/>
        </w:rPr>
      </w:pPr>
      <w:r w:rsidRPr="00907108">
        <w:rPr>
          <w:sz w:val="20"/>
          <w:szCs w:val="20"/>
          <w:lang w:val="uk-UA"/>
        </w:rPr>
        <w:t xml:space="preserve">Крім того, заява може бути подана платником податків до територіального органу ДПС засобами програмного забезпечення ІТС </w:t>
      </w:r>
      <w:r w:rsidRPr="00907108">
        <w:rPr>
          <w:rStyle w:val="a7"/>
          <w:sz w:val="20"/>
          <w:szCs w:val="20"/>
          <w:lang w:val="uk-UA"/>
        </w:rPr>
        <w:t>«Єдине вікно подання електронної звітності»</w:t>
      </w:r>
      <w:r w:rsidRPr="00907108">
        <w:rPr>
          <w:sz w:val="20"/>
          <w:szCs w:val="20"/>
          <w:lang w:val="uk-UA"/>
        </w:rPr>
        <w:t xml:space="preserve">. </w:t>
      </w:r>
    </w:p>
    <w:p w:rsidR="007C6437" w:rsidRPr="00907108" w:rsidRDefault="007C6437" w:rsidP="007C6437">
      <w:pPr>
        <w:pStyle w:val="a6"/>
        <w:spacing w:before="0" w:beforeAutospacing="0" w:after="0" w:afterAutospacing="0"/>
        <w:jc w:val="both"/>
        <w:rPr>
          <w:sz w:val="20"/>
          <w:szCs w:val="20"/>
          <w:lang w:val="uk-UA"/>
        </w:rPr>
      </w:pPr>
    </w:p>
    <w:p w:rsidR="007C6437" w:rsidRPr="007C6437" w:rsidRDefault="007C6437" w:rsidP="007C6437">
      <w:pPr>
        <w:outlineLvl w:val="0"/>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Алгоритм дій для фізичних осіб – підприємців щодо припинення підприємницької діяльності в режимі </w:t>
      </w:r>
      <w:proofErr w:type="spellStart"/>
      <w:r w:rsidRPr="007C6437">
        <w:rPr>
          <w:rFonts w:ascii="Times New Roman" w:eastAsia="Times New Roman" w:hAnsi="Times New Roman" w:cs="Times New Roman"/>
          <w:b/>
          <w:bCs/>
          <w:kern w:val="36"/>
          <w:sz w:val="20"/>
          <w:szCs w:val="20"/>
          <w:lang w:val="uk-UA" w:eastAsia="ru-RU"/>
        </w:rPr>
        <w:t>online</w:t>
      </w:r>
      <w:proofErr w:type="spellEnd"/>
      <w:r w:rsidRPr="007C6437">
        <w:rPr>
          <w:rFonts w:ascii="Times New Roman" w:eastAsia="Times New Roman" w:hAnsi="Times New Roman" w:cs="Times New Roman"/>
          <w:b/>
          <w:bCs/>
          <w:kern w:val="36"/>
          <w:sz w:val="20"/>
          <w:szCs w:val="20"/>
          <w:lang w:val="uk-UA" w:eastAsia="ru-RU"/>
        </w:rPr>
        <w:t xml:space="preserve"> у Єдиному державному реєстрі юридичних осіб, фізичних осіб – підприємців та громадських формувань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lastRenderedPageBreak/>
        <w:t>Процедуру внесення запису про державну реєстрацію припинення підприємницької діяльності фізичної особи в Єдиному державному реєстрі юридичних осіб, фізичних осіб – підприємців та громадських формувань   можливо здійснити  в режимі  </w:t>
      </w:r>
      <w:proofErr w:type="spellStart"/>
      <w:r w:rsidRPr="007C6437">
        <w:rPr>
          <w:rFonts w:ascii="Times New Roman" w:eastAsia="Times New Roman" w:hAnsi="Times New Roman" w:cs="Times New Roman"/>
          <w:sz w:val="20"/>
          <w:szCs w:val="20"/>
          <w:lang w:val="uk-UA" w:eastAsia="ru-RU"/>
        </w:rPr>
        <w:t>online</w:t>
      </w:r>
      <w:proofErr w:type="spellEnd"/>
      <w:r w:rsidRPr="007C6437">
        <w:rPr>
          <w:rFonts w:ascii="Times New Roman" w:eastAsia="Times New Roman" w:hAnsi="Times New Roman" w:cs="Times New Roman"/>
          <w:sz w:val="20"/>
          <w:szCs w:val="20"/>
          <w:lang w:val="uk-UA" w:eastAsia="ru-RU"/>
        </w:rPr>
        <w:t xml:space="preserve"> за допомогою  </w:t>
      </w:r>
      <w:proofErr w:type="spellStart"/>
      <w:r w:rsidRPr="007C6437">
        <w:rPr>
          <w:rFonts w:ascii="Times New Roman" w:eastAsia="Times New Roman" w:hAnsi="Times New Roman" w:cs="Times New Roman"/>
          <w:sz w:val="20"/>
          <w:szCs w:val="20"/>
          <w:lang w:val="uk-UA" w:eastAsia="ru-RU"/>
        </w:rPr>
        <w:t>онлайн</w:t>
      </w:r>
      <w:proofErr w:type="spellEnd"/>
      <w:r w:rsidRPr="007C6437">
        <w:rPr>
          <w:rFonts w:ascii="Times New Roman" w:eastAsia="Times New Roman" w:hAnsi="Times New Roman" w:cs="Times New Roman"/>
          <w:sz w:val="20"/>
          <w:szCs w:val="20"/>
          <w:lang w:val="uk-UA" w:eastAsia="ru-RU"/>
        </w:rPr>
        <w:t xml:space="preserve"> – сервісу державних послуг «ДІЯ», який знаходиться за посиланням </w:t>
      </w:r>
      <w:proofErr w:type="spellStart"/>
      <w:r w:rsidRPr="007C6437">
        <w:rPr>
          <w:rFonts w:ascii="Times New Roman" w:eastAsia="Times New Roman" w:hAnsi="Times New Roman" w:cs="Times New Roman"/>
          <w:sz w:val="20"/>
          <w:szCs w:val="20"/>
          <w:lang w:val="uk-UA" w:eastAsia="ru-RU"/>
        </w:rPr>
        <w:t>diia.gov.ua</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b/>
          <w:bCs/>
          <w:sz w:val="20"/>
          <w:szCs w:val="20"/>
          <w:lang w:val="uk-UA" w:eastAsia="ru-RU"/>
        </w:rPr>
        <w:t xml:space="preserve">Для того, щоб стати користувачем </w:t>
      </w:r>
      <w:proofErr w:type="spellStart"/>
      <w:r w:rsidRPr="00907108">
        <w:rPr>
          <w:rFonts w:ascii="Times New Roman" w:eastAsia="Times New Roman" w:hAnsi="Times New Roman" w:cs="Times New Roman"/>
          <w:b/>
          <w:bCs/>
          <w:sz w:val="20"/>
          <w:szCs w:val="20"/>
          <w:lang w:val="uk-UA" w:eastAsia="ru-RU"/>
        </w:rPr>
        <w:t>онлайн</w:t>
      </w:r>
      <w:proofErr w:type="spellEnd"/>
      <w:r w:rsidRPr="00907108">
        <w:rPr>
          <w:rFonts w:ascii="Times New Roman" w:eastAsia="Times New Roman" w:hAnsi="Times New Roman" w:cs="Times New Roman"/>
          <w:b/>
          <w:bCs/>
          <w:sz w:val="20"/>
          <w:szCs w:val="20"/>
          <w:lang w:val="uk-UA" w:eastAsia="ru-RU"/>
        </w:rPr>
        <w:t xml:space="preserve"> - сервісу «ДІЯ», необхідно:</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отримати кваліфікований електронний підпис у будь – якого Кваліфікованого надавача електронних довірчих послуг, банку та інших установах;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здійснити вхід до </w:t>
      </w:r>
      <w:proofErr w:type="spellStart"/>
      <w:r w:rsidRPr="007C6437">
        <w:rPr>
          <w:rFonts w:ascii="Times New Roman" w:eastAsia="Times New Roman" w:hAnsi="Times New Roman" w:cs="Times New Roman"/>
          <w:sz w:val="20"/>
          <w:szCs w:val="20"/>
          <w:lang w:val="uk-UA" w:eastAsia="ru-RU"/>
        </w:rPr>
        <w:t>онлайн</w:t>
      </w:r>
      <w:proofErr w:type="spellEnd"/>
      <w:r w:rsidRPr="007C6437">
        <w:rPr>
          <w:rFonts w:ascii="Times New Roman" w:eastAsia="Times New Roman" w:hAnsi="Times New Roman" w:cs="Times New Roman"/>
          <w:sz w:val="20"/>
          <w:szCs w:val="20"/>
          <w:lang w:val="uk-UA" w:eastAsia="ru-RU"/>
        </w:rPr>
        <w:t xml:space="preserve"> – сервісу «ДІЯ» за посиланням </w:t>
      </w:r>
      <w:proofErr w:type="spellStart"/>
      <w:r w:rsidRPr="007C6437">
        <w:rPr>
          <w:rFonts w:ascii="Times New Roman" w:eastAsia="Times New Roman" w:hAnsi="Times New Roman" w:cs="Times New Roman"/>
          <w:sz w:val="20"/>
          <w:szCs w:val="20"/>
          <w:lang w:val="uk-UA" w:eastAsia="ru-RU"/>
        </w:rPr>
        <w:t>diia.gov.ua</w:t>
      </w:r>
      <w:proofErr w:type="spellEnd"/>
      <w:r w:rsidRPr="007C6437">
        <w:rPr>
          <w:rFonts w:ascii="Times New Roman" w:eastAsia="Times New Roman" w:hAnsi="Times New Roman" w:cs="Times New Roman"/>
          <w:sz w:val="20"/>
          <w:szCs w:val="20"/>
          <w:lang w:val="uk-UA" w:eastAsia="ru-RU"/>
        </w:rPr>
        <w:t xml:space="preserve">, перейти до розділу «Бізнесу», вибрати послугу «Закриття </w:t>
      </w:r>
      <w:proofErr w:type="spellStart"/>
      <w:r w:rsidRPr="007C6437">
        <w:rPr>
          <w:rFonts w:ascii="Times New Roman" w:eastAsia="Times New Roman" w:hAnsi="Times New Roman" w:cs="Times New Roman"/>
          <w:sz w:val="20"/>
          <w:szCs w:val="20"/>
          <w:lang w:val="uk-UA" w:eastAsia="ru-RU"/>
        </w:rPr>
        <w:t>ФОП</w:t>
      </w:r>
      <w:proofErr w:type="spellEnd"/>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зареєструватися чи авторизуватися (якщо вже зареєстровані) користувачем кабінету  за допомогою отриманого кваліфікованого електронного підпису. </w:t>
      </w:r>
    </w:p>
    <w:p w:rsidR="007C6437" w:rsidRPr="007C6437" w:rsidRDefault="007C6437" w:rsidP="007C6437">
      <w:pPr>
        <w:rPr>
          <w:rFonts w:ascii="Times New Roman" w:eastAsia="Times New Roman" w:hAnsi="Times New Roman" w:cs="Times New Roman"/>
          <w:sz w:val="20"/>
          <w:szCs w:val="20"/>
          <w:lang w:val="uk-UA" w:eastAsia="ru-RU"/>
        </w:rPr>
      </w:pPr>
      <w:r w:rsidRPr="00907108">
        <w:rPr>
          <w:rFonts w:ascii="Times New Roman" w:eastAsia="Times New Roman" w:hAnsi="Times New Roman" w:cs="Times New Roman"/>
          <w:b/>
          <w:bCs/>
          <w:sz w:val="20"/>
          <w:szCs w:val="20"/>
          <w:lang w:val="uk-UA" w:eastAsia="ru-RU"/>
        </w:rPr>
        <w:t xml:space="preserve">Для замовлення послуги «закриття </w:t>
      </w:r>
      <w:proofErr w:type="spellStart"/>
      <w:r w:rsidRPr="00907108">
        <w:rPr>
          <w:rFonts w:ascii="Times New Roman" w:eastAsia="Times New Roman" w:hAnsi="Times New Roman" w:cs="Times New Roman"/>
          <w:b/>
          <w:bCs/>
          <w:sz w:val="20"/>
          <w:szCs w:val="20"/>
          <w:lang w:val="uk-UA" w:eastAsia="ru-RU"/>
        </w:rPr>
        <w:t>ФОП</w:t>
      </w:r>
      <w:proofErr w:type="spellEnd"/>
      <w:r w:rsidRPr="00907108">
        <w:rPr>
          <w:rFonts w:ascii="Times New Roman" w:eastAsia="Times New Roman" w:hAnsi="Times New Roman" w:cs="Times New Roman"/>
          <w:b/>
          <w:bCs/>
          <w:sz w:val="20"/>
          <w:szCs w:val="20"/>
          <w:lang w:val="uk-UA" w:eastAsia="ru-RU"/>
        </w:rPr>
        <w:t>», необхідно:</w:t>
      </w:r>
      <w:r w:rsidRPr="007C6437">
        <w:rPr>
          <w:rFonts w:ascii="Times New Roman" w:eastAsia="Times New Roman" w:hAnsi="Times New Roman" w:cs="Times New Roman"/>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заповнити </w:t>
      </w:r>
      <w:proofErr w:type="spellStart"/>
      <w:r w:rsidRPr="007C6437">
        <w:rPr>
          <w:rFonts w:ascii="Times New Roman" w:eastAsia="Times New Roman" w:hAnsi="Times New Roman" w:cs="Times New Roman"/>
          <w:sz w:val="20"/>
          <w:szCs w:val="20"/>
          <w:lang w:val="uk-UA" w:eastAsia="ru-RU"/>
        </w:rPr>
        <w:t>онлайн</w:t>
      </w:r>
      <w:proofErr w:type="spellEnd"/>
      <w:r w:rsidRPr="007C6437">
        <w:rPr>
          <w:rFonts w:ascii="Times New Roman" w:eastAsia="Times New Roman" w:hAnsi="Times New Roman" w:cs="Times New Roman"/>
          <w:sz w:val="20"/>
          <w:szCs w:val="20"/>
          <w:lang w:val="uk-UA" w:eastAsia="ru-RU"/>
        </w:rPr>
        <w:t xml:space="preserve"> – форму Заяви на отримання послуги;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перевірити на достовірність наявної  інформації, яка збережена в системі;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підписати Заяву за допомогою кваліфікованого електронного підпису.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Підписана Заява в автоматичному режимі надсилається до державного реєстратора, інформація про закриття суб’єкта господарювання буде надіслана до органів ДПС України, за місцем перебування суб’єкта господарювання на податковому обліку.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Статус Заяви можливо перевірити у кабінеті громадянина.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Повідомлення про державну реєстрацію припинення підприємницької діяльності фізичної особи в Єдиному державному реєстрі юридичних осіб, фізичних осіб – підприємців та громадських формувань  з'явиться у кабінеті та буде відправлено  заявнику послуги електронною поштою. </w:t>
      </w:r>
    </w:p>
    <w:p w:rsidR="007C6437" w:rsidRPr="00907108"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Звертаємо увагу, що сервіс безкоштовний, витрати часу на замовлення послуги складають 2 хвилини, термін реєстрації заяви – протягом доби. </w:t>
      </w:r>
    </w:p>
    <w:p w:rsidR="007C6437" w:rsidRPr="00907108"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rPr>
          <w:rFonts w:ascii="Times New Roman" w:eastAsia="Times New Roman" w:hAnsi="Times New Roman" w:cs="Times New Roman"/>
          <w:b/>
          <w:bCs/>
          <w:kern w:val="36"/>
          <w:sz w:val="20"/>
          <w:szCs w:val="20"/>
          <w:lang w:val="uk-UA" w:eastAsia="ru-RU"/>
        </w:rPr>
      </w:pPr>
      <w:r w:rsidRPr="007C6437">
        <w:rPr>
          <w:rFonts w:ascii="Times New Roman" w:eastAsia="Times New Roman" w:hAnsi="Times New Roman" w:cs="Times New Roman"/>
          <w:b/>
          <w:bCs/>
          <w:kern w:val="36"/>
          <w:sz w:val="20"/>
          <w:szCs w:val="20"/>
          <w:lang w:val="uk-UA" w:eastAsia="ru-RU"/>
        </w:rPr>
        <w:t xml:space="preserve">Мобільний ЦОП на </w:t>
      </w:r>
      <w:proofErr w:type="spellStart"/>
      <w:r w:rsidRPr="007C6437">
        <w:rPr>
          <w:rFonts w:ascii="Times New Roman" w:eastAsia="Times New Roman" w:hAnsi="Times New Roman" w:cs="Times New Roman"/>
          <w:b/>
          <w:bCs/>
          <w:kern w:val="36"/>
          <w:sz w:val="20"/>
          <w:szCs w:val="20"/>
          <w:lang w:val="uk-UA" w:eastAsia="ru-RU"/>
        </w:rPr>
        <w:t>Нікопольщині</w:t>
      </w:r>
      <w:proofErr w:type="spellEnd"/>
      <w:r w:rsidRPr="007C6437">
        <w:rPr>
          <w:rFonts w:ascii="Times New Roman" w:eastAsia="Times New Roman" w:hAnsi="Times New Roman" w:cs="Times New Roman"/>
          <w:b/>
          <w:bCs/>
          <w:kern w:val="36"/>
          <w:sz w:val="20"/>
          <w:szCs w:val="20"/>
          <w:lang w:val="uk-UA" w:eastAsia="ru-RU"/>
        </w:rPr>
        <w:t xml:space="preserve">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Мобільний Центр обслуговування платників Головного управління ДПС у Дніпропетровській області (далі – ГУ ДПС) цього разу вирушив до мешканців </w:t>
      </w:r>
      <w:proofErr w:type="spellStart"/>
      <w:r w:rsidRPr="007C6437">
        <w:rPr>
          <w:rFonts w:ascii="Times New Roman" w:eastAsia="Times New Roman" w:hAnsi="Times New Roman" w:cs="Times New Roman"/>
          <w:sz w:val="20"/>
          <w:szCs w:val="20"/>
          <w:lang w:val="uk-UA" w:eastAsia="ru-RU"/>
        </w:rPr>
        <w:t>Червоногригорівської</w:t>
      </w:r>
      <w:proofErr w:type="spellEnd"/>
      <w:r w:rsidRPr="007C6437">
        <w:rPr>
          <w:rFonts w:ascii="Times New Roman" w:eastAsia="Times New Roman" w:hAnsi="Times New Roman" w:cs="Times New Roman"/>
          <w:sz w:val="20"/>
          <w:szCs w:val="20"/>
          <w:lang w:val="uk-UA" w:eastAsia="ru-RU"/>
        </w:rPr>
        <w:t xml:space="preserve"> селищної ради </w:t>
      </w:r>
      <w:proofErr w:type="spellStart"/>
      <w:r w:rsidRPr="007C6437">
        <w:rPr>
          <w:rFonts w:ascii="Times New Roman" w:eastAsia="Times New Roman" w:hAnsi="Times New Roman" w:cs="Times New Roman"/>
          <w:sz w:val="20"/>
          <w:szCs w:val="20"/>
          <w:lang w:val="uk-UA" w:eastAsia="ru-RU"/>
        </w:rPr>
        <w:t>Червоногригорівської</w:t>
      </w:r>
      <w:proofErr w:type="spellEnd"/>
      <w:r w:rsidRPr="007C6437">
        <w:rPr>
          <w:rFonts w:ascii="Times New Roman" w:eastAsia="Times New Roman" w:hAnsi="Times New Roman" w:cs="Times New Roman"/>
          <w:sz w:val="20"/>
          <w:szCs w:val="20"/>
          <w:lang w:val="uk-UA" w:eastAsia="ru-RU"/>
        </w:rPr>
        <w:t xml:space="preserve"> об’єднаної територіальної громади Нікопольського району Дніпропетровської області (територія обслуговування Нікопольської ДПІ Нікопольського управління ГУ ДПС у Дніпропетровській області).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Представники управління податкових сервісів ГУ ДПС, начальник та заступник начальника Нікопольської ДПІ Нікопольського територіального управління ГУ ДПС надали консультації мешканцям щодо роботи «Електронного кабінету». </w:t>
      </w:r>
    </w:p>
    <w:p w:rsidR="007C6437" w:rsidRPr="007C6437" w:rsidRDefault="007C6437" w:rsidP="007C6437">
      <w:pPr>
        <w:rPr>
          <w:rFonts w:ascii="Times New Roman" w:eastAsia="Times New Roman" w:hAnsi="Times New Roman" w:cs="Times New Roman"/>
          <w:sz w:val="20"/>
          <w:szCs w:val="20"/>
          <w:lang w:val="uk-UA" w:eastAsia="ru-RU"/>
        </w:rPr>
      </w:pP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Присутнім роздані примірники брошури «Електронний кабінет» - зручний електронний сервіс Державної податкової служби».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У </w:t>
      </w:r>
      <w:proofErr w:type="spellStart"/>
      <w:r w:rsidRPr="007C6437">
        <w:rPr>
          <w:rFonts w:ascii="Times New Roman" w:eastAsia="Times New Roman" w:hAnsi="Times New Roman" w:cs="Times New Roman"/>
          <w:sz w:val="20"/>
          <w:szCs w:val="20"/>
          <w:lang w:val="uk-UA" w:eastAsia="ru-RU"/>
        </w:rPr>
        <w:t>Червноногригорівській</w:t>
      </w:r>
      <w:proofErr w:type="spellEnd"/>
      <w:r w:rsidRPr="007C6437">
        <w:rPr>
          <w:rFonts w:ascii="Times New Roman" w:eastAsia="Times New Roman" w:hAnsi="Times New Roman" w:cs="Times New Roman"/>
          <w:sz w:val="20"/>
          <w:szCs w:val="20"/>
          <w:lang w:val="uk-UA" w:eastAsia="ru-RU"/>
        </w:rPr>
        <w:t xml:space="preserve"> селищній раді Нікопольського району прийнято 55 заяв на отримання адміністративних послуг, в тому числі: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 формою 1-ДР – 39 шт.;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 формою 5-ДР – 14 шт.;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 за формою 5-ДР – 2 шт. </w:t>
      </w:r>
    </w:p>
    <w:p w:rsidR="007C6437" w:rsidRPr="007C6437" w:rsidRDefault="007C6437" w:rsidP="007C6437">
      <w:pPr>
        <w:rPr>
          <w:rFonts w:ascii="Times New Roman" w:eastAsia="Times New Roman" w:hAnsi="Times New Roman" w:cs="Times New Roman"/>
          <w:sz w:val="20"/>
          <w:szCs w:val="20"/>
          <w:lang w:val="uk-UA" w:eastAsia="ru-RU"/>
        </w:rPr>
      </w:pPr>
      <w:r w:rsidRPr="007C6437">
        <w:rPr>
          <w:rFonts w:ascii="Times New Roman" w:eastAsia="Times New Roman" w:hAnsi="Times New Roman" w:cs="Times New Roman"/>
          <w:sz w:val="20"/>
          <w:szCs w:val="20"/>
          <w:lang w:val="uk-UA" w:eastAsia="ru-RU"/>
        </w:rPr>
        <w:t xml:space="preserve">Голова </w:t>
      </w:r>
      <w:proofErr w:type="spellStart"/>
      <w:r w:rsidRPr="007C6437">
        <w:rPr>
          <w:rFonts w:ascii="Times New Roman" w:eastAsia="Times New Roman" w:hAnsi="Times New Roman" w:cs="Times New Roman"/>
          <w:sz w:val="20"/>
          <w:szCs w:val="20"/>
          <w:lang w:val="uk-UA" w:eastAsia="ru-RU"/>
        </w:rPr>
        <w:t>Червоногригорівської</w:t>
      </w:r>
      <w:proofErr w:type="spellEnd"/>
      <w:r w:rsidRPr="007C6437">
        <w:rPr>
          <w:rFonts w:ascii="Times New Roman" w:eastAsia="Times New Roman" w:hAnsi="Times New Roman" w:cs="Times New Roman"/>
          <w:sz w:val="20"/>
          <w:szCs w:val="20"/>
          <w:lang w:val="uk-UA" w:eastAsia="ru-RU"/>
        </w:rPr>
        <w:t xml:space="preserve"> об’єднаної територіальної громади Микола Матюк подякував за можливість для своєї громади отримати послуги та відповідні консультації, висловив бажання співпрацювати в питаннях отримання адміністративних послуг в майбутньому. </w:t>
      </w:r>
    </w:p>
    <w:p w:rsidR="007C6437" w:rsidRPr="00907108" w:rsidRDefault="007C6437" w:rsidP="007C6437">
      <w:pPr>
        <w:pStyle w:val="a6"/>
        <w:spacing w:before="0" w:beforeAutospacing="0" w:after="0" w:afterAutospacing="0"/>
        <w:jc w:val="both"/>
        <w:rPr>
          <w:sz w:val="20"/>
          <w:szCs w:val="20"/>
          <w:lang w:val="uk-UA"/>
        </w:rPr>
      </w:pPr>
    </w:p>
    <w:sectPr w:rsidR="007C6437" w:rsidRPr="00907108" w:rsidSect="00CE12F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F451B"/>
    <w:multiLevelType w:val="multilevel"/>
    <w:tmpl w:val="A6E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5A0546"/>
    <w:multiLevelType w:val="multilevel"/>
    <w:tmpl w:val="C4C667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B3BB9"/>
    <w:rsid w:val="000B3BB9"/>
    <w:rsid w:val="00110AB7"/>
    <w:rsid w:val="00314BE1"/>
    <w:rsid w:val="00534B30"/>
    <w:rsid w:val="005370CC"/>
    <w:rsid w:val="00581168"/>
    <w:rsid w:val="005878B5"/>
    <w:rsid w:val="00730D44"/>
    <w:rsid w:val="00762A7C"/>
    <w:rsid w:val="007B396F"/>
    <w:rsid w:val="007C291B"/>
    <w:rsid w:val="007C6437"/>
    <w:rsid w:val="00897F7A"/>
    <w:rsid w:val="008E3BFB"/>
    <w:rsid w:val="00907108"/>
    <w:rsid w:val="00970055"/>
    <w:rsid w:val="00B63615"/>
    <w:rsid w:val="00C3064D"/>
    <w:rsid w:val="00C807F0"/>
    <w:rsid w:val="00CC4E52"/>
    <w:rsid w:val="00CE12FC"/>
    <w:rsid w:val="00E27769"/>
    <w:rsid w:val="00E53F17"/>
    <w:rsid w:val="00FC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0B3BB9"/>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B3BB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3BB9"/>
    <w:rPr>
      <w:rFonts w:ascii="Times New Roman" w:eastAsia="Times New Roman" w:hAnsi="Times New Roman" w:cs="Times New Roman"/>
      <w:b/>
      <w:bCs/>
      <w:kern w:val="36"/>
      <w:sz w:val="48"/>
      <w:szCs w:val="48"/>
      <w:lang w:eastAsia="ru-RU"/>
    </w:rPr>
  </w:style>
  <w:style w:type="paragraph" w:customStyle="1" w:styleId="21">
    <w:name w:val="21"/>
    <w:basedOn w:val="a"/>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3">
    <w:name w:val="Strong"/>
    <w:basedOn w:val="a0"/>
    <w:uiPriority w:val="22"/>
    <w:qFormat/>
    <w:rsid w:val="000B3BB9"/>
    <w:rPr>
      <w:b/>
      <w:bCs/>
    </w:rPr>
  </w:style>
  <w:style w:type="paragraph" w:styleId="a4">
    <w:name w:val="Balloon Text"/>
    <w:basedOn w:val="a"/>
    <w:link w:val="a5"/>
    <w:uiPriority w:val="99"/>
    <w:semiHidden/>
    <w:unhideWhenUsed/>
    <w:rsid w:val="000B3BB9"/>
    <w:rPr>
      <w:rFonts w:ascii="Tahoma" w:hAnsi="Tahoma" w:cs="Tahoma"/>
      <w:sz w:val="16"/>
      <w:szCs w:val="16"/>
    </w:rPr>
  </w:style>
  <w:style w:type="character" w:customStyle="1" w:styleId="a5">
    <w:name w:val="Текст выноски Знак"/>
    <w:basedOn w:val="a0"/>
    <w:link w:val="a4"/>
    <w:uiPriority w:val="99"/>
    <w:semiHidden/>
    <w:rsid w:val="000B3BB9"/>
    <w:rPr>
      <w:rFonts w:ascii="Tahoma" w:hAnsi="Tahoma" w:cs="Tahoma"/>
      <w:sz w:val="16"/>
      <w:szCs w:val="16"/>
    </w:rPr>
  </w:style>
  <w:style w:type="paragraph" w:styleId="a6">
    <w:name w:val="Normal (Web)"/>
    <w:basedOn w:val="a"/>
    <w:uiPriority w:val="99"/>
    <w:semiHidden/>
    <w:unhideWhenUsed/>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7">
    <w:name w:val="Emphasis"/>
    <w:basedOn w:val="a0"/>
    <w:uiPriority w:val="20"/>
    <w:qFormat/>
    <w:rsid w:val="000B3BB9"/>
    <w:rPr>
      <w:i/>
      <w:iCs/>
    </w:rPr>
  </w:style>
  <w:style w:type="character" w:customStyle="1" w:styleId="20">
    <w:name w:val="Заголовок 2 Знак"/>
    <w:basedOn w:val="a0"/>
    <w:link w:val="2"/>
    <w:uiPriority w:val="9"/>
    <w:semiHidden/>
    <w:rsid w:val="000B3BB9"/>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0B3BB9"/>
    <w:rPr>
      <w:color w:val="0000FF"/>
      <w:u w:val="single"/>
    </w:rPr>
  </w:style>
  <w:style w:type="paragraph" w:styleId="a9">
    <w:name w:val="List Paragraph"/>
    <w:basedOn w:val="a"/>
    <w:uiPriority w:val="34"/>
    <w:qFormat/>
    <w:rsid w:val="000B3BB9"/>
    <w:pPr>
      <w:ind w:left="720"/>
      <w:contextualSpacing/>
    </w:pPr>
  </w:style>
  <w:style w:type="paragraph" w:customStyle="1" w:styleId="listparagraph">
    <w:name w:val="listparagraph"/>
    <w:basedOn w:val="a"/>
    <w:rsid w:val="007C6437"/>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4161060">
      <w:bodyDiv w:val="1"/>
      <w:marLeft w:val="0"/>
      <w:marRight w:val="0"/>
      <w:marTop w:val="0"/>
      <w:marBottom w:val="0"/>
      <w:divBdr>
        <w:top w:val="none" w:sz="0" w:space="0" w:color="auto"/>
        <w:left w:val="none" w:sz="0" w:space="0" w:color="auto"/>
        <w:bottom w:val="none" w:sz="0" w:space="0" w:color="auto"/>
        <w:right w:val="none" w:sz="0" w:space="0" w:color="auto"/>
      </w:divBdr>
      <w:divsChild>
        <w:div w:id="2067142935">
          <w:marLeft w:val="0"/>
          <w:marRight w:val="0"/>
          <w:marTop w:val="0"/>
          <w:marBottom w:val="0"/>
          <w:divBdr>
            <w:top w:val="none" w:sz="0" w:space="0" w:color="auto"/>
            <w:left w:val="none" w:sz="0" w:space="0" w:color="auto"/>
            <w:bottom w:val="none" w:sz="0" w:space="0" w:color="auto"/>
            <w:right w:val="none" w:sz="0" w:space="0" w:color="auto"/>
          </w:divBdr>
          <w:divsChild>
            <w:div w:id="458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935">
      <w:bodyDiv w:val="1"/>
      <w:marLeft w:val="0"/>
      <w:marRight w:val="0"/>
      <w:marTop w:val="0"/>
      <w:marBottom w:val="0"/>
      <w:divBdr>
        <w:top w:val="none" w:sz="0" w:space="0" w:color="auto"/>
        <w:left w:val="none" w:sz="0" w:space="0" w:color="auto"/>
        <w:bottom w:val="none" w:sz="0" w:space="0" w:color="auto"/>
        <w:right w:val="none" w:sz="0" w:space="0" w:color="auto"/>
      </w:divBdr>
      <w:divsChild>
        <w:div w:id="172886704">
          <w:marLeft w:val="0"/>
          <w:marRight w:val="0"/>
          <w:marTop w:val="0"/>
          <w:marBottom w:val="0"/>
          <w:divBdr>
            <w:top w:val="none" w:sz="0" w:space="0" w:color="auto"/>
            <w:left w:val="none" w:sz="0" w:space="0" w:color="auto"/>
            <w:bottom w:val="none" w:sz="0" w:space="0" w:color="auto"/>
            <w:right w:val="none" w:sz="0" w:space="0" w:color="auto"/>
          </w:divBdr>
          <w:divsChild>
            <w:div w:id="20507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8317">
      <w:bodyDiv w:val="1"/>
      <w:marLeft w:val="0"/>
      <w:marRight w:val="0"/>
      <w:marTop w:val="0"/>
      <w:marBottom w:val="0"/>
      <w:divBdr>
        <w:top w:val="none" w:sz="0" w:space="0" w:color="auto"/>
        <w:left w:val="none" w:sz="0" w:space="0" w:color="auto"/>
        <w:bottom w:val="none" w:sz="0" w:space="0" w:color="auto"/>
        <w:right w:val="none" w:sz="0" w:space="0" w:color="auto"/>
      </w:divBdr>
      <w:divsChild>
        <w:div w:id="2106537177">
          <w:marLeft w:val="0"/>
          <w:marRight w:val="0"/>
          <w:marTop w:val="0"/>
          <w:marBottom w:val="0"/>
          <w:divBdr>
            <w:top w:val="none" w:sz="0" w:space="0" w:color="auto"/>
            <w:left w:val="none" w:sz="0" w:space="0" w:color="auto"/>
            <w:bottom w:val="none" w:sz="0" w:space="0" w:color="auto"/>
            <w:right w:val="none" w:sz="0" w:space="0" w:color="auto"/>
          </w:divBdr>
          <w:divsChild>
            <w:div w:id="16464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253">
      <w:bodyDiv w:val="1"/>
      <w:marLeft w:val="0"/>
      <w:marRight w:val="0"/>
      <w:marTop w:val="0"/>
      <w:marBottom w:val="0"/>
      <w:divBdr>
        <w:top w:val="none" w:sz="0" w:space="0" w:color="auto"/>
        <w:left w:val="none" w:sz="0" w:space="0" w:color="auto"/>
        <w:bottom w:val="none" w:sz="0" w:space="0" w:color="auto"/>
        <w:right w:val="none" w:sz="0" w:space="0" w:color="auto"/>
      </w:divBdr>
      <w:divsChild>
        <w:div w:id="1755543657">
          <w:marLeft w:val="0"/>
          <w:marRight w:val="0"/>
          <w:marTop w:val="0"/>
          <w:marBottom w:val="0"/>
          <w:divBdr>
            <w:top w:val="none" w:sz="0" w:space="0" w:color="auto"/>
            <w:left w:val="none" w:sz="0" w:space="0" w:color="auto"/>
            <w:bottom w:val="none" w:sz="0" w:space="0" w:color="auto"/>
            <w:right w:val="none" w:sz="0" w:space="0" w:color="auto"/>
          </w:divBdr>
          <w:divsChild>
            <w:div w:id="3856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5958">
      <w:bodyDiv w:val="1"/>
      <w:marLeft w:val="0"/>
      <w:marRight w:val="0"/>
      <w:marTop w:val="0"/>
      <w:marBottom w:val="0"/>
      <w:divBdr>
        <w:top w:val="none" w:sz="0" w:space="0" w:color="auto"/>
        <w:left w:val="none" w:sz="0" w:space="0" w:color="auto"/>
        <w:bottom w:val="none" w:sz="0" w:space="0" w:color="auto"/>
        <w:right w:val="none" w:sz="0" w:space="0" w:color="auto"/>
      </w:divBdr>
      <w:divsChild>
        <w:div w:id="1757625562">
          <w:marLeft w:val="0"/>
          <w:marRight w:val="0"/>
          <w:marTop w:val="0"/>
          <w:marBottom w:val="0"/>
          <w:divBdr>
            <w:top w:val="none" w:sz="0" w:space="0" w:color="auto"/>
            <w:left w:val="none" w:sz="0" w:space="0" w:color="auto"/>
            <w:bottom w:val="none" w:sz="0" w:space="0" w:color="auto"/>
            <w:right w:val="none" w:sz="0" w:space="0" w:color="auto"/>
          </w:divBdr>
          <w:divsChild>
            <w:div w:id="10232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2812">
      <w:bodyDiv w:val="1"/>
      <w:marLeft w:val="0"/>
      <w:marRight w:val="0"/>
      <w:marTop w:val="0"/>
      <w:marBottom w:val="0"/>
      <w:divBdr>
        <w:top w:val="none" w:sz="0" w:space="0" w:color="auto"/>
        <w:left w:val="none" w:sz="0" w:space="0" w:color="auto"/>
        <w:bottom w:val="none" w:sz="0" w:space="0" w:color="auto"/>
        <w:right w:val="none" w:sz="0" w:space="0" w:color="auto"/>
      </w:divBdr>
      <w:divsChild>
        <w:div w:id="1363240147">
          <w:marLeft w:val="0"/>
          <w:marRight w:val="0"/>
          <w:marTop w:val="0"/>
          <w:marBottom w:val="0"/>
          <w:divBdr>
            <w:top w:val="none" w:sz="0" w:space="0" w:color="auto"/>
            <w:left w:val="none" w:sz="0" w:space="0" w:color="auto"/>
            <w:bottom w:val="none" w:sz="0" w:space="0" w:color="auto"/>
            <w:right w:val="none" w:sz="0" w:space="0" w:color="auto"/>
          </w:divBdr>
          <w:divsChild>
            <w:div w:id="6950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3392">
      <w:bodyDiv w:val="1"/>
      <w:marLeft w:val="0"/>
      <w:marRight w:val="0"/>
      <w:marTop w:val="0"/>
      <w:marBottom w:val="0"/>
      <w:divBdr>
        <w:top w:val="none" w:sz="0" w:space="0" w:color="auto"/>
        <w:left w:val="none" w:sz="0" w:space="0" w:color="auto"/>
        <w:bottom w:val="none" w:sz="0" w:space="0" w:color="auto"/>
        <w:right w:val="none" w:sz="0" w:space="0" w:color="auto"/>
      </w:divBdr>
      <w:divsChild>
        <w:div w:id="2001036272">
          <w:marLeft w:val="0"/>
          <w:marRight w:val="0"/>
          <w:marTop w:val="0"/>
          <w:marBottom w:val="0"/>
          <w:divBdr>
            <w:top w:val="none" w:sz="0" w:space="0" w:color="auto"/>
            <w:left w:val="none" w:sz="0" w:space="0" w:color="auto"/>
            <w:bottom w:val="none" w:sz="0" w:space="0" w:color="auto"/>
            <w:right w:val="none" w:sz="0" w:space="0" w:color="auto"/>
          </w:divBdr>
          <w:divsChild>
            <w:div w:id="13652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9514">
      <w:bodyDiv w:val="1"/>
      <w:marLeft w:val="0"/>
      <w:marRight w:val="0"/>
      <w:marTop w:val="0"/>
      <w:marBottom w:val="0"/>
      <w:divBdr>
        <w:top w:val="none" w:sz="0" w:space="0" w:color="auto"/>
        <w:left w:val="none" w:sz="0" w:space="0" w:color="auto"/>
        <w:bottom w:val="none" w:sz="0" w:space="0" w:color="auto"/>
        <w:right w:val="none" w:sz="0" w:space="0" w:color="auto"/>
      </w:divBdr>
      <w:divsChild>
        <w:div w:id="1669167279">
          <w:marLeft w:val="0"/>
          <w:marRight w:val="0"/>
          <w:marTop w:val="0"/>
          <w:marBottom w:val="0"/>
          <w:divBdr>
            <w:top w:val="none" w:sz="0" w:space="0" w:color="auto"/>
            <w:left w:val="none" w:sz="0" w:space="0" w:color="auto"/>
            <w:bottom w:val="none" w:sz="0" w:space="0" w:color="auto"/>
            <w:right w:val="none" w:sz="0" w:space="0" w:color="auto"/>
          </w:divBdr>
          <w:divsChild>
            <w:div w:id="20935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9532">
      <w:bodyDiv w:val="1"/>
      <w:marLeft w:val="0"/>
      <w:marRight w:val="0"/>
      <w:marTop w:val="0"/>
      <w:marBottom w:val="0"/>
      <w:divBdr>
        <w:top w:val="none" w:sz="0" w:space="0" w:color="auto"/>
        <w:left w:val="none" w:sz="0" w:space="0" w:color="auto"/>
        <w:bottom w:val="none" w:sz="0" w:space="0" w:color="auto"/>
        <w:right w:val="none" w:sz="0" w:space="0" w:color="auto"/>
      </w:divBdr>
      <w:divsChild>
        <w:div w:id="1598754530">
          <w:marLeft w:val="0"/>
          <w:marRight w:val="0"/>
          <w:marTop w:val="0"/>
          <w:marBottom w:val="0"/>
          <w:divBdr>
            <w:top w:val="none" w:sz="0" w:space="0" w:color="auto"/>
            <w:left w:val="none" w:sz="0" w:space="0" w:color="auto"/>
            <w:bottom w:val="none" w:sz="0" w:space="0" w:color="auto"/>
            <w:right w:val="none" w:sz="0" w:space="0" w:color="auto"/>
          </w:divBdr>
          <w:divsChild>
            <w:div w:id="1134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33457">
      <w:bodyDiv w:val="1"/>
      <w:marLeft w:val="0"/>
      <w:marRight w:val="0"/>
      <w:marTop w:val="0"/>
      <w:marBottom w:val="0"/>
      <w:divBdr>
        <w:top w:val="none" w:sz="0" w:space="0" w:color="auto"/>
        <w:left w:val="none" w:sz="0" w:space="0" w:color="auto"/>
        <w:bottom w:val="none" w:sz="0" w:space="0" w:color="auto"/>
        <w:right w:val="none" w:sz="0" w:space="0" w:color="auto"/>
      </w:divBdr>
      <w:divsChild>
        <w:div w:id="390230411">
          <w:marLeft w:val="0"/>
          <w:marRight w:val="0"/>
          <w:marTop w:val="0"/>
          <w:marBottom w:val="0"/>
          <w:divBdr>
            <w:top w:val="none" w:sz="0" w:space="0" w:color="auto"/>
            <w:left w:val="none" w:sz="0" w:space="0" w:color="auto"/>
            <w:bottom w:val="none" w:sz="0" w:space="0" w:color="auto"/>
            <w:right w:val="none" w:sz="0" w:space="0" w:color="auto"/>
          </w:divBdr>
          <w:divsChild>
            <w:div w:id="16601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7550">
      <w:bodyDiv w:val="1"/>
      <w:marLeft w:val="0"/>
      <w:marRight w:val="0"/>
      <w:marTop w:val="0"/>
      <w:marBottom w:val="0"/>
      <w:divBdr>
        <w:top w:val="none" w:sz="0" w:space="0" w:color="auto"/>
        <w:left w:val="none" w:sz="0" w:space="0" w:color="auto"/>
        <w:bottom w:val="none" w:sz="0" w:space="0" w:color="auto"/>
        <w:right w:val="none" w:sz="0" w:space="0" w:color="auto"/>
      </w:divBdr>
      <w:divsChild>
        <w:div w:id="571309312">
          <w:marLeft w:val="0"/>
          <w:marRight w:val="0"/>
          <w:marTop w:val="0"/>
          <w:marBottom w:val="0"/>
          <w:divBdr>
            <w:top w:val="none" w:sz="0" w:space="0" w:color="auto"/>
            <w:left w:val="none" w:sz="0" w:space="0" w:color="auto"/>
            <w:bottom w:val="none" w:sz="0" w:space="0" w:color="auto"/>
            <w:right w:val="none" w:sz="0" w:space="0" w:color="auto"/>
          </w:divBdr>
          <w:divsChild>
            <w:div w:id="15998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9638">
      <w:bodyDiv w:val="1"/>
      <w:marLeft w:val="0"/>
      <w:marRight w:val="0"/>
      <w:marTop w:val="0"/>
      <w:marBottom w:val="0"/>
      <w:divBdr>
        <w:top w:val="none" w:sz="0" w:space="0" w:color="auto"/>
        <w:left w:val="none" w:sz="0" w:space="0" w:color="auto"/>
        <w:bottom w:val="none" w:sz="0" w:space="0" w:color="auto"/>
        <w:right w:val="none" w:sz="0" w:space="0" w:color="auto"/>
      </w:divBdr>
      <w:divsChild>
        <w:div w:id="1469974585">
          <w:marLeft w:val="0"/>
          <w:marRight w:val="0"/>
          <w:marTop w:val="0"/>
          <w:marBottom w:val="0"/>
          <w:divBdr>
            <w:top w:val="none" w:sz="0" w:space="0" w:color="auto"/>
            <w:left w:val="none" w:sz="0" w:space="0" w:color="auto"/>
            <w:bottom w:val="none" w:sz="0" w:space="0" w:color="auto"/>
            <w:right w:val="none" w:sz="0" w:space="0" w:color="auto"/>
          </w:divBdr>
          <w:divsChild>
            <w:div w:id="6230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32737">
      <w:bodyDiv w:val="1"/>
      <w:marLeft w:val="0"/>
      <w:marRight w:val="0"/>
      <w:marTop w:val="0"/>
      <w:marBottom w:val="0"/>
      <w:divBdr>
        <w:top w:val="none" w:sz="0" w:space="0" w:color="auto"/>
        <w:left w:val="none" w:sz="0" w:space="0" w:color="auto"/>
        <w:bottom w:val="none" w:sz="0" w:space="0" w:color="auto"/>
        <w:right w:val="none" w:sz="0" w:space="0" w:color="auto"/>
      </w:divBdr>
      <w:divsChild>
        <w:div w:id="1484463787">
          <w:marLeft w:val="0"/>
          <w:marRight w:val="0"/>
          <w:marTop w:val="0"/>
          <w:marBottom w:val="0"/>
          <w:divBdr>
            <w:top w:val="none" w:sz="0" w:space="0" w:color="auto"/>
            <w:left w:val="none" w:sz="0" w:space="0" w:color="auto"/>
            <w:bottom w:val="none" w:sz="0" w:space="0" w:color="auto"/>
            <w:right w:val="none" w:sz="0" w:space="0" w:color="auto"/>
          </w:divBdr>
          <w:divsChild>
            <w:div w:id="3113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68600">
      <w:bodyDiv w:val="1"/>
      <w:marLeft w:val="0"/>
      <w:marRight w:val="0"/>
      <w:marTop w:val="0"/>
      <w:marBottom w:val="0"/>
      <w:divBdr>
        <w:top w:val="none" w:sz="0" w:space="0" w:color="auto"/>
        <w:left w:val="none" w:sz="0" w:space="0" w:color="auto"/>
        <w:bottom w:val="none" w:sz="0" w:space="0" w:color="auto"/>
        <w:right w:val="none" w:sz="0" w:space="0" w:color="auto"/>
      </w:divBdr>
      <w:divsChild>
        <w:div w:id="2116754661">
          <w:marLeft w:val="0"/>
          <w:marRight w:val="0"/>
          <w:marTop w:val="0"/>
          <w:marBottom w:val="0"/>
          <w:divBdr>
            <w:top w:val="none" w:sz="0" w:space="0" w:color="auto"/>
            <w:left w:val="none" w:sz="0" w:space="0" w:color="auto"/>
            <w:bottom w:val="none" w:sz="0" w:space="0" w:color="auto"/>
            <w:right w:val="none" w:sz="0" w:space="0" w:color="auto"/>
          </w:divBdr>
          <w:divsChild>
            <w:div w:id="12951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1523">
      <w:bodyDiv w:val="1"/>
      <w:marLeft w:val="0"/>
      <w:marRight w:val="0"/>
      <w:marTop w:val="0"/>
      <w:marBottom w:val="0"/>
      <w:divBdr>
        <w:top w:val="none" w:sz="0" w:space="0" w:color="auto"/>
        <w:left w:val="none" w:sz="0" w:space="0" w:color="auto"/>
        <w:bottom w:val="none" w:sz="0" w:space="0" w:color="auto"/>
        <w:right w:val="none" w:sz="0" w:space="0" w:color="auto"/>
      </w:divBdr>
      <w:divsChild>
        <w:div w:id="1503861215">
          <w:marLeft w:val="0"/>
          <w:marRight w:val="0"/>
          <w:marTop w:val="0"/>
          <w:marBottom w:val="0"/>
          <w:divBdr>
            <w:top w:val="none" w:sz="0" w:space="0" w:color="auto"/>
            <w:left w:val="none" w:sz="0" w:space="0" w:color="auto"/>
            <w:bottom w:val="none" w:sz="0" w:space="0" w:color="auto"/>
            <w:right w:val="none" w:sz="0" w:space="0" w:color="auto"/>
          </w:divBdr>
          <w:divsChild>
            <w:div w:id="1956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39242">
      <w:bodyDiv w:val="1"/>
      <w:marLeft w:val="0"/>
      <w:marRight w:val="0"/>
      <w:marTop w:val="0"/>
      <w:marBottom w:val="0"/>
      <w:divBdr>
        <w:top w:val="none" w:sz="0" w:space="0" w:color="auto"/>
        <w:left w:val="none" w:sz="0" w:space="0" w:color="auto"/>
        <w:bottom w:val="none" w:sz="0" w:space="0" w:color="auto"/>
        <w:right w:val="none" w:sz="0" w:space="0" w:color="auto"/>
      </w:divBdr>
      <w:divsChild>
        <w:div w:id="1429347687">
          <w:marLeft w:val="0"/>
          <w:marRight w:val="0"/>
          <w:marTop w:val="0"/>
          <w:marBottom w:val="0"/>
          <w:divBdr>
            <w:top w:val="none" w:sz="0" w:space="0" w:color="auto"/>
            <w:left w:val="none" w:sz="0" w:space="0" w:color="auto"/>
            <w:bottom w:val="none" w:sz="0" w:space="0" w:color="auto"/>
            <w:right w:val="none" w:sz="0" w:space="0" w:color="auto"/>
          </w:divBdr>
          <w:divsChild>
            <w:div w:id="198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4553">
      <w:bodyDiv w:val="1"/>
      <w:marLeft w:val="0"/>
      <w:marRight w:val="0"/>
      <w:marTop w:val="0"/>
      <w:marBottom w:val="0"/>
      <w:divBdr>
        <w:top w:val="none" w:sz="0" w:space="0" w:color="auto"/>
        <w:left w:val="none" w:sz="0" w:space="0" w:color="auto"/>
        <w:bottom w:val="none" w:sz="0" w:space="0" w:color="auto"/>
        <w:right w:val="none" w:sz="0" w:space="0" w:color="auto"/>
      </w:divBdr>
      <w:divsChild>
        <w:div w:id="95753738">
          <w:marLeft w:val="0"/>
          <w:marRight w:val="0"/>
          <w:marTop w:val="0"/>
          <w:marBottom w:val="0"/>
          <w:divBdr>
            <w:top w:val="none" w:sz="0" w:space="0" w:color="auto"/>
            <w:left w:val="none" w:sz="0" w:space="0" w:color="auto"/>
            <w:bottom w:val="none" w:sz="0" w:space="0" w:color="auto"/>
            <w:right w:val="none" w:sz="0" w:space="0" w:color="auto"/>
          </w:divBdr>
          <w:divsChild>
            <w:div w:id="18369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0006">
      <w:bodyDiv w:val="1"/>
      <w:marLeft w:val="0"/>
      <w:marRight w:val="0"/>
      <w:marTop w:val="0"/>
      <w:marBottom w:val="0"/>
      <w:divBdr>
        <w:top w:val="none" w:sz="0" w:space="0" w:color="auto"/>
        <w:left w:val="none" w:sz="0" w:space="0" w:color="auto"/>
        <w:bottom w:val="none" w:sz="0" w:space="0" w:color="auto"/>
        <w:right w:val="none" w:sz="0" w:space="0" w:color="auto"/>
      </w:divBdr>
      <w:divsChild>
        <w:div w:id="201868107">
          <w:marLeft w:val="0"/>
          <w:marRight w:val="0"/>
          <w:marTop w:val="0"/>
          <w:marBottom w:val="0"/>
          <w:divBdr>
            <w:top w:val="none" w:sz="0" w:space="0" w:color="auto"/>
            <w:left w:val="none" w:sz="0" w:space="0" w:color="auto"/>
            <w:bottom w:val="none" w:sz="0" w:space="0" w:color="auto"/>
            <w:right w:val="none" w:sz="0" w:space="0" w:color="auto"/>
          </w:divBdr>
          <w:divsChild>
            <w:div w:id="11266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34938">
      <w:bodyDiv w:val="1"/>
      <w:marLeft w:val="0"/>
      <w:marRight w:val="0"/>
      <w:marTop w:val="0"/>
      <w:marBottom w:val="0"/>
      <w:divBdr>
        <w:top w:val="none" w:sz="0" w:space="0" w:color="auto"/>
        <w:left w:val="none" w:sz="0" w:space="0" w:color="auto"/>
        <w:bottom w:val="none" w:sz="0" w:space="0" w:color="auto"/>
        <w:right w:val="none" w:sz="0" w:space="0" w:color="auto"/>
      </w:divBdr>
      <w:divsChild>
        <w:div w:id="240454431">
          <w:marLeft w:val="0"/>
          <w:marRight w:val="0"/>
          <w:marTop w:val="0"/>
          <w:marBottom w:val="0"/>
          <w:divBdr>
            <w:top w:val="none" w:sz="0" w:space="0" w:color="auto"/>
            <w:left w:val="none" w:sz="0" w:space="0" w:color="auto"/>
            <w:bottom w:val="none" w:sz="0" w:space="0" w:color="auto"/>
            <w:right w:val="none" w:sz="0" w:space="0" w:color="auto"/>
          </w:divBdr>
          <w:divsChild>
            <w:div w:id="119388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2656">
      <w:bodyDiv w:val="1"/>
      <w:marLeft w:val="0"/>
      <w:marRight w:val="0"/>
      <w:marTop w:val="0"/>
      <w:marBottom w:val="0"/>
      <w:divBdr>
        <w:top w:val="none" w:sz="0" w:space="0" w:color="auto"/>
        <w:left w:val="none" w:sz="0" w:space="0" w:color="auto"/>
        <w:bottom w:val="none" w:sz="0" w:space="0" w:color="auto"/>
        <w:right w:val="none" w:sz="0" w:space="0" w:color="auto"/>
      </w:divBdr>
      <w:divsChild>
        <w:div w:id="858347440">
          <w:marLeft w:val="0"/>
          <w:marRight w:val="0"/>
          <w:marTop w:val="0"/>
          <w:marBottom w:val="0"/>
          <w:divBdr>
            <w:top w:val="none" w:sz="0" w:space="0" w:color="auto"/>
            <w:left w:val="none" w:sz="0" w:space="0" w:color="auto"/>
            <w:bottom w:val="none" w:sz="0" w:space="0" w:color="auto"/>
            <w:right w:val="none" w:sz="0" w:space="0" w:color="auto"/>
          </w:divBdr>
          <w:divsChild>
            <w:div w:id="5805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85808">
      <w:bodyDiv w:val="1"/>
      <w:marLeft w:val="0"/>
      <w:marRight w:val="0"/>
      <w:marTop w:val="0"/>
      <w:marBottom w:val="0"/>
      <w:divBdr>
        <w:top w:val="none" w:sz="0" w:space="0" w:color="auto"/>
        <w:left w:val="none" w:sz="0" w:space="0" w:color="auto"/>
        <w:bottom w:val="none" w:sz="0" w:space="0" w:color="auto"/>
        <w:right w:val="none" w:sz="0" w:space="0" w:color="auto"/>
      </w:divBdr>
      <w:divsChild>
        <w:div w:id="1230962876">
          <w:marLeft w:val="0"/>
          <w:marRight w:val="0"/>
          <w:marTop w:val="0"/>
          <w:marBottom w:val="0"/>
          <w:divBdr>
            <w:top w:val="none" w:sz="0" w:space="0" w:color="auto"/>
            <w:left w:val="none" w:sz="0" w:space="0" w:color="auto"/>
            <w:bottom w:val="none" w:sz="0" w:space="0" w:color="auto"/>
            <w:right w:val="none" w:sz="0" w:space="0" w:color="auto"/>
          </w:divBdr>
          <w:divsChild>
            <w:div w:id="20766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8784">
      <w:bodyDiv w:val="1"/>
      <w:marLeft w:val="0"/>
      <w:marRight w:val="0"/>
      <w:marTop w:val="0"/>
      <w:marBottom w:val="0"/>
      <w:divBdr>
        <w:top w:val="none" w:sz="0" w:space="0" w:color="auto"/>
        <w:left w:val="none" w:sz="0" w:space="0" w:color="auto"/>
        <w:bottom w:val="none" w:sz="0" w:space="0" w:color="auto"/>
        <w:right w:val="none" w:sz="0" w:space="0" w:color="auto"/>
      </w:divBdr>
      <w:divsChild>
        <w:div w:id="561059042">
          <w:marLeft w:val="0"/>
          <w:marRight w:val="0"/>
          <w:marTop w:val="0"/>
          <w:marBottom w:val="0"/>
          <w:divBdr>
            <w:top w:val="none" w:sz="0" w:space="0" w:color="auto"/>
            <w:left w:val="none" w:sz="0" w:space="0" w:color="auto"/>
            <w:bottom w:val="none" w:sz="0" w:space="0" w:color="auto"/>
            <w:right w:val="none" w:sz="0" w:space="0" w:color="auto"/>
          </w:divBdr>
          <w:divsChild>
            <w:div w:id="211937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97163">
      <w:bodyDiv w:val="1"/>
      <w:marLeft w:val="0"/>
      <w:marRight w:val="0"/>
      <w:marTop w:val="0"/>
      <w:marBottom w:val="0"/>
      <w:divBdr>
        <w:top w:val="none" w:sz="0" w:space="0" w:color="auto"/>
        <w:left w:val="none" w:sz="0" w:space="0" w:color="auto"/>
        <w:bottom w:val="none" w:sz="0" w:space="0" w:color="auto"/>
        <w:right w:val="none" w:sz="0" w:space="0" w:color="auto"/>
      </w:divBdr>
      <w:divsChild>
        <w:div w:id="178282003">
          <w:marLeft w:val="0"/>
          <w:marRight w:val="0"/>
          <w:marTop w:val="0"/>
          <w:marBottom w:val="0"/>
          <w:divBdr>
            <w:top w:val="none" w:sz="0" w:space="0" w:color="auto"/>
            <w:left w:val="none" w:sz="0" w:space="0" w:color="auto"/>
            <w:bottom w:val="none" w:sz="0" w:space="0" w:color="auto"/>
            <w:right w:val="none" w:sz="0" w:space="0" w:color="auto"/>
          </w:divBdr>
          <w:divsChild>
            <w:div w:id="16190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78751">
      <w:bodyDiv w:val="1"/>
      <w:marLeft w:val="0"/>
      <w:marRight w:val="0"/>
      <w:marTop w:val="0"/>
      <w:marBottom w:val="0"/>
      <w:divBdr>
        <w:top w:val="none" w:sz="0" w:space="0" w:color="auto"/>
        <w:left w:val="none" w:sz="0" w:space="0" w:color="auto"/>
        <w:bottom w:val="none" w:sz="0" w:space="0" w:color="auto"/>
        <w:right w:val="none" w:sz="0" w:space="0" w:color="auto"/>
      </w:divBdr>
      <w:divsChild>
        <w:div w:id="1647389937">
          <w:marLeft w:val="0"/>
          <w:marRight w:val="0"/>
          <w:marTop w:val="0"/>
          <w:marBottom w:val="0"/>
          <w:divBdr>
            <w:top w:val="none" w:sz="0" w:space="0" w:color="auto"/>
            <w:left w:val="none" w:sz="0" w:space="0" w:color="auto"/>
            <w:bottom w:val="none" w:sz="0" w:space="0" w:color="auto"/>
            <w:right w:val="none" w:sz="0" w:space="0" w:color="auto"/>
          </w:divBdr>
          <w:divsChild>
            <w:div w:id="15228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06465">
      <w:bodyDiv w:val="1"/>
      <w:marLeft w:val="0"/>
      <w:marRight w:val="0"/>
      <w:marTop w:val="0"/>
      <w:marBottom w:val="0"/>
      <w:divBdr>
        <w:top w:val="none" w:sz="0" w:space="0" w:color="auto"/>
        <w:left w:val="none" w:sz="0" w:space="0" w:color="auto"/>
        <w:bottom w:val="none" w:sz="0" w:space="0" w:color="auto"/>
        <w:right w:val="none" w:sz="0" w:space="0" w:color="auto"/>
      </w:divBdr>
      <w:divsChild>
        <w:div w:id="1615405730">
          <w:marLeft w:val="0"/>
          <w:marRight w:val="0"/>
          <w:marTop w:val="0"/>
          <w:marBottom w:val="0"/>
          <w:divBdr>
            <w:top w:val="none" w:sz="0" w:space="0" w:color="auto"/>
            <w:left w:val="none" w:sz="0" w:space="0" w:color="auto"/>
            <w:bottom w:val="none" w:sz="0" w:space="0" w:color="auto"/>
            <w:right w:val="none" w:sz="0" w:space="0" w:color="auto"/>
          </w:divBdr>
          <w:divsChild>
            <w:div w:id="123589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602181">
      <w:bodyDiv w:val="1"/>
      <w:marLeft w:val="0"/>
      <w:marRight w:val="0"/>
      <w:marTop w:val="0"/>
      <w:marBottom w:val="0"/>
      <w:divBdr>
        <w:top w:val="none" w:sz="0" w:space="0" w:color="auto"/>
        <w:left w:val="none" w:sz="0" w:space="0" w:color="auto"/>
        <w:bottom w:val="none" w:sz="0" w:space="0" w:color="auto"/>
        <w:right w:val="none" w:sz="0" w:space="0" w:color="auto"/>
      </w:divBdr>
      <w:divsChild>
        <w:div w:id="1135608653">
          <w:marLeft w:val="0"/>
          <w:marRight w:val="0"/>
          <w:marTop w:val="0"/>
          <w:marBottom w:val="0"/>
          <w:divBdr>
            <w:top w:val="none" w:sz="0" w:space="0" w:color="auto"/>
            <w:left w:val="none" w:sz="0" w:space="0" w:color="auto"/>
            <w:bottom w:val="none" w:sz="0" w:space="0" w:color="auto"/>
            <w:right w:val="none" w:sz="0" w:space="0" w:color="auto"/>
          </w:divBdr>
          <w:divsChild>
            <w:div w:id="66790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2510">
      <w:bodyDiv w:val="1"/>
      <w:marLeft w:val="0"/>
      <w:marRight w:val="0"/>
      <w:marTop w:val="0"/>
      <w:marBottom w:val="0"/>
      <w:divBdr>
        <w:top w:val="none" w:sz="0" w:space="0" w:color="auto"/>
        <w:left w:val="none" w:sz="0" w:space="0" w:color="auto"/>
        <w:bottom w:val="none" w:sz="0" w:space="0" w:color="auto"/>
        <w:right w:val="none" w:sz="0" w:space="0" w:color="auto"/>
      </w:divBdr>
      <w:divsChild>
        <w:div w:id="1008871735">
          <w:marLeft w:val="0"/>
          <w:marRight w:val="0"/>
          <w:marTop w:val="0"/>
          <w:marBottom w:val="0"/>
          <w:divBdr>
            <w:top w:val="none" w:sz="0" w:space="0" w:color="auto"/>
            <w:left w:val="none" w:sz="0" w:space="0" w:color="auto"/>
            <w:bottom w:val="none" w:sz="0" w:space="0" w:color="auto"/>
            <w:right w:val="none" w:sz="0" w:space="0" w:color="auto"/>
          </w:divBdr>
          <w:divsChild>
            <w:div w:id="5138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09431">
      <w:bodyDiv w:val="1"/>
      <w:marLeft w:val="0"/>
      <w:marRight w:val="0"/>
      <w:marTop w:val="0"/>
      <w:marBottom w:val="0"/>
      <w:divBdr>
        <w:top w:val="none" w:sz="0" w:space="0" w:color="auto"/>
        <w:left w:val="none" w:sz="0" w:space="0" w:color="auto"/>
        <w:bottom w:val="none" w:sz="0" w:space="0" w:color="auto"/>
        <w:right w:val="none" w:sz="0" w:space="0" w:color="auto"/>
      </w:divBdr>
      <w:divsChild>
        <w:div w:id="66611876">
          <w:marLeft w:val="0"/>
          <w:marRight w:val="0"/>
          <w:marTop w:val="0"/>
          <w:marBottom w:val="0"/>
          <w:divBdr>
            <w:top w:val="none" w:sz="0" w:space="0" w:color="auto"/>
            <w:left w:val="none" w:sz="0" w:space="0" w:color="auto"/>
            <w:bottom w:val="none" w:sz="0" w:space="0" w:color="auto"/>
            <w:right w:val="none" w:sz="0" w:space="0" w:color="auto"/>
          </w:divBdr>
          <w:divsChild>
            <w:div w:id="5558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3016">
      <w:bodyDiv w:val="1"/>
      <w:marLeft w:val="0"/>
      <w:marRight w:val="0"/>
      <w:marTop w:val="0"/>
      <w:marBottom w:val="0"/>
      <w:divBdr>
        <w:top w:val="none" w:sz="0" w:space="0" w:color="auto"/>
        <w:left w:val="none" w:sz="0" w:space="0" w:color="auto"/>
        <w:bottom w:val="none" w:sz="0" w:space="0" w:color="auto"/>
        <w:right w:val="none" w:sz="0" w:space="0" w:color="auto"/>
      </w:divBdr>
      <w:divsChild>
        <w:div w:id="32117736">
          <w:marLeft w:val="0"/>
          <w:marRight w:val="0"/>
          <w:marTop w:val="0"/>
          <w:marBottom w:val="0"/>
          <w:divBdr>
            <w:top w:val="none" w:sz="0" w:space="0" w:color="auto"/>
            <w:left w:val="none" w:sz="0" w:space="0" w:color="auto"/>
            <w:bottom w:val="none" w:sz="0" w:space="0" w:color="auto"/>
            <w:right w:val="none" w:sz="0" w:space="0" w:color="auto"/>
          </w:divBdr>
          <w:divsChild>
            <w:div w:id="8789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1088">
      <w:bodyDiv w:val="1"/>
      <w:marLeft w:val="0"/>
      <w:marRight w:val="0"/>
      <w:marTop w:val="0"/>
      <w:marBottom w:val="0"/>
      <w:divBdr>
        <w:top w:val="none" w:sz="0" w:space="0" w:color="auto"/>
        <w:left w:val="none" w:sz="0" w:space="0" w:color="auto"/>
        <w:bottom w:val="none" w:sz="0" w:space="0" w:color="auto"/>
        <w:right w:val="none" w:sz="0" w:space="0" w:color="auto"/>
      </w:divBdr>
      <w:divsChild>
        <w:div w:id="1954894315">
          <w:marLeft w:val="0"/>
          <w:marRight w:val="0"/>
          <w:marTop w:val="0"/>
          <w:marBottom w:val="0"/>
          <w:divBdr>
            <w:top w:val="none" w:sz="0" w:space="0" w:color="auto"/>
            <w:left w:val="none" w:sz="0" w:space="0" w:color="auto"/>
            <w:bottom w:val="none" w:sz="0" w:space="0" w:color="auto"/>
            <w:right w:val="none" w:sz="0" w:space="0" w:color="auto"/>
          </w:divBdr>
          <w:divsChild>
            <w:div w:id="77228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5250">
      <w:bodyDiv w:val="1"/>
      <w:marLeft w:val="0"/>
      <w:marRight w:val="0"/>
      <w:marTop w:val="0"/>
      <w:marBottom w:val="0"/>
      <w:divBdr>
        <w:top w:val="none" w:sz="0" w:space="0" w:color="auto"/>
        <w:left w:val="none" w:sz="0" w:space="0" w:color="auto"/>
        <w:bottom w:val="none" w:sz="0" w:space="0" w:color="auto"/>
        <w:right w:val="none" w:sz="0" w:space="0" w:color="auto"/>
      </w:divBdr>
      <w:divsChild>
        <w:div w:id="2128116532">
          <w:marLeft w:val="0"/>
          <w:marRight w:val="0"/>
          <w:marTop w:val="0"/>
          <w:marBottom w:val="0"/>
          <w:divBdr>
            <w:top w:val="none" w:sz="0" w:space="0" w:color="auto"/>
            <w:left w:val="none" w:sz="0" w:space="0" w:color="auto"/>
            <w:bottom w:val="none" w:sz="0" w:space="0" w:color="auto"/>
            <w:right w:val="none" w:sz="0" w:space="0" w:color="auto"/>
          </w:divBdr>
          <w:divsChild>
            <w:div w:id="18409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1453">
      <w:bodyDiv w:val="1"/>
      <w:marLeft w:val="0"/>
      <w:marRight w:val="0"/>
      <w:marTop w:val="0"/>
      <w:marBottom w:val="0"/>
      <w:divBdr>
        <w:top w:val="none" w:sz="0" w:space="0" w:color="auto"/>
        <w:left w:val="none" w:sz="0" w:space="0" w:color="auto"/>
        <w:bottom w:val="none" w:sz="0" w:space="0" w:color="auto"/>
        <w:right w:val="none" w:sz="0" w:space="0" w:color="auto"/>
      </w:divBdr>
      <w:divsChild>
        <w:div w:id="696321663">
          <w:marLeft w:val="0"/>
          <w:marRight w:val="0"/>
          <w:marTop w:val="0"/>
          <w:marBottom w:val="0"/>
          <w:divBdr>
            <w:top w:val="none" w:sz="0" w:space="0" w:color="auto"/>
            <w:left w:val="none" w:sz="0" w:space="0" w:color="auto"/>
            <w:bottom w:val="none" w:sz="0" w:space="0" w:color="auto"/>
            <w:right w:val="none" w:sz="0" w:space="0" w:color="auto"/>
          </w:divBdr>
          <w:divsChild>
            <w:div w:id="14302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2354">
      <w:bodyDiv w:val="1"/>
      <w:marLeft w:val="0"/>
      <w:marRight w:val="0"/>
      <w:marTop w:val="0"/>
      <w:marBottom w:val="0"/>
      <w:divBdr>
        <w:top w:val="none" w:sz="0" w:space="0" w:color="auto"/>
        <w:left w:val="none" w:sz="0" w:space="0" w:color="auto"/>
        <w:bottom w:val="none" w:sz="0" w:space="0" w:color="auto"/>
        <w:right w:val="none" w:sz="0" w:space="0" w:color="auto"/>
      </w:divBdr>
      <w:divsChild>
        <w:div w:id="1809546287">
          <w:marLeft w:val="0"/>
          <w:marRight w:val="0"/>
          <w:marTop w:val="0"/>
          <w:marBottom w:val="0"/>
          <w:divBdr>
            <w:top w:val="none" w:sz="0" w:space="0" w:color="auto"/>
            <w:left w:val="none" w:sz="0" w:space="0" w:color="auto"/>
            <w:bottom w:val="none" w:sz="0" w:space="0" w:color="auto"/>
            <w:right w:val="none" w:sz="0" w:space="0" w:color="auto"/>
          </w:divBdr>
          <w:divsChild>
            <w:div w:id="49186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8056">
      <w:bodyDiv w:val="1"/>
      <w:marLeft w:val="0"/>
      <w:marRight w:val="0"/>
      <w:marTop w:val="0"/>
      <w:marBottom w:val="0"/>
      <w:divBdr>
        <w:top w:val="none" w:sz="0" w:space="0" w:color="auto"/>
        <w:left w:val="none" w:sz="0" w:space="0" w:color="auto"/>
        <w:bottom w:val="none" w:sz="0" w:space="0" w:color="auto"/>
        <w:right w:val="none" w:sz="0" w:space="0" w:color="auto"/>
      </w:divBdr>
      <w:divsChild>
        <w:div w:id="1831093234">
          <w:marLeft w:val="0"/>
          <w:marRight w:val="0"/>
          <w:marTop w:val="0"/>
          <w:marBottom w:val="0"/>
          <w:divBdr>
            <w:top w:val="none" w:sz="0" w:space="0" w:color="auto"/>
            <w:left w:val="none" w:sz="0" w:space="0" w:color="auto"/>
            <w:bottom w:val="none" w:sz="0" w:space="0" w:color="auto"/>
            <w:right w:val="none" w:sz="0" w:space="0" w:color="auto"/>
          </w:divBdr>
          <w:divsChild>
            <w:div w:id="1393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0247">
      <w:bodyDiv w:val="1"/>
      <w:marLeft w:val="0"/>
      <w:marRight w:val="0"/>
      <w:marTop w:val="0"/>
      <w:marBottom w:val="0"/>
      <w:divBdr>
        <w:top w:val="none" w:sz="0" w:space="0" w:color="auto"/>
        <w:left w:val="none" w:sz="0" w:space="0" w:color="auto"/>
        <w:bottom w:val="none" w:sz="0" w:space="0" w:color="auto"/>
        <w:right w:val="none" w:sz="0" w:space="0" w:color="auto"/>
      </w:divBdr>
      <w:divsChild>
        <w:div w:id="804858111">
          <w:marLeft w:val="0"/>
          <w:marRight w:val="0"/>
          <w:marTop w:val="0"/>
          <w:marBottom w:val="0"/>
          <w:divBdr>
            <w:top w:val="none" w:sz="0" w:space="0" w:color="auto"/>
            <w:left w:val="none" w:sz="0" w:space="0" w:color="auto"/>
            <w:bottom w:val="none" w:sz="0" w:space="0" w:color="auto"/>
            <w:right w:val="none" w:sz="0" w:space="0" w:color="auto"/>
          </w:divBdr>
          <w:divsChild>
            <w:div w:id="14551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3867">
      <w:bodyDiv w:val="1"/>
      <w:marLeft w:val="0"/>
      <w:marRight w:val="0"/>
      <w:marTop w:val="0"/>
      <w:marBottom w:val="0"/>
      <w:divBdr>
        <w:top w:val="none" w:sz="0" w:space="0" w:color="auto"/>
        <w:left w:val="none" w:sz="0" w:space="0" w:color="auto"/>
        <w:bottom w:val="none" w:sz="0" w:space="0" w:color="auto"/>
        <w:right w:val="none" w:sz="0" w:space="0" w:color="auto"/>
      </w:divBdr>
      <w:divsChild>
        <w:div w:id="1765763595">
          <w:marLeft w:val="0"/>
          <w:marRight w:val="0"/>
          <w:marTop w:val="0"/>
          <w:marBottom w:val="0"/>
          <w:divBdr>
            <w:top w:val="none" w:sz="0" w:space="0" w:color="auto"/>
            <w:left w:val="none" w:sz="0" w:space="0" w:color="auto"/>
            <w:bottom w:val="none" w:sz="0" w:space="0" w:color="auto"/>
            <w:right w:val="none" w:sz="0" w:space="0" w:color="auto"/>
          </w:divBdr>
          <w:divsChild>
            <w:div w:id="13341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7371">
      <w:bodyDiv w:val="1"/>
      <w:marLeft w:val="0"/>
      <w:marRight w:val="0"/>
      <w:marTop w:val="0"/>
      <w:marBottom w:val="0"/>
      <w:divBdr>
        <w:top w:val="none" w:sz="0" w:space="0" w:color="auto"/>
        <w:left w:val="none" w:sz="0" w:space="0" w:color="auto"/>
        <w:bottom w:val="none" w:sz="0" w:space="0" w:color="auto"/>
        <w:right w:val="none" w:sz="0" w:space="0" w:color="auto"/>
      </w:divBdr>
      <w:divsChild>
        <w:div w:id="887492120">
          <w:marLeft w:val="0"/>
          <w:marRight w:val="0"/>
          <w:marTop w:val="0"/>
          <w:marBottom w:val="0"/>
          <w:divBdr>
            <w:top w:val="none" w:sz="0" w:space="0" w:color="auto"/>
            <w:left w:val="none" w:sz="0" w:space="0" w:color="auto"/>
            <w:bottom w:val="none" w:sz="0" w:space="0" w:color="auto"/>
            <w:right w:val="none" w:sz="0" w:space="0" w:color="auto"/>
          </w:divBdr>
          <w:divsChild>
            <w:div w:id="615139258">
              <w:marLeft w:val="0"/>
              <w:marRight w:val="0"/>
              <w:marTop w:val="0"/>
              <w:marBottom w:val="0"/>
              <w:divBdr>
                <w:top w:val="none" w:sz="0" w:space="0" w:color="auto"/>
                <w:left w:val="none" w:sz="0" w:space="0" w:color="auto"/>
                <w:bottom w:val="none" w:sz="0" w:space="0" w:color="auto"/>
                <w:right w:val="none" w:sz="0" w:space="0" w:color="auto"/>
              </w:divBdr>
            </w:div>
          </w:divsChild>
        </w:div>
        <w:div w:id="264314654">
          <w:marLeft w:val="0"/>
          <w:marRight w:val="0"/>
          <w:marTop w:val="0"/>
          <w:marBottom w:val="0"/>
          <w:divBdr>
            <w:top w:val="none" w:sz="0" w:space="0" w:color="auto"/>
            <w:left w:val="none" w:sz="0" w:space="0" w:color="auto"/>
            <w:bottom w:val="none" w:sz="0" w:space="0" w:color="auto"/>
            <w:right w:val="none" w:sz="0" w:space="0" w:color="auto"/>
          </w:divBdr>
        </w:div>
      </w:divsChild>
    </w:div>
    <w:div w:id="1183350726">
      <w:bodyDiv w:val="1"/>
      <w:marLeft w:val="0"/>
      <w:marRight w:val="0"/>
      <w:marTop w:val="0"/>
      <w:marBottom w:val="0"/>
      <w:divBdr>
        <w:top w:val="none" w:sz="0" w:space="0" w:color="auto"/>
        <w:left w:val="none" w:sz="0" w:space="0" w:color="auto"/>
        <w:bottom w:val="none" w:sz="0" w:space="0" w:color="auto"/>
        <w:right w:val="none" w:sz="0" w:space="0" w:color="auto"/>
      </w:divBdr>
      <w:divsChild>
        <w:div w:id="1630429406">
          <w:marLeft w:val="0"/>
          <w:marRight w:val="0"/>
          <w:marTop w:val="0"/>
          <w:marBottom w:val="0"/>
          <w:divBdr>
            <w:top w:val="none" w:sz="0" w:space="0" w:color="auto"/>
            <w:left w:val="none" w:sz="0" w:space="0" w:color="auto"/>
            <w:bottom w:val="none" w:sz="0" w:space="0" w:color="auto"/>
            <w:right w:val="none" w:sz="0" w:space="0" w:color="auto"/>
          </w:divBdr>
          <w:divsChild>
            <w:div w:id="10611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65467">
      <w:bodyDiv w:val="1"/>
      <w:marLeft w:val="0"/>
      <w:marRight w:val="0"/>
      <w:marTop w:val="0"/>
      <w:marBottom w:val="0"/>
      <w:divBdr>
        <w:top w:val="none" w:sz="0" w:space="0" w:color="auto"/>
        <w:left w:val="none" w:sz="0" w:space="0" w:color="auto"/>
        <w:bottom w:val="none" w:sz="0" w:space="0" w:color="auto"/>
        <w:right w:val="none" w:sz="0" w:space="0" w:color="auto"/>
      </w:divBdr>
      <w:divsChild>
        <w:div w:id="1255287042">
          <w:marLeft w:val="0"/>
          <w:marRight w:val="0"/>
          <w:marTop w:val="0"/>
          <w:marBottom w:val="0"/>
          <w:divBdr>
            <w:top w:val="none" w:sz="0" w:space="0" w:color="auto"/>
            <w:left w:val="none" w:sz="0" w:space="0" w:color="auto"/>
            <w:bottom w:val="none" w:sz="0" w:space="0" w:color="auto"/>
            <w:right w:val="none" w:sz="0" w:space="0" w:color="auto"/>
          </w:divBdr>
          <w:divsChild>
            <w:div w:id="18025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3676">
      <w:bodyDiv w:val="1"/>
      <w:marLeft w:val="0"/>
      <w:marRight w:val="0"/>
      <w:marTop w:val="0"/>
      <w:marBottom w:val="0"/>
      <w:divBdr>
        <w:top w:val="none" w:sz="0" w:space="0" w:color="auto"/>
        <w:left w:val="none" w:sz="0" w:space="0" w:color="auto"/>
        <w:bottom w:val="none" w:sz="0" w:space="0" w:color="auto"/>
        <w:right w:val="none" w:sz="0" w:space="0" w:color="auto"/>
      </w:divBdr>
      <w:divsChild>
        <w:div w:id="1842624121">
          <w:marLeft w:val="0"/>
          <w:marRight w:val="0"/>
          <w:marTop w:val="0"/>
          <w:marBottom w:val="0"/>
          <w:divBdr>
            <w:top w:val="none" w:sz="0" w:space="0" w:color="auto"/>
            <w:left w:val="none" w:sz="0" w:space="0" w:color="auto"/>
            <w:bottom w:val="none" w:sz="0" w:space="0" w:color="auto"/>
            <w:right w:val="none" w:sz="0" w:space="0" w:color="auto"/>
          </w:divBdr>
          <w:divsChild>
            <w:div w:id="2132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4315">
      <w:bodyDiv w:val="1"/>
      <w:marLeft w:val="0"/>
      <w:marRight w:val="0"/>
      <w:marTop w:val="0"/>
      <w:marBottom w:val="0"/>
      <w:divBdr>
        <w:top w:val="none" w:sz="0" w:space="0" w:color="auto"/>
        <w:left w:val="none" w:sz="0" w:space="0" w:color="auto"/>
        <w:bottom w:val="none" w:sz="0" w:space="0" w:color="auto"/>
        <w:right w:val="none" w:sz="0" w:space="0" w:color="auto"/>
      </w:divBdr>
      <w:divsChild>
        <w:div w:id="966662318">
          <w:marLeft w:val="0"/>
          <w:marRight w:val="0"/>
          <w:marTop w:val="0"/>
          <w:marBottom w:val="0"/>
          <w:divBdr>
            <w:top w:val="none" w:sz="0" w:space="0" w:color="auto"/>
            <w:left w:val="none" w:sz="0" w:space="0" w:color="auto"/>
            <w:bottom w:val="none" w:sz="0" w:space="0" w:color="auto"/>
            <w:right w:val="none" w:sz="0" w:space="0" w:color="auto"/>
          </w:divBdr>
          <w:divsChild>
            <w:div w:id="293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5166">
      <w:bodyDiv w:val="1"/>
      <w:marLeft w:val="0"/>
      <w:marRight w:val="0"/>
      <w:marTop w:val="0"/>
      <w:marBottom w:val="0"/>
      <w:divBdr>
        <w:top w:val="none" w:sz="0" w:space="0" w:color="auto"/>
        <w:left w:val="none" w:sz="0" w:space="0" w:color="auto"/>
        <w:bottom w:val="none" w:sz="0" w:space="0" w:color="auto"/>
        <w:right w:val="none" w:sz="0" w:space="0" w:color="auto"/>
      </w:divBdr>
      <w:divsChild>
        <w:div w:id="234321049">
          <w:marLeft w:val="0"/>
          <w:marRight w:val="0"/>
          <w:marTop w:val="0"/>
          <w:marBottom w:val="0"/>
          <w:divBdr>
            <w:top w:val="none" w:sz="0" w:space="0" w:color="auto"/>
            <w:left w:val="none" w:sz="0" w:space="0" w:color="auto"/>
            <w:bottom w:val="none" w:sz="0" w:space="0" w:color="auto"/>
            <w:right w:val="none" w:sz="0" w:space="0" w:color="auto"/>
          </w:divBdr>
          <w:divsChild>
            <w:div w:id="398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9032">
      <w:bodyDiv w:val="1"/>
      <w:marLeft w:val="0"/>
      <w:marRight w:val="0"/>
      <w:marTop w:val="0"/>
      <w:marBottom w:val="0"/>
      <w:divBdr>
        <w:top w:val="none" w:sz="0" w:space="0" w:color="auto"/>
        <w:left w:val="none" w:sz="0" w:space="0" w:color="auto"/>
        <w:bottom w:val="none" w:sz="0" w:space="0" w:color="auto"/>
        <w:right w:val="none" w:sz="0" w:space="0" w:color="auto"/>
      </w:divBdr>
      <w:divsChild>
        <w:div w:id="191653987">
          <w:marLeft w:val="0"/>
          <w:marRight w:val="0"/>
          <w:marTop w:val="0"/>
          <w:marBottom w:val="0"/>
          <w:divBdr>
            <w:top w:val="none" w:sz="0" w:space="0" w:color="auto"/>
            <w:left w:val="none" w:sz="0" w:space="0" w:color="auto"/>
            <w:bottom w:val="none" w:sz="0" w:space="0" w:color="auto"/>
            <w:right w:val="none" w:sz="0" w:space="0" w:color="auto"/>
          </w:divBdr>
          <w:divsChild>
            <w:div w:id="17184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2295">
      <w:bodyDiv w:val="1"/>
      <w:marLeft w:val="0"/>
      <w:marRight w:val="0"/>
      <w:marTop w:val="0"/>
      <w:marBottom w:val="0"/>
      <w:divBdr>
        <w:top w:val="none" w:sz="0" w:space="0" w:color="auto"/>
        <w:left w:val="none" w:sz="0" w:space="0" w:color="auto"/>
        <w:bottom w:val="none" w:sz="0" w:space="0" w:color="auto"/>
        <w:right w:val="none" w:sz="0" w:space="0" w:color="auto"/>
      </w:divBdr>
      <w:divsChild>
        <w:div w:id="1964771587">
          <w:marLeft w:val="0"/>
          <w:marRight w:val="0"/>
          <w:marTop w:val="0"/>
          <w:marBottom w:val="0"/>
          <w:divBdr>
            <w:top w:val="none" w:sz="0" w:space="0" w:color="auto"/>
            <w:left w:val="none" w:sz="0" w:space="0" w:color="auto"/>
            <w:bottom w:val="none" w:sz="0" w:space="0" w:color="auto"/>
            <w:right w:val="none" w:sz="0" w:space="0" w:color="auto"/>
          </w:divBdr>
          <w:divsChild>
            <w:div w:id="17383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50875">
      <w:bodyDiv w:val="1"/>
      <w:marLeft w:val="0"/>
      <w:marRight w:val="0"/>
      <w:marTop w:val="0"/>
      <w:marBottom w:val="0"/>
      <w:divBdr>
        <w:top w:val="none" w:sz="0" w:space="0" w:color="auto"/>
        <w:left w:val="none" w:sz="0" w:space="0" w:color="auto"/>
        <w:bottom w:val="none" w:sz="0" w:space="0" w:color="auto"/>
        <w:right w:val="none" w:sz="0" w:space="0" w:color="auto"/>
      </w:divBdr>
      <w:divsChild>
        <w:div w:id="105779684">
          <w:marLeft w:val="0"/>
          <w:marRight w:val="0"/>
          <w:marTop w:val="0"/>
          <w:marBottom w:val="0"/>
          <w:divBdr>
            <w:top w:val="none" w:sz="0" w:space="0" w:color="auto"/>
            <w:left w:val="none" w:sz="0" w:space="0" w:color="auto"/>
            <w:bottom w:val="none" w:sz="0" w:space="0" w:color="auto"/>
            <w:right w:val="none" w:sz="0" w:space="0" w:color="auto"/>
          </w:divBdr>
          <w:divsChild>
            <w:div w:id="6175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12207">
      <w:bodyDiv w:val="1"/>
      <w:marLeft w:val="0"/>
      <w:marRight w:val="0"/>
      <w:marTop w:val="0"/>
      <w:marBottom w:val="0"/>
      <w:divBdr>
        <w:top w:val="none" w:sz="0" w:space="0" w:color="auto"/>
        <w:left w:val="none" w:sz="0" w:space="0" w:color="auto"/>
        <w:bottom w:val="none" w:sz="0" w:space="0" w:color="auto"/>
        <w:right w:val="none" w:sz="0" w:space="0" w:color="auto"/>
      </w:divBdr>
      <w:divsChild>
        <w:div w:id="314534902">
          <w:marLeft w:val="0"/>
          <w:marRight w:val="0"/>
          <w:marTop w:val="0"/>
          <w:marBottom w:val="0"/>
          <w:divBdr>
            <w:top w:val="none" w:sz="0" w:space="0" w:color="auto"/>
            <w:left w:val="none" w:sz="0" w:space="0" w:color="auto"/>
            <w:bottom w:val="none" w:sz="0" w:space="0" w:color="auto"/>
            <w:right w:val="none" w:sz="0" w:space="0" w:color="auto"/>
          </w:divBdr>
          <w:divsChild>
            <w:div w:id="162523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2394">
      <w:bodyDiv w:val="1"/>
      <w:marLeft w:val="0"/>
      <w:marRight w:val="0"/>
      <w:marTop w:val="0"/>
      <w:marBottom w:val="0"/>
      <w:divBdr>
        <w:top w:val="none" w:sz="0" w:space="0" w:color="auto"/>
        <w:left w:val="none" w:sz="0" w:space="0" w:color="auto"/>
        <w:bottom w:val="none" w:sz="0" w:space="0" w:color="auto"/>
        <w:right w:val="none" w:sz="0" w:space="0" w:color="auto"/>
      </w:divBdr>
      <w:divsChild>
        <w:div w:id="1051417906">
          <w:marLeft w:val="0"/>
          <w:marRight w:val="0"/>
          <w:marTop w:val="0"/>
          <w:marBottom w:val="0"/>
          <w:divBdr>
            <w:top w:val="none" w:sz="0" w:space="0" w:color="auto"/>
            <w:left w:val="none" w:sz="0" w:space="0" w:color="auto"/>
            <w:bottom w:val="none" w:sz="0" w:space="0" w:color="auto"/>
            <w:right w:val="none" w:sz="0" w:space="0" w:color="auto"/>
          </w:divBdr>
          <w:divsChild>
            <w:div w:id="20208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089">
      <w:bodyDiv w:val="1"/>
      <w:marLeft w:val="0"/>
      <w:marRight w:val="0"/>
      <w:marTop w:val="0"/>
      <w:marBottom w:val="0"/>
      <w:divBdr>
        <w:top w:val="none" w:sz="0" w:space="0" w:color="auto"/>
        <w:left w:val="none" w:sz="0" w:space="0" w:color="auto"/>
        <w:bottom w:val="none" w:sz="0" w:space="0" w:color="auto"/>
        <w:right w:val="none" w:sz="0" w:space="0" w:color="auto"/>
      </w:divBdr>
      <w:divsChild>
        <w:div w:id="1313221331">
          <w:marLeft w:val="0"/>
          <w:marRight w:val="0"/>
          <w:marTop w:val="0"/>
          <w:marBottom w:val="0"/>
          <w:divBdr>
            <w:top w:val="none" w:sz="0" w:space="0" w:color="auto"/>
            <w:left w:val="none" w:sz="0" w:space="0" w:color="auto"/>
            <w:bottom w:val="none" w:sz="0" w:space="0" w:color="auto"/>
            <w:right w:val="none" w:sz="0" w:space="0" w:color="auto"/>
          </w:divBdr>
          <w:divsChild>
            <w:div w:id="18554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04523">
      <w:bodyDiv w:val="1"/>
      <w:marLeft w:val="0"/>
      <w:marRight w:val="0"/>
      <w:marTop w:val="0"/>
      <w:marBottom w:val="0"/>
      <w:divBdr>
        <w:top w:val="none" w:sz="0" w:space="0" w:color="auto"/>
        <w:left w:val="none" w:sz="0" w:space="0" w:color="auto"/>
        <w:bottom w:val="none" w:sz="0" w:space="0" w:color="auto"/>
        <w:right w:val="none" w:sz="0" w:space="0" w:color="auto"/>
      </w:divBdr>
      <w:divsChild>
        <w:div w:id="1893272823">
          <w:marLeft w:val="0"/>
          <w:marRight w:val="0"/>
          <w:marTop w:val="0"/>
          <w:marBottom w:val="0"/>
          <w:divBdr>
            <w:top w:val="none" w:sz="0" w:space="0" w:color="auto"/>
            <w:left w:val="none" w:sz="0" w:space="0" w:color="auto"/>
            <w:bottom w:val="none" w:sz="0" w:space="0" w:color="auto"/>
            <w:right w:val="none" w:sz="0" w:space="0" w:color="auto"/>
          </w:divBdr>
          <w:divsChild>
            <w:div w:id="11952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072">
      <w:bodyDiv w:val="1"/>
      <w:marLeft w:val="0"/>
      <w:marRight w:val="0"/>
      <w:marTop w:val="0"/>
      <w:marBottom w:val="0"/>
      <w:divBdr>
        <w:top w:val="none" w:sz="0" w:space="0" w:color="auto"/>
        <w:left w:val="none" w:sz="0" w:space="0" w:color="auto"/>
        <w:bottom w:val="none" w:sz="0" w:space="0" w:color="auto"/>
        <w:right w:val="none" w:sz="0" w:space="0" w:color="auto"/>
      </w:divBdr>
      <w:divsChild>
        <w:div w:id="93017617">
          <w:marLeft w:val="0"/>
          <w:marRight w:val="0"/>
          <w:marTop w:val="0"/>
          <w:marBottom w:val="0"/>
          <w:divBdr>
            <w:top w:val="none" w:sz="0" w:space="0" w:color="auto"/>
            <w:left w:val="none" w:sz="0" w:space="0" w:color="auto"/>
            <w:bottom w:val="none" w:sz="0" w:space="0" w:color="auto"/>
            <w:right w:val="none" w:sz="0" w:space="0" w:color="auto"/>
          </w:divBdr>
          <w:divsChild>
            <w:div w:id="146286361">
              <w:marLeft w:val="0"/>
              <w:marRight w:val="0"/>
              <w:marTop w:val="0"/>
              <w:marBottom w:val="0"/>
              <w:divBdr>
                <w:top w:val="none" w:sz="0" w:space="0" w:color="auto"/>
                <w:left w:val="none" w:sz="0" w:space="0" w:color="auto"/>
                <w:bottom w:val="none" w:sz="0" w:space="0" w:color="auto"/>
                <w:right w:val="none" w:sz="0" w:space="0" w:color="auto"/>
              </w:divBdr>
            </w:div>
          </w:divsChild>
        </w:div>
        <w:div w:id="285966031">
          <w:marLeft w:val="0"/>
          <w:marRight w:val="0"/>
          <w:marTop w:val="0"/>
          <w:marBottom w:val="0"/>
          <w:divBdr>
            <w:top w:val="none" w:sz="0" w:space="0" w:color="auto"/>
            <w:left w:val="none" w:sz="0" w:space="0" w:color="auto"/>
            <w:bottom w:val="none" w:sz="0" w:space="0" w:color="auto"/>
            <w:right w:val="none" w:sz="0" w:space="0" w:color="auto"/>
          </w:divBdr>
        </w:div>
      </w:divsChild>
    </w:div>
    <w:div w:id="1911575030">
      <w:bodyDiv w:val="1"/>
      <w:marLeft w:val="0"/>
      <w:marRight w:val="0"/>
      <w:marTop w:val="0"/>
      <w:marBottom w:val="0"/>
      <w:divBdr>
        <w:top w:val="none" w:sz="0" w:space="0" w:color="auto"/>
        <w:left w:val="none" w:sz="0" w:space="0" w:color="auto"/>
        <w:bottom w:val="none" w:sz="0" w:space="0" w:color="auto"/>
        <w:right w:val="none" w:sz="0" w:space="0" w:color="auto"/>
      </w:divBdr>
      <w:divsChild>
        <w:div w:id="1900431715">
          <w:marLeft w:val="0"/>
          <w:marRight w:val="0"/>
          <w:marTop w:val="0"/>
          <w:marBottom w:val="0"/>
          <w:divBdr>
            <w:top w:val="none" w:sz="0" w:space="0" w:color="auto"/>
            <w:left w:val="none" w:sz="0" w:space="0" w:color="auto"/>
            <w:bottom w:val="none" w:sz="0" w:space="0" w:color="auto"/>
            <w:right w:val="none" w:sz="0" w:space="0" w:color="auto"/>
          </w:divBdr>
          <w:divsChild>
            <w:div w:id="20992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3520">
      <w:bodyDiv w:val="1"/>
      <w:marLeft w:val="0"/>
      <w:marRight w:val="0"/>
      <w:marTop w:val="0"/>
      <w:marBottom w:val="0"/>
      <w:divBdr>
        <w:top w:val="none" w:sz="0" w:space="0" w:color="auto"/>
        <w:left w:val="none" w:sz="0" w:space="0" w:color="auto"/>
        <w:bottom w:val="none" w:sz="0" w:space="0" w:color="auto"/>
        <w:right w:val="none" w:sz="0" w:space="0" w:color="auto"/>
      </w:divBdr>
      <w:divsChild>
        <w:div w:id="796607983">
          <w:marLeft w:val="0"/>
          <w:marRight w:val="0"/>
          <w:marTop w:val="0"/>
          <w:marBottom w:val="0"/>
          <w:divBdr>
            <w:top w:val="none" w:sz="0" w:space="0" w:color="auto"/>
            <w:left w:val="none" w:sz="0" w:space="0" w:color="auto"/>
            <w:bottom w:val="none" w:sz="0" w:space="0" w:color="auto"/>
            <w:right w:val="none" w:sz="0" w:space="0" w:color="auto"/>
          </w:divBdr>
          <w:divsChild>
            <w:div w:id="19884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90338">
      <w:bodyDiv w:val="1"/>
      <w:marLeft w:val="0"/>
      <w:marRight w:val="0"/>
      <w:marTop w:val="0"/>
      <w:marBottom w:val="0"/>
      <w:divBdr>
        <w:top w:val="none" w:sz="0" w:space="0" w:color="auto"/>
        <w:left w:val="none" w:sz="0" w:space="0" w:color="auto"/>
        <w:bottom w:val="none" w:sz="0" w:space="0" w:color="auto"/>
        <w:right w:val="none" w:sz="0" w:space="0" w:color="auto"/>
      </w:divBdr>
      <w:divsChild>
        <w:div w:id="413010234">
          <w:marLeft w:val="0"/>
          <w:marRight w:val="0"/>
          <w:marTop w:val="0"/>
          <w:marBottom w:val="0"/>
          <w:divBdr>
            <w:top w:val="none" w:sz="0" w:space="0" w:color="auto"/>
            <w:left w:val="none" w:sz="0" w:space="0" w:color="auto"/>
            <w:bottom w:val="none" w:sz="0" w:space="0" w:color="auto"/>
            <w:right w:val="none" w:sz="0" w:space="0" w:color="auto"/>
          </w:divBdr>
          <w:divsChild>
            <w:div w:id="8907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7211">
      <w:bodyDiv w:val="1"/>
      <w:marLeft w:val="0"/>
      <w:marRight w:val="0"/>
      <w:marTop w:val="0"/>
      <w:marBottom w:val="0"/>
      <w:divBdr>
        <w:top w:val="none" w:sz="0" w:space="0" w:color="auto"/>
        <w:left w:val="none" w:sz="0" w:space="0" w:color="auto"/>
        <w:bottom w:val="none" w:sz="0" w:space="0" w:color="auto"/>
        <w:right w:val="none" w:sz="0" w:space="0" w:color="auto"/>
      </w:divBdr>
      <w:divsChild>
        <w:div w:id="386340892">
          <w:marLeft w:val="0"/>
          <w:marRight w:val="0"/>
          <w:marTop w:val="0"/>
          <w:marBottom w:val="0"/>
          <w:divBdr>
            <w:top w:val="none" w:sz="0" w:space="0" w:color="auto"/>
            <w:left w:val="none" w:sz="0" w:space="0" w:color="auto"/>
            <w:bottom w:val="none" w:sz="0" w:space="0" w:color="auto"/>
            <w:right w:val="none" w:sz="0" w:space="0" w:color="auto"/>
          </w:divBdr>
          <w:divsChild>
            <w:div w:id="18565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15616">
      <w:bodyDiv w:val="1"/>
      <w:marLeft w:val="0"/>
      <w:marRight w:val="0"/>
      <w:marTop w:val="0"/>
      <w:marBottom w:val="0"/>
      <w:divBdr>
        <w:top w:val="none" w:sz="0" w:space="0" w:color="auto"/>
        <w:left w:val="none" w:sz="0" w:space="0" w:color="auto"/>
        <w:bottom w:val="none" w:sz="0" w:space="0" w:color="auto"/>
        <w:right w:val="none" w:sz="0" w:space="0" w:color="auto"/>
      </w:divBdr>
      <w:divsChild>
        <w:div w:id="1484617936">
          <w:marLeft w:val="0"/>
          <w:marRight w:val="0"/>
          <w:marTop w:val="0"/>
          <w:marBottom w:val="0"/>
          <w:divBdr>
            <w:top w:val="none" w:sz="0" w:space="0" w:color="auto"/>
            <w:left w:val="none" w:sz="0" w:space="0" w:color="auto"/>
            <w:bottom w:val="none" w:sz="0" w:space="0" w:color="auto"/>
            <w:right w:val="none" w:sz="0" w:space="0" w:color="auto"/>
          </w:divBdr>
          <w:divsChild>
            <w:div w:id="6796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31045.html" TargetMode="External"/><Relationship Id="rId13" Type="http://schemas.openxmlformats.org/officeDocument/2006/relationships/hyperlink" Target="http://cabinet.tax.gov.ua/" TargetMode="External"/><Relationship Id="rId3" Type="http://schemas.openxmlformats.org/officeDocument/2006/relationships/settings" Target="settings.xml"/><Relationship Id="rId7" Type="http://schemas.openxmlformats.org/officeDocument/2006/relationships/hyperlink" Target="https://tax.gov.ua/media-tsentr/novini/430857.html" TargetMode="External"/><Relationship Id="rId12" Type="http://schemas.openxmlformats.org/officeDocument/2006/relationships/hyperlink" Target="https://tax.gov.ua/media-tsentr/novini/43128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elektronna-zvitnist/platnikam-podatkiv-pro/informatsiyno-analitichne-za/reestr-elektronnih-form-po/" TargetMode="External"/><Relationship Id="rId11" Type="http://schemas.openxmlformats.org/officeDocument/2006/relationships/hyperlink" Target="https://tax.gov.ua/data/files/252576.pdf" TargetMode="External"/><Relationship Id="rId5" Type="http://schemas.openxmlformats.org/officeDocument/2006/relationships/hyperlink" Target="https://tax.gov.ua/zakonodavstvo/podatkove-zakonodavstvo/nakazi/74694.html" TargetMode="External"/><Relationship Id="rId15" Type="http://schemas.openxmlformats.org/officeDocument/2006/relationships/theme" Target="theme/theme1.xml"/><Relationship Id="rId10" Type="http://schemas.openxmlformats.org/officeDocument/2006/relationships/hyperlink" Target="https://www.irs.gov/newsroom/irs-grants-extension-of-time-to-file-fatca-information-returns" TargetMode="External"/><Relationship Id="rId4" Type="http://schemas.openxmlformats.org/officeDocument/2006/relationships/webSettings" Target="webSettings.xml"/><Relationship Id="rId9" Type="http://schemas.openxmlformats.org/officeDocument/2006/relationships/hyperlink" Target="https://tax.gov.ua/data/files/252568.do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11437</Words>
  <Characters>65194</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2</cp:revision>
  <dcterms:created xsi:type="dcterms:W3CDTF">2020-09-04T07:35:00Z</dcterms:created>
  <dcterms:modified xsi:type="dcterms:W3CDTF">2020-09-04T07:35:00Z</dcterms:modified>
</cp:coreProperties>
</file>