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B9F" w:rsidRPr="00D31B9F" w:rsidRDefault="00D31B9F" w:rsidP="008E21BF">
      <w:pPr>
        <w:jc w:val="left"/>
        <w:outlineLvl w:val="0"/>
        <w:rPr>
          <w:rFonts w:ascii="Times New Roman" w:eastAsia="Times New Roman" w:hAnsi="Times New Roman" w:cs="Times New Roman"/>
          <w:b/>
          <w:bCs/>
          <w:kern w:val="36"/>
          <w:sz w:val="20"/>
          <w:szCs w:val="20"/>
          <w:lang w:val="uk-UA" w:eastAsia="ru-RU"/>
        </w:rPr>
      </w:pPr>
      <w:r w:rsidRPr="00D31B9F">
        <w:rPr>
          <w:rFonts w:ascii="Times New Roman" w:eastAsia="Times New Roman" w:hAnsi="Times New Roman" w:cs="Times New Roman"/>
          <w:b/>
          <w:bCs/>
          <w:kern w:val="36"/>
          <w:sz w:val="20"/>
          <w:szCs w:val="20"/>
          <w:lang w:val="uk-UA" w:eastAsia="ru-RU"/>
        </w:rPr>
        <w:t xml:space="preserve">Шановні платники! Утримуйтесь від відвідування </w:t>
      </w:r>
      <w:proofErr w:type="spellStart"/>
      <w:r w:rsidRPr="00D31B9F">
        <w:rPr>
          <w:rFonts w:ascii="Times New Roman" w:eastAsia="Times New Roman" w:hAnsi="Times New Roman" w:cs="Times New Roman"/>
          <w:b/>
          <w:bCs/>
          <w:kern w:val="36"/>
          <w:sz w:val="20"/>
          <w:szCs w:val="20"/>
          <w:lang w:val="uk-UA" w:eastAsia="ru-RU"/>
        </w:rPr>
        <w:t>ЦОПів</w:t>
      </w:r>
      <w:proofErr w:type="spellEnd"/>
      <w:r w:rsidRPr="00D31B9F">
        <w:rPr>
          <w:rFonts w:ascii="Times New Roman" w:eastAsia="Times New Roman" w:hAnsi="Times New Roman" w:cs="Times New Roman"/>
          <w:b/>
          <w:bCs/>
          <w:kern w:val="36"/>
          <w:sz w:val="20"/>
          <w:szCs w:val="20"/>
          <w:lang w:val="uk-UA" w:eastAsia="ru-RU"/>
        </w:rPr>
        <w:t xml:space="preserve"> без нагальної потреби! </w:t>
      </w:r>
    </w:p>
    <w:p w:rsidR="00D31B9F" w:rsidRPr="00D31B9F" w:rsidRDefault="008E21BF"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D31B9F" w:rsidRPr="00D31B9F">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D31B9F" w:rsidRPr="00D31B9F">
        <w:rPr>
          <w:rFonts w:ascii="Times New Roman" w:eastAsia="Times New Roman" w:hAnsi="Times New Roman" w:cs="Times New Roman"/>
          <w:sz w:val="20"/>
          <w:szCs w:val="20"/>
          <w:lang w:val="uk-UA" w:eastAsia="ru-RU"/>
        </w:rPr>
        <w:t xml:space="preserve">, що з метою запобігання поширенню на території України гострої респіраторної хвороби СОVID-19 постановою Кабінету Міністрів України від 22.07.2020 № 641 на всій території України з 01.08.2020 до 31.10.2020 продовжено дію карантину, встановленого постановою Кабінету Міністрів України від 11.03.2020 № 211 «Про запобігання поширенню на території України гострої респіраторної хвороби СОVID-19, спричиненої </w:t>
      </w:r>
      <w:proofErr w:type="spellStart"/>
      <w:r w:rsidR="00D31B9F" w:rsidRPr="00D31B9F">
        <w:rPr>
          <w:rFonts w:ascii="Times New Roman" w:eastAsia="Times New Roman" w:hAnsi="Times New Roman" w:cs="Times New Roman"/>
          <w:sz w:val="20"/>
          <w:szCs w:val="20"/>
          <w:lang w:val="uk-UA" w:eastAsia="ru-RU"/>
        </w:rPr>
        <w:t>коронавірусом</w:t>
      </w:r>
      <w:proofErr w:type="spellEnd"/>
      <w:r w:rsidR="00D31B9F" w:rsidRPr="00D31B9F">
        <w:rPr>
          <w:rFonts w:ascii="Times New Roman" w:eastAsia="Times New Roman" w:hAnsi="Times New Roman" w:cs="Times New Roman"/>
          <w:sz w:val="20"/>
          <w:szCs w:val="20"/>
          <w:lang w:val="uk-UA" w:eastAsia="ru-RU"/>
        </w:rPr>
        <w:t xml:space="preserve"> SARS-CoV-2» із змінами.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Шановні платники, у зв’язку з розповсюдженням гострої респіраторної хвороби СОVID-19 та попередженням інфікування і поширення вірусних інфекцій рекомендуємо утриматися від відвідування центрів обслуговування платників без нагальної потреби! Особливо, якщо питання, з якими ви збираєтеся звернутися до </w:t>
      </w:r>
      <w:proofErr w:type="spellStart"/>
      <w:r w:rsidRPr="00D31B9F">
        <w:rPr>
          <w:rFonts w:ascii="Times New Roman" w:eastAsia="Times New Roman" w:hAnsi="Times New Roman" w:cs="Times New Roman"/>
          <w:sz w:val="20"/>
          <w:szCs w:val="20"/>
          <w:lang w:val="uk-UA" w:eastAsia="ru-RU"/>
        </w:rPr>
        <w:t>ЦОПів</w:t>
      </w:r>
      <w:proofErr w:type="spellEnd"/>
      <w:r w:rsidRPr="00D31B9F">
        <w:rPr>
          <w:rFonts w:ascii="Times New Roman" w:eastAsia="Times New Roman" w:hAnsi="Times New Roman" w:cs="Times New Roman"/>
          <w:sz w:val="20"/>
          <w:szCs w:val="20"/>
          <w:lang w:val="uk-UA" w:eastAsia="ru-RU"/>
        </w:rPr>
        <w:t xml:space="preserve">, можливо вирішити дистанційно (он-лайн або поштою).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У разі потреби обов’язкового відвідування ЦОП, просимо дотримуватись рекомендацій Міністерства охорони здоров’я України щодо зменшення впливу та передачі гострих респіраторних вірусних інфекцій: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 користуватися захисною маскою та дезінфікуючими засобами;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 не створювати скупчення людей у ЦОП.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Пам’ятайте про необхідність дотримання безпечної відстані між людьми (щонайменше 1,5 метри);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 уникати контакту з усіма, хто має гарячку та кашель.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Бережіть своє здоров’я та здоров’я близьких і оточуючих! </w:t>
      </w:r>
    </w:p>
    <w:p w:rsidR="00D31B9F" w:rsidRPr="00D31B9F" w:rsidRDefault="00D31B9F" w:rsidP="008E21BF">
      <w:pPr>
        <w:jc w:val="left"/>
        <w:outlineLvl w:val="0"/>
        <w:rPr>
          <w:rFonts w:ascii="Times New Roman" w:eastAsia="Times New Roman" w:hAnsi="Times New Roman" w:cs="Times New Roman"/>
          <w:b/>
          <w:bCs/>
          <w:kern w:val="36"/>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Чи включаються до складу податкової знижки витрати, понесені фізичною особою на лікування за наслідками 2019 року? </w:t>
      </w:r>
    </w:p>
    <w:p w:rsidR="00C45DF5" w:rsidRPr="00C45DF5" w:rsidRDefault="008E21BF"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C45DF5" w:rsidRPr="00C45DF5">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00C45DF5" w:rsidRPr="00C45DF5">
        <w:rPr>
          <w:rFonts w:ascii="Times New Roman" w:eastAsia="Times New Roman" w:hAnsi="Times New Roman" w:cs="Times New Roman"/>
          <w:sz w:val="20"/>
          <w:szCs w:val="20"/>
          <w:lang w:val="uk-UA" w:eastAsia="ru-RU"/>
        </w:rPr>
        <w:t xml:space="preserve"> увагу, що до переліку витрат, дозволених до включення до податкової знижки відповідно до </w:t>
      </w:r>
      <w:proofErr w:type="spellStart"/>
      <w:r w:rsidR="00C45DF5" w:rsidRPr="00C45DF5">
        <w:rPr>
          <w:rFonts w:ascii="Times New Roman" w:eastAsia="Times New Roman" w:hAnsi="Times New Roman" w:cs="Times New Roman"/>
          <w:sz w:val="20"/>
          <w:szCs w:val="20"/>
          <w:lang w:val="uk-UA" w:eastAsia="ru-RU"/>
        </w:rPr>
        <w:t>п.п</w:t>
      </w:r>
      <w:proofErr w:type="spellEnd"/>
      <w:r w:rsidR="00C45DF5" w:rsidRPr="00C45DF5">
        <w:rPr>
          <w:rFonts w:ascii="Times New Roman" w:eastAsia="Times New Roman" w:hAnsi="Times New Roman" w:cs="Times New Roman"/>
          <w:sz w:val="20"/>
          <w:szCs w:val="20"/>
          <w:lang w:val="uk-UA" w:eastAsia="ru-RU"/>
        </w:rPr>
        <w:t>. 166.3.4 п. 166.3 ст. 166 Податкового кодексу України, включається сума коштів, сплачених платником податку на до</w:t>
      </w:r>
      <w:r w:rsidR="00116611">
        <w:rPr>
          <w:rFonts w:ascii="Times New Roman" w:eastAsia="Times New Roman" w:hAnsi="Times New Roman" w:cs="Times New Roman"/>
          <w:sz w:val="20"/>
          <w:szCs w:val="20"/>
          <w:lang w:val="uk-UA" w:eastAsia="ru-RU"/>
        </w:rPr>
        <w:t>ходи фізичних осіб</w:t>
      </w:r>
      <w:r w:rsidR="00C45DF5" w:rsidRPr="00C45DF5">
        <w:rPr>
          <w:rFonts w:ascii="Times New Roman" w:eastAsia="Times New Roman" w:hAnsi="Times New Roman" w:cs="Times New Roman"/>
          <w:sz w:val="20"/>
          <w:szCs w:val="20"/>
          <w:lang w:val="uk-UA" w:eastAsia="ru-RU"/>
        </w:rPr>
        <w:t xml:space="preserve">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сума коштів, сплачених платником податку, визнаного в установленому порядку особою з інвалідністю, на користь протезно-ортопедичних підприємств, реабілітаційних установ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 загальнообов’язкового державного соціального медичного страхування, </w:t>
      </w:r>
      <w:r w:rsidR="00C45DF5" w:rsidRPr="00D31B9F">
        <w:rPr>
          <w:rFonts w:ascii="Times New Roman" w:eastAsia="Times New Roman" w:hAnsi="Times New Roman" w:cs="Times New Roman"/>
          <w:i/>
          <w:iCs/>
          <w:sz w:val="20"/>
          <w:szCs w:val="20"/>
          <w:lang w:val="uk-UA" w:eastAsia="ru-RU"/>
        </w:rPr>
        <w:t>крім:</w:t>
      </w:r>
      <w:r w:rsidR="00C45DF5" w:rsidRPr="00C45DF5">
        <w:rPr>
          <w:rFonts w:ascii="Times New Roman" w:eastAsia="Times New Roman" w:hAnsi="Times New Roman" w:cs="Times New Roman"/>
          <w:sz w:val="20"/>
          <w:szCs w:val="20"/>
          <w:lang w:val="uk-UA" w:eastAsia="ru-RU"/>
        </w:rPr>
        <w:t xml:space="preserve">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б) протезування зубів з використанням дорогоцінних металів, порцеляни та гальванопластики;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в) абортів (крім абортів, які проводяться за медичними показаннями або коли вагітність стала наслідком зґвалтування);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г) операцій із зміни статі;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ґ) лікування венеричних захворювань (</w:t>
      </w:r>
      <w:r w:rsidRPr="00D31B9F">
        <w:rPr>
          <w:rFonts w:ascii="Times New Roman" w:eastAsia="Times New Roman" w:hAnsi="Times New Roman" w:cs="Times New Roman"/>
          <w:i/>
          <w:iCs/>
          <w:sz w:val="20"/>
          <w:szCs w:val="20"/>
          <w:lang w:val="uk-UA" w:eastAsia="ru-RU"/>
        </w:rPr>
        <w:t xml:space="preserve">крім </w:t>
      </w:r>
      <w:proofErr w:type="spellStart"/>
      <w:r w:rsidRPr="00D31B9F">
        <w:rPr>
          <w:rFonts w:ascii="Times New Roman" w:eastAsia="Times New Roman" w:hAnsi="Times New Roman" w:cs="Times New Roman"/>
          <w:i/>
          <w:iCs/>
          <w:sz w:val="20"/>
          <w:szCs w:val="20"/>
          <w:lang w:val="uk-UA" w:eastAsia="ru-RU"/>
        </w:rPr>
        <w:t>СНІДу</w:t>
      </w:r>
      <w:proofErr w:type="spellEnd"/>
      <w:r w:rsidRPr="00D31B9F">
        <w:rPr>
          <w:rFonts w:ascii="Times New Roman" w:eastAsia="Times New Roman" w:hAnsi="Times New Roman" w:cs="Times New Roman"/>
          <w:i/>
          <w:iCs/>
          <w:sz w:val="20"/>
          <w:szCs w:val="20"/>
          <w:lang w:val="uk-UA" w:eastAsia="ru-RU"/>
        </w:rPr>
        <w:t xml:space="preserve"> та венеричних захворювань, причиною яких є побутове зараження або зґвалтування)</w:t>
      </w:r>
      <w:r w:rsidRPr="00C45DF5">
        <w:rPr>
          <w:rFonts w:ascii="Times New Roman" w:eastAsia="Times New Roman" w:hAnsi="Times New Roman" w:cs="Times New Roman"/>
          <w:sz w:val="20"/>
          <w:szCs w:val="20"/>
          <w:lang w:val="uk-UA" w:eastAsia="ru-RU"/>
        </w:rPr>
        <w:t xml:space="preserve">;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д) лікування тютюнової чи алкогольної залежності;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Міністрів України.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Пунктом 1 розділу ХІХ ПКУ встановлено, що </w:t>
      </w:r>
      <w:proofErr w:type="spellStart"/>
      <w:r w:rsidRPr="00C45DF5">
        <w:rPr>
          <w:rFonts w:ascii="Times New Roman" w:eastAsia="Times New Roman" w:hAnsi="Times New Roman" w:cs="Times New Roman"/>
          <w:sz w:val="20"/>
          <w:szCs w:val="20"/>
          <w:lang w:val="uk-UA" w:eastAsia="ru-RU"/>
        </w:rPr>
        <w:t>п.п</w:t>
      </w:r>
      <w:proofErr w:type="spellEnd"/>
      <w:r w:rsidRPr="00C45DF5">
        <w:rPr>
          <w:rFonts w:ascii="Times New Roman" w:eastAsia="Times New Roman" w:hAnsi="Times New Roman" w:cs="Times New Roman"/>
          <w:sz w:val="20"/>
          <w:szCs w:val="20"/>
          <w:lang w:val="uk-UA" w:eastAsia="ru-RU"/>
        </w:rPr>
        <w:t xml:space="preserve">. 166.3.4 п. 166.3 ст. 166 ПКУ набирає чинності з 01 січня року, наступного за роком, у якому набере чинність закон про загальнообов’язкове державне соціальне медичне страхування.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Станом на 01 січня 2020 року закон про загальнообов’язкове державне соціальне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w:t>
      </w:r>
      <w:proofErr w:type="spellStart"/>
      <w:r w:rsidRPr="00C45DF5">
        <w:rPr>
          <w:rFonts w:ascii="Times New Roman" w:eastAsia="Times New Roman" w:hAnsi="Times New Roman" w:cs="Times New Roman"/>
          <w:sz w:val="20"/>
          <w:szCs w:val="20"/>
          <w:lang w:val="uk-UA" w:eastAsia="ru-RU"/>
        </w:rPr>
        <w:t>п.п</w:t>
      </w:r>
      <w:proofErr w:type="spellEnd"/>
      <w:r w:rsidRPr="00C45DF5">
        <w:rPr>
          <w:rFonts w:ascii="Times New Roman" w:eastAsia="Times New Roman" w:hAnsi="Times New Roman" w:cs="Times New Roman"/>
          <w:sz w:val="20"/>
          <w:szCs w:val="20"/>
          <w:lang w:val="uk-UA" w:eastAsia="ru-RU"/>
        </w:rPr>
        <w:t xml:space="preserve">. 166.3.4 п. 166.3 ст. 166 ПКУ), за наслідками 2019 року платникам не надається. </w:t>
      </w:r>
    </w:p>
    <w:p w:rsidR="008E21BF" w:rsidRPr="00C45DF5" w:rsidRDefault="008E21BF" w:rsidP="008E21BF">
      <w:pPr>
        <w:rPr>
          <w:rFonts w:ascii="Times New Roman" w:eastAsia="Times New Roman" w:hAnsi="Times New Roman" w:cs="Times New Roman"/>
          <w:sz w:val="20"/>
          <w:szCs w:val="20"/>
          <w:lang w:val="uk-UA" w:eastAsia="ru-RU"/>
        </w:rPr>
      </w:pPr>
    </w:p>
    <w:p w:rsidR="00C45DF5" w:rsidRPr="00C45DF5" w:rsidRDefault="008E21BF" w:rsidP="008E21BF">
      <w:pPr>
        <w:jc w:val="left"/>
        <w:outlineLvl w:val="0"/>
        <w:rPr>
          <w:rFonts w:ascii="Times New Roman" w:eastAsia="Times New Roman" w:hAnsi="Times New Roman" w:cs="Times New Roman"/>
          <w:b/>
          <w:bCs/>
          <w:kern w:val="36"/>
          <w:sz w:val="20"/>
          <w:szCs w:val="20"/>
          <w:lang w:val="uk-UA" w:eastAsia="ru-RU"/>
        </w:rPr>
      </w:pPr>
      <w:r>
        <w:rPr>
          <w:rFonts w:ascii="Times New Roman" w:eastAsia="Times New Roman" w:hAnsi="Times New Roman" w:cs="Times New Roman"/>
          <w:b/>
          <w:bCs/>
          <w:kern w:val="36"/>
          <w:sz w:val="20"/>
          <w:szCs w:val="20"/>
          <w:lang w:val="uk-UA" w:eastAsia="ru-RU"/>
        </w:rPr>
        <w:t>З</w:t>
      </w:r>
      <w:r w:rsidR="00C45DF5" w:rsidRPr="00C45DF5">
        <w:rPr>
          <w:rFonts w:ascii="Times New Roman" w:eastAsia="Times New Roman" w:hAnsi="Times New Roman" w:cs="Times New Roman"/>
          <w:b/>
          <w:bCs/>
          <w:kern w:val="36"/>
          <w:sz w:val="20"/>
          <w:szCs w:val="20"/>
          <w:lang w:val="uk-UA" w:eastAsia="ru-RU"/>
        </w:rPr>
        <w:t xml:space="preserve">міни об’єкта оподаткування, що призвели до збільшення (зменшення) податкового зобов’язання з плати за землю: необхідно подати декларацію </w:t>
      </w:r>
    </w:p>
    <w:p w:rsidR="00C45DF5" w:rsidRPr="00C45DF5" w:rsidRDefault="008E21BF"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У</w:t>
      </w:r>
      <w:r w:rsidR="00C45DF5" w:rsidRPr="00C45DF5">
        <w:rPr>
          <w:rFonts w:ascii="Times New Roman" w:eastAsia="Times New Roman" w:hAnsi="Times New Roman" w:cs="Times New Roman"/>
          <w:sz w:val="20"/>
          <w:szCs w:val="20"/>
          <w:lang w:val="uk-UA" w:eastAsia="ru-RU"/>
        </w:rPr>
        <w:t xml:space="preserve">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Норми встановлені п. 286.4 ст. 286 Податкового кодексу України.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Податкове зобов’язання з плати за землю, визначене у податковій декларації, у тому числі за </w:t>
      </w:r>
      <w:proofErr w:type="spellStart"/>
      <w:r w:rsidRPr="00C45DF5">
        <w:rPr>
          <w:rFonts w:ascii="Times New Roman" w:eastAsia="Times New Roman" w:hAnsi="Times New Roman" w:cs="Times New Roman"/>
          <w:sz w:val="20"/>
          <w:szCs w:val="20"/>
          <w:lang w:val="uk-UA" w:eastAsia="ru-RU"/>
        </w:rPr>
        <w:t>нововідведені</w:t>
      </w:r>
      <w:proofErr w:type="spellEnd"/>
      <w:r w:rsidRPr="00C45DF5">
        <w:rPr>
          <w:rFonts w:ascii="Times New Roman" w:eastAsia="Times New Roman" w:hAnsi="Times New Roman" w:cs="Times New Roman"/>
          <w:sz w:val="20"/>
          <w:szCs w:val="20"/>
          <w:lang w:val="uk-UA" w:eastAsia="ru-RU"/>
        </w:rPr>
        <w:t xml:space="preserve">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 (п. 287.4 ст. 287 ПКУ).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Згідно з абзацом першим п. 49.2 ст. 49 ПКУ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Цей абзац застосовується до всіх платників податків, в тому числі платників, які перебувають на спрощеній системі оподаткування обліку та звітності.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Відповідальність за неподання, порушення порядку заповнення документів податкової звітності, порушення строків їх подання контролюючим органам, недостовірність інформації, наведеної у зазначених документах, несуть платники податків, а також їх посадові особи.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Пунктом 120.1 ст. 120 ПКУ передбачено накладання штрафу за неподання або несвоєчасне подання платником податків або іншими особами, зобов’язаними нараховувати та сплачувати податки, збори податкових декларацій (розрахунків).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Враховуючи викладене, якщо платник плати за землю не подав податкову декларацію протягом 20 календарних днів місяця, що настає за місяцем, у якому відбулися зміни об’єкта та/або бази оподаткування, які призвели до збільшення або </w:t>
      </w:r>
      <w:r w:rsidRPr="00C45DF5">
        <w:rPr>
          <w:rFonts w:ascii="Times New Roman" w:eastAsia="Times New Roman" w:hAnsi="Times New Roman" w:cs="Times New Roman"/>
          <w:sz w:val="20"/>
          <w:szCs w:val="20"/>
          <w:lang w:val="uk-UA" w:eastAsia="ru-RU"/>
        </w:rPr>
        <w:lastRenderedPageBreak/>
        <w:t xml:space="preserve">зменшення податкового зобов’язання з плати за землю, до нього застосовуються штрафні санкції, передбачені п. 120.1 ст. 120 ПКУ. </w:t>
      </w:r>
    </w:p>
    <w:p w:rsidR="008E21BF" w:rsidRPr="00C45DF5" w:rsidRDefault="008E21BF" w:rsidP="008E21BF">
      <w:pPr>
        <w:rPr>
          <w:rFonts w:ascii="Times New Roman" w:eastAsia="Times New Roman" w:hAnsi="Times New Roman" w:cs="Times New Roman"/>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Оренда нерухомого (рухомого) майна </w:t>
      </w:r>
      <w:proofErr w:type="spellStart"/>
      <w:r w:rsidRPr="00C45DF5">
        <w:rPr>
          <w:rFonts w:ascii="Times New Roman" w:eastAsia="Times New Roman" w:hAnsi="Times New Roman" w:cs="Times New Roman"/>
          <w:b/>
          <w:bCs/>
          <w:kern w:val="36"/>
          <w:sz w:val="20"/>
          <w:szCs w:val="20"/>
          <w:lang w:val="uk-UA" w:eastAsia="ru-RU"/>
        </w:rPr>
        <w:t>юрособою</w:t>
      </w:r>
      <w:proofErr w:type="spellEnd"/>
      <w:r w:rsidRPr="00C45DF5">
        <w:rPr>
          <w:rFonts w:ascii="Times New Roman" w:eastAsia="Times New Roman" w:hAnsi="Times New Roman" w:cs="Times New Roman"/>
          <w:b/>
          <w:bCs/>
          <w:kern w:val="36"/>
          <w:sz w:val="20"/>
          <w:szCs w:val="20"/>
          <w:lang w:val="uk-UA" w:eastAsia="ru-RU"/>
        </w:rPr>
        <w:t xml:space="preserve"> у </w:t>
      </w:r>
      <w:proofErr w:type="spellStart"/>
      <w:r w:rsidRPr="00C45DF5">
        <w:rPr>
          <w:rFonts w:ascii="Times New Roman" w:eastAsia="Times New Roman" w:hAnsi="Times New Roman" w:cs="Times New Roman"/>
          <w:b/>
          <w:bCs/>
          <w:kern w:val="36"/>
          <w:sz w:val="20"/>
          <w:szCs w:val="20"/>
          <w:lang w:val="uk-UA" w:eastAsia="ru-RU"/>
        </w:rPr>
        <w:t>фізособи</w:t>
      </w:r>
      <w:proofErr w:type="spellEnd"/>
      <w:r w:rsidRPr="00C45DF5">
        <w:rPr>
          <w:rFonts w:ascii="Times New Roman" w:eastAsia="Times New Roman" w:hAnsi="Times New Roman" w:cs="Times New Roman"/>
          <w:b/>
          <w:bCs/>
          <w:kern w:val="36"/>
          <w:sz w:val="20"/>
          <w:szCs w:val="20"/>
          <w:lang w:val="uk-UA" w:eastAsia="ru-RU"/>
        </w:rPr>
        <w:t xml:space="preserve">: чи є база нарахування єдиного внеску? </w:t>
      </w:r>
    </w:p>
    <w:p w:rsidR="00C45DF5" w:rsidRPr="00C45DF5" w:rsidRDefault="008E21BF"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45DF5" w:rsidRPr="00C45DF5">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45DF5" w:rsidRPr="00C45DF5">
        <w:rPr>
          <w:rFonts w:ascii="Times New Roman" w:eastAsia="Times New Roman" w:hAnsi="Times New Roman" w:cs="Times New Roman"/>
          <w:sz w:val="20"/>
          <w:szCs w:val="20"/>
          <w:lang w:val="uk-UA" w:eastAsia="ru-RU"/>
        </w:rPr>
        <w:t xml:space="preserve">, що базою нарахування єдиного внеску на загальнообов’язкове державне соціальне страхування (далі – єдиний внесок) для підприємств, установ та організацій,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00C45DF5" w:rsidRPr="00D31B9F">
        <w:rPr>
          <w:rFonts w:ascii="Times New Roman" w:eastAsia="Times New Roman" w:hAnsi="Times New Roman" w:cs="Times New Roman"/>
          <w:i/>
          <w:iCs/>
          <w:sz w:val="20"/>
          <w:szCs w:val="20"/>
          <w:lang w:val="uk-UA" w:eastAsia="ru-RU"/>
        </w:rPr>
        <w:t xml:space="preserve">(крім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w:t>
      </w:r>
      <w:proofErr w:type="spellStart"/>
      <w:r w:rsidR="00C45DF5" w:rsidRPr="00D31B9F">
        <w:rPr>
          <w:rFonts w:ascii="Times New Roman" w:eastAsia="Times New Roman" w:hAnsi="Times New Roman" w:cs="Times New Roman"/>
          <w:i/>
          <w:iCs/>
          <w:sz w:val="20"/>
          <w:szCs w:val="20"/>
          <w:lang w:val="uk-UA" w:eastAsia="ru-RU"/>
        </w:rPr>
        <w:t>ФОП</w:t>
      </w:r>
      <w:proofErr w:type="spellEnd"/>
      <w:r w:rsidR="00C45DF5" w:rsidRPr="00D31B9F">
        <w:rPr>
          <w:rFonts w:ascii="Times New Roman" w:eastAsia="Times New Roman" w:hAnsi="Times New Roman" w:cs="Times New Roman"/>
          <w:i/>
          <w:iCs/>
          <w:sz w:val="20"/>
          <w:szCs w:val="20"/>
          <w:lang w:val="uk-UA" w:eastAsia="ru-RU"/>
        </w:rPr>
        <w:t xml:space="preserve"> та громадських формувань)</w:t>
      </w:r>
      <w:r w:rsidR="00C45DF5" w:rsidRPr="00C45DF5">
        <w:rPr>
          <w:rFonts w:ascii="Times New Roman" w:eastAsia="Times New Roman" w:hAnsi="Times New Roman" w:cs="Times New Roman"/>
          <w:sz w:val="20"/>
          <w:szCs w:val="20"/>
          <w:lang w:val="uk-UA" w:eastAsia="ru-RU"/>
        </w:rPr>
        <w:t xml:space="preserve">,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сума винагороди фізичної особи за виконання робіт (надання послуг) за цивільно-правовими договорами.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Норми встановлені п. 1 частини 1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Згідно з частиною першою 1 ст. 759 Цивільного кодексу України від 16 січня 2003 року № 435-IV із змінами та доповненнями за договором оренди одна сторона (орендодавець) передає іншій стороні (орендареві) за плату на певний строк у користування майно для здійснення господарської діяльності. Поточний ремонт речі, переданої у найм, провадиться наймачем за його рахунок, якщо інше не встановлено договором або законом.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Таким чином, відносини, які виникають при укладенні договору найму (оренди), не мають ознак правовідносин, що регулюють виконання робіт або надання послуг.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Враховуючи зазначене вище, єдиний внесок не нараховується на суму орендної плати, виплаченої на користь фізичної особи згідно договору найму (оренди) нерухомого (рухомого) майна. </w:t>
      </w:r>
    </w:p>
    <w:p w:rsidR="008E21BF" w:rsidRPr="00C45DF5" w:rsidRDefault="008E21BF" w:rsidP="008E21BF">
      <w:pPr>
        <w:rPr>
          <w:rFonts w:ascii="Times New Roman" w:eastAsia="Times New Roman" w:hAnsi="Times New Roman" w:cs="Times New Roman"/>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При отриманні платником ПДВ квитанції про не прийняття Повідомлення, такий платник має право надіслати його з правильними даними </w:t>
      </w:r>
    </w:p>
    <w:p w:rsidR="00C45DF5" w:rsidRPr="00C45DF5" w:rsidRDefault="008E21BF"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45DF5" w:rsidRPr="00C45DF5">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45DF5" w:rsidRPr="00C45DF5">
        <w:rPr>
          <w:rFonts w:ascii="Times New Roman" w:eastAsia="Times New Roman" w:hAnsi="Times New Roman" w:cs="Times New Roman"/>
          <w:sz w:val="20"/>
          <w:szCs w:val="20"/>
          <w:lang w:val="uk-UA" w:eastAsia="ru-RU"/>
        </w:rPr>
        <w:t xml:space="preserve">, що у разі зупинення реєстрації податкової накладної/розрахунку коригування в Єдиному реєстрі податкових накладних контролюючий орган протягом операційного дня надсилає (в електронній формі у текстовому форматі) в автоматичному режимі платнику ПДВ квитанцію про зупинення реєстрації податкової накладної/ розрахунку коригування, яка є підтвердженням зупинення такої реєстрації.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Норми встановлені п. 10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Згідно з п. 4 Порядку прийняття рішень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зареєстрованим в Міністерстві юстиції України 13.12.2019 за № 1245/34216 (далі – Порядок № 520), у разі зупинення реєстрації податкової накладної/розрахунку коригування в ЄРПН платник податку має право подати копії документів та письмові пояснення стосовно підтвердження інформації, зазначеної у податковій накладній/розрахунку коригування,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ДПС розміщує та постійно оновлює на своєму офіційному </w:t>
      </w:r>
      <w:proofErr w:type="spellStart"/>
      <w:r w:rsidRPr="00C45DF5">
        <w:rPr>
          <w:rFonts w:ascii="Times New Roman" w:eastAsia="Times New Roman" w:hAnsi="Times New Roman" w:cs="Times New Roman"/>
          <w:sz w:val="20"/>
          <w:szCs w:val="20"/>
          <w:lang w:val="uk-UA" w:eastAsia="ru-RU"/>
        </w:rPr>
        <w:t>вебпорталі</w:t>
      </w:r>
      <w:proofErr w:type="spellEnd"/>
      <w:r w:rsidRPr="00C45DF5">
        <w:rPr>
          <w:rFonts w:ascii="Times New Roman" w:eastAsia="Times New Roman" w:hAnsi="Times New Roman" w:cs="Times New Roman"/>
          <w:sz w:val="20"/>
          <w:szCs w:val="20"/>
          <w:lang w:val="uk-UA" w:eastAsia="ru-RU"/>
        </w:rPr>
        <w:t xml:space="preserve"> відомості щодо засобів електронного зв’язку, за допомогою яких можуть подаватися письмові пояснення та копії документів. (п. 8 Порядку № 520).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Пояснення та копії документів подаються у вигляді Повідомлення про подання пояснень та копій документів щодо податкових накладних/розрахунків коригування, реєстрацію яких зупинено.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Чинним законодавством не передбачено виправлення помилок в надісланому Повідомленні.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При отриманні платником квитанції про не прийняття Повідомлення, такий платник має право надіслати його з правильними даними. </w:t>
      </w:r>
    </w:p>
    <w:p w:rsidR="008E21BF" w:rsidRPr="00C45DF5" w:rsidRDefault="008E21BF" w:rsidP="008E21BF">
      <w:pPr>
        <w:rPr>
          <w:rFonts w:ascii="Times New Roman" w:eastAsia="Times New Roman" w:hAnsi="Times New Roman" w:cs="Times New Roman"/>
          <w:sz w:val="20"/>
          <w:szCs w:val="20"/>
          <w:lang w:val="uk-UA" w:eastAsia="ru-RU"/>
        </w:rPr>
      </w:pPr>
    </w:p>
    <w:p w:rsidR="00C45DF5" w:rsidRPr="00D31B9F" w:rsidRDefault="00C45DF5" w:rsidP="008E21BF">
      <w:pPr>
        <w:pStyle w:val="1"/>
        <w:spacing w:before="0" w:beforeAutospacing="0" w:after="0" w:afterAutospacing="0"/>
        <w:rPr>
          <w:sz w:val="20"/>
          <w:szCs w:val="20"/>
          <w:lang w:val="uk-UA"/>
        </w:rPr>
      </w:pPr>
      <w:r w:rsidRPr="00D31B9F">
        <w:rPr>
          <w:sz w:val="20"/>
          <w:szCs w:val="20"/>
          <w:lang w:val="uk-UA"/>
        </w:rPr>
        <w:t xml:space="preserve">Затверджено Перелік кодів товарів згідно з УКТЗЕД, що застосовуються для визначення відповідності ПН/РК, які подано для реєстрації в ЄРПН,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операції </w:t>
      </w:r>
    </w:p>
    <w:p w:rsidR="00C45DF5" w:rsidRPr="00D31B9F" w:rsidRDefault="00C45DF5" w:rsidP="008E21BF">
      <w:pPr>
        <w:pStyle w:val="a4"/>
        <w:spacing w:before="0" w:beforeAutospacing="0" w:after="0" w:afterAutospacing="0"/>
        <w:jc w:val="both"/>
        <w:rPr>
          <w:sz w:val="20"/>
          <w:szCs w:val="20"/>
          <w:lang w:val="uk-UA"/>
        </w:rPr>
      </w:pPr>
      <w:r w:rsidRPr="00D31B9F">
        <w:rPr>
          <w:sz w:val="20"/>
          <w:szCs w:val="20"/>
          <w:lang w:val="uk-UA"/>
        </w:rPr>
        <w:t xml:space="preserve">ДПС України наказом від 08.09.2020 № 479 «Про внесення змін до наказу ДПС від 03.02.2020 № 67 «Про затвердження Переліку кодів товарів згідно з УКТЗЕД, які застосовуються для визначення відповідності податкових накладних/розрахунків коригування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операції»» виклала у новій редакції Перелік кодів товарів згідно з УКТЗЕД, які застосовуються для визначення відповідності податкових накладних/розрахунків коригування, які подано для реєстрації в Єдиному реєстрі податкових накладних,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операції при здійснен</w:t>
      </w:r>
      <w:r w:rsidR="00116611">
        <w:rPr>
          <w:sz w:val="20"/>
          <w:szCs w:val="20"/>
          <w:lang w:val="uk-UA"/>
        </w:rPr>
        <w:t>ні автоматизованого моніторингу</w:t>
      </w:r>
      <w:r w:rsidRPr="00D31B9F">
        <w:rPr>
          <w:sz w:val="20"/>
          <w:szCs w:val="20"/>
          <w:lang w:val="uk-UA"/>
        </w:rPr>
        <w:t xml:space="preserve">. </w:t>
      </w:r>
    </w:p>
    <w:p w:rsidR="00C45DF5" w:rsidRPr="00D31B9F" w:rsidRDefault="00C45DF5" w:rsidP="008E21BF">
      <w:pPr>
        <w:pStyle w:val="a4"/>
        <w:spacing w:before="0" w:beforeAutospacing="0" w:after="0" w:afterAutospacing="0"/>
        <w:jc w:val="both"/>
        <w:rPr>
          <w:sz w:val="20"/>
          <w:szCs w:val="20"/>
          <w:lang w:val="uk-UA"/>
        </w:rPr>
      </w:pPr>
      <w:r w:rsidRPr="00D31B9F">
        <w:rPr>
          <w:sz w:val="20"/>
          <w:szCs w:val="20"/>
          <w:lang w:val="uk-UA"/>
        </w:rPr>
        <w:t xml:space="preserve">Перелік оновлено з метою удосконалення автоматизованого моніторингу щодо перевірки відповідності операцій, відображених у податкових накладних/розрахунках коригування, поданих для реєстрації у Єдиному реєстрі податкових накладних,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операцій відповідно до вимог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із змінами. </w:t>
      </w:r>
    </w:p>
    <w:p w:rsidR="008E21BF" w:rsidRPr="00D31B9F" w:rsidRDefault="008E21BF" w:rsidP="008E21BF">
      <w:pPr>
        <w:pStyle w:val="a4"/>
        <w:spacing w:before="0" w:beforeAutospacing="0" w:after="0" w:afterAutospacing="0"/>
        <w:jc w:val="both"/>
        <w:rPr>
          <w:sz w:val="20"/>
          <w:szCs w:val="20"/>
          <w:lang w:val="uk-UA"/>
        </w:rPr>
      </w:pPr>
    </w:p>
    <w:p w:rsidR="00C45DF5" w:rsidRPr="00D31B9F" w:rsidRDefault="00C45DF5" w:rsidP="008E21BF">
      <w:pPr>
        <w:pStyle w:val="1"/>
        <w:spacing w:before="0" w:beforeAutospacing="0" w:after="0" w:afterAutospacing="0"/>
        <w:rPr>
          <w:sz w:val="20"/>
          <w:szCs w:val="20"/>
          <w:lang w:val="uk-UA"/>
        </w:rPr>
      </w:pPr>
      <w:r w:rsidRPr="00D31B9F">
        <w:rPr>
          <w:sz w:val="20"/>
          <w:szCs w:val="20"/>
          <w:lang w:val="uk-UA"/>
        </w:rPr>
        <w:t xml:space="preserve">Затверджено Перелік кодів товарів згідно з УКТЗЕД, що застосовуються для визначення відповідності ПН/РК, які подано для реєстрації в ЄРПН,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операції </w:t>
      </w:r>
    </w:p>
    <w:p w:rsidR="00C45DF5" w:rsidRPr="00D31B9F" w:rsidRDefault="00C45DF5" w:rsidP="008E21BF">
      <w:pPr>
        <w:pStyle w:val="a4"/>
        <w:spacing w:before="0" w:beforeAutospacing="0" w:after="0" w:afterAutospacing="0"/>
        <w:jc w:val="both"/>
        <w:rPr>
          <w:sz w:val="20"/>
          <w:szCs w:val="20"/>
          <w:lang w:val="uk-UA"/>
        </w:rPr>
      </w:pPr>
      <w:r w:rsidRPr="00D31B9F">
        <w:rPr>
          <w:sz w:val="20"/>
          <w:szCs w:val="20"/>
          <w:lang w:val="uk-UA"/>
        </w:rPr>
        <w:t xml:space="preserve">ДПС України наказом від 08.09.2020 № 479 «Про внесення змін до наказу ДПС від 03.02.2020 № 67 «Про затвердження Переліку кодів товарів згідно з УКТЗЕД, які застосовуються для визначення відповідності податкових накладних/розрахунків коригування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операції»» виклала у новій редакції Перелік кодів </w:t>
      </w:r>
      <w:r w:rsidRPr="00D31B9F">
        <w:rPr>
          <w:sz w:val="20"/>
          <w:szCs w:val="20"/>
          <w:lang w:val="uk-UA"/>
        </w:rPr>
        <w:lastRenderedPageBreak/>
        <w:t xml:space="preserve">товарів згідно з УКТЗЕД, які застосовуються для визначення відповідності податкових накладних/розрахунків коригування, які подано для реєстрації в Єдиному реєстрі податкових накладних,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операції при здійсненні автоматизованого моніторингу. </w:t>
      </w:r>
    </w:p>
    <w:p w:rsidR="00C45DF5" w:rsidRPr="00D31B9F" w:rsidRDefault="00C45DF5" w:rsidP="008E21BF">
      <w:pPr>
        <w:pStyle w:val="a4"/>
        <w:spacing w:before="0" w:beforeAutospacing="0" w:after="0" w:afterAutospacing="0"/>
        <w:jc w:val="both"/>
        <w:rPr>
          <w:sz w:val="20"/>
          <w:szCs w:val="20"/>
          <w:lang w:val="uk-UA"/>
        </w:rPr>
      </w:pPr>
      <w:r w:rsidRPr="00D31B9F">
        <w:rPr>
          <w:sz w:val="20"/>
          <w:szCs w:val="20"/>
          <w:lang w:val="uk-UA"/>
        </w:rPr>
        <w:t xml:space="preserve">Перелік оновлено з метою удосконалення автоматизованого моніторингу щодо перевірки відповідності операцій, відображених у податкових накладних/розрахунках коригування, поданих для реєстрації у Єдиному реєстрі податкових накладних, критеріям </w:t>
      </w:r>
      <w:proofErr w:type="spellStart"/>
      <w:r w:rsidRPr="00D31B9F">
        <w:rPr>
          <w:sz w:val="20"/>
          <w:szCs w:val="20"/>
          <w:lang w:val="uk-UA"/>
        </w:rPr>
        <w:t>ризиковості</w:t>
      </w:r>
      <w:proofErr w:type="spellEnd"/>
      <w:r w:rsidRPr="00D31B9F">
        <w:rPr>
          <w:sz w:val="20"/>
          <w:szCs w:val="20"/>
          <w:lang w:val="uk-UA"/>
        </w:rPr>
        <w:t xml:space="preserve"> здійснення операцій відповідно до вимог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із змінами. </w:t>
      </w:r>
    </w:p>
    <w:p w:rsidR="008E21BF" w:rsidRDefault="008E21BF" w:rsidP="008E21BF">
      <w:pPr>
        <w:jc w:val="left"/>
        <w:outlineLvl w:val="0"/>
        <w:rPr>
          <w:rFonts w:ascii="Times New Roman" w:eastAsia="Times New Roman" w:hAnsi="Times New Roman" w:cs="Times New Roman"/>
          <w:b/>
          <w:bCs/>
          <w:kern w:val="36"/>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Взяття на облік платників, відомості щодо яких містяться в ЄДР, у контролюючих органах підтверджується випискою з ЄДР </w:t>
      </w:r>
    </w:p>
    <w:p w:rsidR="00C45DF5" w:rsidRPr="00C45DF5" w:rsidRDefault="008E21BF"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00C45DF5" w:rsidRPr="00C45DF5">
        <w:rPr>
          <w:rFonts w:ascii="Times New Roman" w:eastAsia="Times New Roman" w:hAnsi="Times New Roman" w:cs="Times New Roman"/>
          <w:sz w:val="20"/>
          <w:szCs w:val="20"/>
          <w:lang w:val="uk-UA" w:eastAsia="ru-RU"/>
        </w:rPr>
        <w:t xml:space="preserve"> Єдиному державному реєстрі юридичних осіб, фізичних осіб – підприємців та громадських формувань містяться, зокрема, дані про скасування рішення засновників (учасників) або уповноваженого ними органу щодо припинення юридичної особи.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Норми встановлені ст. 9 Закону України від 15 травня 2003 року № 755-IV «Про державну реєстрацію юридичних осіб, фізичних осіб – підприємців та громадських формувань» із змінами і доповненнями (далі – Закон № 755).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Інформаційна взаємодія між ЄДР та інформаційними системами державних органів у випадках, визначених ст. 13 Закону № 755, здійснюється інформаційно-телекомунікаційними засобами в електронній формі у порядку, визначеному Міністерством юстиції України спільно з відповідними державними органами    (п. 1 ст. 13 Закону № 755).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Технічний адміністратор ЄДР в день проведення реєстраційної дії забезпечує передачу до інформаційних систем центрального органу виконавчої влади, що реалізує єдину державну податкову політику та державну політику з адміністрування єдиного внеску на загальнообов’язкове державне соціальне страхування, – відомостей про проведення такої реєстраційної дії  (п. 2 ст. 13 Закону № 755).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Згідно з п. 3 ст. 13 Закону № 755 та п. 3.2 розділу ІІІ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підставою для взяття на облік за основним місцем обліку у контролюючому органі є надходження відомостей з ЄДР про скасування державної реєстрації припинення юридичної особи.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Взяття на облік юридичних осіб та їх відокремлених підрозділів, відомості щодо яких містяться в ЄДР, як платників податків і зборів у контролюючих органах підтверджується випискою з ЄДР, яка надсилається (видається) цим юридичним особам та відокремленим підрозділам юридичних осіб у порядку, встановленому Законом № 755 (п. 3.8 розділу ІІІ Порядку № 1588). </w:t>
      </w:r>
    </w:p>
    <w:p w:rsidR="008E21BF" w:rsidRDefault="008E21BF" w:rsidP="008E21BF">
      <w:pPr>
        <w:rPr>
          <w:rFonts w:ascii="Times New Roman" w:eastAsia="Times New Roman" w:hAnsi="Times New Roman" w:cs="Times New Roman"/>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Закон України № 466 : нові правила надання податкових консультацій </w:t>
      </w:r>
    </w:p>
    <w:p w:rsidR="00C45DF5" w:rsidRPr="00C45DF5" w:rsidRDefault="008E21BF"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45DF5" w:rsidRPr="00C45DF5">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45DF5" w:rsidRPr="00C45DF5">
        <w:rPr>
          <w:rFonts w:ascii="Times New Roman" w:eastAsia="Times New Roman" w:hAnsi="Times New Roman" w:cs="Times New Roman"/>
          <w:sz w:val="20"/>
          <w:szCs w:val="20"/>
          <w:lang w:val="uk-UA" w:eastAsia="ru-RU"/>
        </w:rPr>
        <w:t>, що 23.05.2020 набрав чинності 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(далі – Закон № 466), яким було внесено зміни</w:t>
      </w:r>
      <w:r w:rsidR="008F45EF">
        <w:rPr>
          <w:rFonts w:ascii="Times New Roman" w:eastAsia="Times New Roman" w:hAnsi="Times New Roman" w:cs="Times New Roman"/>
          <w:sz w:val="20"/>
          <w:szCs w:val="20"/>
          <w:lang w:val="uk-UA" w:eastAsia="ru-RU"/>
        </w:rPr>
        <w:t xml:space="preserve"> до Податкового кодексу України</w:t>
      </w:r>
      <w:r w:rsidR="00C45DF5" w:rsidRPr="00C45DF5">
        <w:rPr>
          <w:rFonts w:ascii="Times New Roman" w:eastAsia="Times New Roman" w:hAnsi="Times New Roman" w:cs="Times New Roman"/>
          <w:sz w:val="20"/>
          <w:szCs w:val="20"/>
          <w:lang w:val="uk-UA" w:eastAsia="ru-RU"/>
        </w:rPr>
        <w:t xml:space="preserve">, зокрема у частині вдосконалення порядку надання податковими органами індивідуальних податкових консультацій.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Так, зокрема: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визначено, що електронний кабінет надає можливість платнику податків подавати звернення на отримання ІПК в електронній формі (зміни набрали чинності з </w:t>
      </w:r>
      <w:r w:rsidRPr="00D31B9F">
        <w:rPr>
          <w:rFonts w:ascii="Times New Roman" w:eastAsia="Times New Roman" w:hAnsi="Times New Roman" w:cs="Times New Roman"/>
          <w:b/>
          <w:bCs/>
          <w:sz w:val="20"/>
          <w:szCs w:val="20"/>
          <w:lang w:val="uk-UA" w:eastAsia="ru-RU"/>
        </w:rPr>
        <w:t>01.07.2020</w:t>
      </w:r>
      <w:r w:rsidRPr="00C45DF5">
        <w:rPr>
          <w:rFonts w:ascii="Times New Roman" w:eastAsia="Times New Roman" w:hAnsi="Times New Roman" w:cs="Times New Roman"/>
          <w:sz w:val="20"/>
          <w:szCs w:val="20"/>
          <w:lang w:val="uk-UA" w:eastAsia="ru-RU"/>
        </w:rPr>
        <w:t xml:space="preserve">);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надано право податковим органам надавати індивідуальні податкові консультації в електронній формі; </w:t>
      </w:r>
    </w:p>
    <w:p w:rsidR="00C45DF5" w:rsidRPr="00C45DF5" w:rsidRDefault="00C45DF5"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i/>
          <w:iCs/>
          <w:sz w:val="20"/>
          <w:szCs w:val="20"/>
          <w:lang w:val="uk-UA" w:eastAsia="ru-RU"/>
        </w:rPr>
        <w:t>Запит на ІПК та ІПК в електронній формі платникам необхідно підписувати з дотриманням вимог законів України «Про електронні документи та електронний документообіг» та «Про електронні довірчі послуги».</w:t>
      </w:r>
      <w:r w:rsidRPr="00C45DF5">
        <w:rPr>
          <w:rFonts w:ascii="Times New Roman" w:eastAsia="Times New Roman" w:hAnsi="Times New Roman" w:cs="Times New Roman"/>
          <w:sz w:val="20"/>
          <w:szCs w:val="20"/>
          <w:lang w:val="uk-UA" w:eastAsia="ru-RU"/>
        </w:rPr>
        <w:t xml:space="preserve">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збільшено з 10 до 15 кількість календарних днів терміну, на який може бути продовжено строк розгляду звернення на отримання ІПК.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Звертаємо увагу, що норми щодо звільнення від відповідальності, включаючи фінансової (штрафні санкції та/або пеню), платника податків, який діяв відповідно до наданої ІПК, а також узагальнюючої податкової консультації (п. 53.1 ст. 53 ПКУ) діють </w:t>
      </w:r>
      <w:r w:rsidRPr="00D31B9F">
        <w:rPr>
          <w:rFonts w:ascii="Times New Roman" w:eastAsia="Times New Roman" w:hAnsi="Times New Roman" w:cs="Times New Roman"/>
          <w:b/>
          <w:bCs/>
          <w:sz w:val="20"/>
          <w:szCs w:val="20"/>
          <w:lang w:val="uk-UA" w:eastAsia="ru-RU"/>
        </w:rPr>
        <w:t>до 31.12.2020</w:t>
      </w:r>
      <w:r w:rsidRPr="00C45DF5">
        <w:rPr>
          <w:rFonts w:ascii="Times New Roman" w:eastAsia="Times New Roman" w:hAnsi="Times New Roman" w:cs="Times New Roman"/>
          <w:sz w:val="20"/>
          <w:szCs w:val="20"/>
          <w:lang w:val="uk-UA" w:eastAsia="ru-RU"/>
        </w:rPr>
        <w:t xml:space="preserve">. </w:t>
      </w:r>
    </w:p>
    <w:p w:rsidR="00C45DF5" w:rsidRPr="00C45DF5" w:rsidRDefault="00C45DF5"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b/>
          <w:bCs/>
          <w:sz w:val="20"/>
          <w:szCs w:val="20"/>
          <w:lang w:val="uk-UA" w:eastAsia="ru-RU"/>
        </w:rPr>
        <w:t>З 01.01.2021</w:t>
      </w:r>
      <w:r w:rsidRPr="00C45DF5">
        <w:rPr>
          <w:rFonts w:ascii="Times New Roman" w:eastAsia="Times New Roman" w:hAnsi="Times New Roman" w:cs="Times New Roman"/>
          <w:sz w:val="20"/>
          <w:szCs w:val="20"/>
          <w:lang w:val="uk-UA" w:eastAsia="ru-RU"/>
        </w:rPr>
        <w:t xml:space="preserve"> вказані норми відповідно до Закону № 466 переносяться до  п. 112.8 ст. 112 ПКУ і продовжать діяти. </w:t>
      </w:r>
    </w:p>
    <w:p w:rsidR="00567367" w:rsidRDefault="00567367" w:rsidP="008E21BF">
      <w:pPr>
        <w:jc w:val="left"/>
        <w:outlineLvl w:val="0"/>
        <w:rPr>
          <w:rFonts w:ascii="Times New Roman" w:eastAsia="Times New Roman" w:hAnsi="Times New Roman" w:cs="Times New Roman"/>
          <w:b/>
          <w:bCs/>
          <w:kern w:val="36"/>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Електронний кабінет: перегляд інформації щодо автоматизованого моніторингу відповідності ПН/РК критеріям оцінки ступеня ризиків </w:t>
      </w:r>
    </w:p>
    <w:p w:rsidR="00C45DF5" w:rsidRPr="00C45DF5"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45DF5" w:rsidRPr="00C45DF5">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45DF5" w:rsidRPr="00C45DF5">
        <w:rPr>
          <w:rFonts w:ascii="Times New Roman" w:eastAsia="Times New Roman" w:hAnsi="Times New Roman" w:cs="Times New Roman"/>
          <w:sz w:val="20"/>
          <w:szCs w:val="20"/>
          <w:lang w:val="uk-UA" w:eastAsia="ru-RU"/>
        </w:rPr>
        <w:t xml:space="preserve">, що у приватній частині Електронного кабінету – меню «Моніторинг ПН/ РК» – забезпечено можливість користувачу доступу до інформації щодо відповідності такого платника податків критеріям </w:t>
      </w:r>
      <w:proofErr w:type="spellStart"/>
      <w:r w:rsidR="00C45DF5" w:rsidRPr="00C45DF5">
        <w:rPr>
          <w:rFonts w:ascii="Times New Roman" w:eastAsia="Times New Roman" w:hAnsi="Times New Roman" w:cs="Times New Roman"/>
          <w:sz w:val="20"/>
          <w:szCs w:val="20"/>
          <w:lang w:val="uk-UA" w:eastAsia="ru-RU"/>
        </w:rPr>
        <w:t>ризиковості</w:t>
      </w:r>
      <w:proofErr w:type="spellEnd"/>
      <w:r w:rsidR="00C45DF5" w:rsidRPr="00C45DF5">
        <w:rPr>
          <w:rFonts w:ascii="Times New Roman" w:eastAsia="Times New Roman" w:hAnsi="Times New Roman" w:cs="Times New Roman"/>
          <w:sz w:val="20"/>
          <w:szCs w:val="20"/>
          <w:lang w:val="uk-UA" w:eastAsia="ru-RU"/>
        </w:rPr>
        <w:t xml:space="preserve">, передбачених Порядком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11.12.2019 № 1165 «Про затвердження порядків з питань зупинення реєстрації податкової накладної/розрахунку коригування в Єдиному реєстрі податкових накладних».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Приватна частина Електронного кабінету дозволяє переглянути розраховані показники: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D (навантаження за останні 12 календарних місяців);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Р (сума податку на додану вартість, зазначена у податкових накладних/розрахунках коригування кількісних і вартісних показників, зареєстрованих в Єдиному реєстрі податкових накладних у звітному періоді з урахуванням поданої на реєстрацію) у розрізі періодів;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позитивну податкову історію платника податку;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інформацію щодо відповідності/невідповідності платника ПДВ критеріям </w:t>
      </w:r>
      <w:proofErr w:type="spellStart"/>
      <w:r w:rsidRPr="00C45DF5">
        <w:rPr>
          <w:rFonts w:ascii="Times New Roman" w:eastAsia="Times New Roman" w:hAnsi="Times New Roman" w:cs="Times New Roman"/>
          <w:sz w:val="20"/>
          <w:szCs w:val="20"/>
          <w:lang w:val="uk-UA" w:eastAsia="ru-RU"/>
        </w:rPr>
        <w:t>ризиковості</w:t>
      </w:r>
      <w:proofErr w:type="spellEnd"/>
      <w:r w:rsidRPr="00C45DF5">
        <w:rPr>
          <w:rFonts w:ascii="Times New Roman" w:eastAsia="Times New Roman" w:hAnsi="Times New Roman" w:cs="Times New Roman"/>
          <w:sz w:val="20"/>
          <w:szCs w:val="20"/>
          <w:lang w:val="uk-UA" w:eastAsia="ru-RU"/>
        </w:rPr>
        <w:t xml:space="preserve">.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Крім того, платник ПДВ у режимі реального часу має доступ до даних Єдиного реєстру податкових накладних щодо складених ним чи його контрагентами податкових накладних та/або розрахунків коригування – меню «ЄРПН». </w:t>
      </w:r>
    </w:p>
    <w:p w:rsidR="00567367" w:rsidRPr="00C45DF5" w:rsidRDefault="00567367" w:rsidP="008E21BF">
      <w:pPr>
        <w:rPr>
          <w:rFonts w:ascii="Times New Roman" w:eastAsia="Times New Roman" w:hAnsi="Times New Roman" w:cs="Times New Roman"/>
          <w:sz w:val="20"/>
          <w:szCs w:val="20"/>
          <w:lang w:val="uk-UA" w:eastAsia="ru-RU"/>
        </w:rPr>
      </w:pPr>
    </w:p>
    <w:p w:rsidR="00C45DF5" w:rsidRPr="00C45DF5" w:rsidRDefault="00567367" w:rsidP="008E21BF">
      <w:pPr>
        <w:jc w:val="left"/>
        <w:outlineLvl w:val="0"/>
        <w:rPr>
          <w:rFonts w:ascii="Times New Roman" w:eastAsia="Times New Roman" w:hAnsi="Times New Roman" w:cs="Times New Roman"/>
          <w:b/>
          <w:bCs/>
          <w:kern w:val="36"/>
          <w:sz w:val="20"/>
          <w:szCs w:val="20"/>
          <w:lang w:val="uk-UA" w:eastAsia="ru-RU"/>
        </w:rPr>
      </w:pPr>
      <w:r>
        <w:rPr>
          <w:rFonts w:ascii="Times New Roman" w:eastAsia="Times New Roman" w:hAnsi="Times New Roman" w:cs="Times New Roman"/>
          <w:b/>
          <w:bCs/>
          <w:kern w:val="36"/>
          <w:sz w:val="20"/>
          <w:szCs w:val="20"/>
          <w:lang w:val="uk-UA" w:eastAsia="ru-RU"/>
        </w:rPr>
        <w:lastRenderedPageBreak/>
        <w:t>Ч</w:t>
      </w:r>
      <w:r w:rsidR="00C45DF5" w:rsidRPr="00C45DF5">
        <w:rPr>
          <w:rFonts w:ascii="Times New Roman" w:eastAsia="Times New Roman" w:hAnsi="Times New Roman" w:cs="Times New Roman"/>
          <w:b/>
          <w:bCs/>
          <w:kern w:val="36"/>
          <w:sz w:val="20"/>
          <w:szCs w:val="20"/>
          <w:lang w:val="uk-UA" w:eastAsia="ru-RU"/>
        </w:rPr>
        <w:t xml:space="preserve">и має право </w:t>
      </w:r>
      <w:proofErr w:type="spellStart"/>
      <w:r w:rsidR="00C45DF5" w:rsidRPr="00C45DF5">
        <w:rPr>
          <w:rFonts w:ascii="Times New Roman" w:eastAsia="Times New Roman" w:hAnsi="Times New Roman" w:cs="Times New Roman"/>
          <w:b/>
          <w:bCs/>
          <w:kern w:val="36"/>
          <w:sz w:val="20"/>
          <w:szCs w:val="20"/>
          <w:lang w:val="uk-UA" w:eastAsia="ru-RU"/>
        </w:rPr>
        <w:t>ФОП</w:t>
      </w:r>
      <w:proofErr w:type="spellEnd"/>
      <w:r w:rsidR="00C45DF5" w:rsidRPr="00C45DF5">
        <w:rPr>
          <w:rFonts w:ascii="Times New Roman" w:eastAsia="Times New Roman" w:hAnsi="Times New Roman" w:cs="Times New Roman"/>
          <w:b/>
          <w:bCs/>
          <w:kern w:val="36"/>
          <w:sz w:val="20"/>
          <w:szCs w:val="20"/>
          <w:lang w:val="uk-UA" w:eastAsia="ru-RU"/>
        </w:rPr>
        <w:t xml:space="preserve"> – платник єдиного податку здійснювати види діяльності, які не зазначені в його облікових даних? </w:t>
      </w:r>
    </w:p>
    <w:p w:rsidR="00C45DF5" w:rsidRPr="00C45DF5"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00C45DF5" w:rsidRPr="00C45DF5">
        <w:rPr>
          <w:rFonts w:ascii="Times New Roman" w:eastAsia="Times New Roman" w:hAnsi="Times New Roman" w:cs="Times New Roman"/>
          <w:sz w:val="20"/>
          <w:szCs w:val="20"/>
          <w:lang w:val="uk-UA" w:eastAsia="ru-RU"/>
        </w:rPr>
        <w:t xml:space="preserve">ідповідно до ст. 42 Господарського кодексу України підприємництво – це самостійна, ініціативна, систематична, на власний ризик господарська діяльність, що здійснюється суб’єктами господарювання (підприємцями) з метою досягнення економічних і соціальних результатів та одержання прибутку.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Статтею 42 Конституції України визначено, що кожен має право на підприємницьку діяльність, яка не заборонена законом.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Фізична особа – підприємець може самостійно обрати спрощену систему оподаткування, якщо така особа відповідає вимогам, встановленим главою 1. СПРОЩЕНА СИСТЕМА ОПОДАТКУВАННЯ, ОБЛІКУ ТА ЗВІТНОСТІ розділу XIV. СПЕЦІАЛЬНІ ПОДАТКОВІ РЕЖИМИ Податкового кодексу України (далі – ПКУ), та реєструється платником єдиного податку в порядку, визначеному цією главою (п. 291.3 ст. 291 ПКУ).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Спрощена система оподаткування, обліку та звітності – особливий механізм справляння податків і зборів, що встановлює заміну сплати окремих податків і зборів, встановлених п. 297.1 ст. 297 ПКУ, на сплату єдиного податку в порядку та на умовах, визначених главою 1 розділу ХІV ПКУ, з одночасним веденням спрощеного обліку та звітності (п. 291.2 ст. 291 ПКУ).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У разі якщо фізична особа – підприємець отримує 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ПКУ для платників податку – фізичних осіб (п. 177.6 ст. 177 ПКУ).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Отже, фізична особа – підприємець – платник єдиного податку не має права здійснювати в межах підприємницької діяльності такі види діяльності, які не зазначені в його облікових даних. </w:t>
      </w:r>
    </w:p>
    <w:p w:rsidR="00567367" w:rsidRPr="00C45DF5" w:rsidRDefault="00567367" w:rsidP="008E21BF">
      <w:pPr>
        <w:rPr>
          <w:rFonts w:ascii="Times New Roman" w:eastAsia="Times New Roman" w:hAnsi="Times New Roman" w:cs="Times New Roman"/>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Суму відсотків за іпотекою сплачено меморіальним ордером банківської установи: право на податкову знижку </w:t>
      </w:r>
    </w:p>
    <w:p w:rsidR="00C45DF5" w:rsidRPr="00C45DF5"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00C45DF5" w:rsidRPr="00C45DF5">
        <w:rPr>
          <w:rFonts w:ascii="Times New Roman" w:eastAsia="Times New Roman" w:hAnsi="Times New Roman" w:cs="Times New Roman"/>
          <w:sz w:val="20"/>
          <w:szCs w:val="20"/>
          <w:lang w:val="uk-UA" w:eastAsia="ru-RU"/>
        </w:rPr>
        <w:t xml:space="preserve">ідповідно до п. 175.1 ст. 175 Податкового кодексу України (далі – ПКУ) платник </w:t>
      </w:r>
      <w:r w:rsidR="008F45EF">
        <w:rPr>
          <w:rFonts w:ascii="Times New Roman" w:eastAsia="Times New Roman" w:hAnsi="Times New Roman" w:cs="Times New Roman"/>
          <w:sz w:val="20"/>
          <w:szCs w:val="20"/>
          <w:lang w:val="uk-UA" w:eastAsia="ru-RU"/>
        </w:rPr>
        <w:t>податку на доходи фізичних осіб</w:t>
      </w:r>
      <w:r w:rsidR="00C45DF5" w:rsidRPr="00C45DF5">
        <w:rPr>
          <w:rFonts w:ascii="Times New Roman" w:eastAsia="Times New Roman" w:hAnsi="Times New Roman" w:cs="Times New Roman"/>
          <w:sz w:val="20"/>
          <w:szCs w:val="20"/>
          <w:lang w:val="uk-UA" w:eastAsia="ru-RU"/>
        </w:rPr>
        <w:t xml:space="preserve"> – резидент має право включити до податкової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w:t>
      </w:r>
      <w:proofErr w:type="spellStart"/>
      <w:r w:rsidRPr="00C45DF5">
        <w:rPr>
          <w:rFonts w:ascii="Times New Roman" w:eastAsia="Times New Roman" w:hAnsi="Times New Roman" w:cs="Times New Roman"/>
          <w:sz w:val="20"/>
          <w:szCs w:val="20"/>
          <w:lang w:val="uk-UA" w:eastAsia="ru-RU"/>
        </w:rPr>
        <w:t>отримувача</w:t>
      </w:r>
      <w:proofErr w:type="spellEnd"/>
      <w:r w:rsidRPr="00C45DF5">
        <w:rPr>
          <w:rFonts w:ascii="Times New Roman" w:eastAsia="Times New Roman" w:hAnsi="Times New Roman" w:cs="Times New Roman"/>
          <w:sz w:val="20"/>
          <w:szCs w:val="20"/>
          <w:lang w:val="uk-UA" w:eastAsia="ru-RU"/>
        </w:rPr>
        <w:t>)),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roofErr w:type="spellStart"/>
      <w:r w:rsidRPr="00C45DF5">
        <w:rPr>
          <w:rFonts w:ascii="Times New Roman" w:eastAsia="Times New Roman" w:hAnsi="Times New Roman" w:cs="Times New Roman"/>
          <w:sz w:val="20"/>
          <w:szCs w:val="20"/>
          <w:lang w:val="uk-UA" w:eastAsia="ru-RU"/>
        </w:rPr>
        <w:t>п.п</w:t>
      </w:r>
      <w:proofErr w:type="spellEnd"/>
      <w:r w:rsidRPr="00C45DF5">
        <w:rPr>
          <w:rFonts w:ascii="Times New Roman" w:eastAsia="Times New Roman" w:hAnsi="Times New Roman" w:cs="Times New Roman"/>
          <w:sz w:val="20"/>
          <w:szCs w:val="20"/>
          <w:lang w:val="uk-UA" w:eastAsia="ru-RU"/>
        </w:rPr>
        <w:t xml:space="preserve">. 166.2.1 п. 166.2 ст. 166 ПКУ).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Згідно з Законом України від 05 квітня 2001 року № 2346-III «Про платіжні системи та переказ коштів в Україні» із змінами та доповненнями (далі – Закон № 2346) меморіальний ордер – це розрахунковий документ, який складається за ініціативою банку для оформлення операцій щодо списання коштів з рахунка платника і внутрішньобанківських операцій відповідно до Закону № 2346 та нормативно-правових актів Національного банку України.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Отже, при реалізації платником ПДФО права на податкову знижку, меморіальний ордер може бути застосований як документ, що підтверджує понесення витрат. При цьому в розрахунковому документі повинно бути зазначено прізвище та ім’я по-батькові такого платника ПДФО, як особи, яка сплатила проценти за користування іпотечним житловим кредитом, та зазначений документ повинен відповідати умовам оформлення розрахункових документів. </w:t>
      </w:r>
    </w:p>
    <w:p w:rsidR="00567367" w:rsidRPr="00C45DF5" w:rsidRDefault="00567367" w:rsidP="008E21BF">
      <w:pPr>
        <w:rPr>
          <w:rFonts w:ascii="Times New Roman" w:eastAsia="Times New Roman" w:hAnsi="Times New Roman" w:cs="Times New Roman"/>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Карантин: чи застосовуються штрафні санкції за порушення граничних термінів реєстрації ПН/РК ЄРПН? </w:t>
      </w:r>
    </w:p>
    <w:p w:rsidR="00C45DF5" w:rsidRPr="00C45DF5"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45DF5" w:rsidRPr="00C45DF5">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45DF5" w:rsidRPr="00C45DF5">
        <w:rPr>
          <w:rFonts w:ascii="Times New Roman" w:eastAsia="Times New Roman" w:hAnsi="Times New Roman" w:cs="Times New Roman"/>
          <w:sz w:val="20"/>
          <w:szCs w:val="20"/>
          <w:lang w:val="uk-UA" w:eastAsia="ru-RU"/>
        </w:rPr>
        <w:t xml:space="preserve">, що за порушення податкового законодавства, вчинені протягом періоду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00C45DF5" w:rsidRPr="00C45DF5">
        <w:rPr>
          <w:rFonts w:ascii="Times New Roman" w:eastAsia="Times New Roman" w:hAnsi="Times New Roman" w:cs="Times New Roman"/>
          <w:sz w:val="20"/>
          <w:szCs w:val="20"/>
          <w:lang w:val="uk-UA" w:eastAsia="ru-RU"/>
        </w:rPr>
        <w:t>коронавірусної</w:t>
      </w:r>
      <w:proofErr w:type="spellEnd"/>
      <w:r w:rsidR="00C45DF5" w:rsidRPr="00C45DF5">
        <w:rPr>
          <w:rFonts w:ascii="Times New Roman" w:eastAsia="Times New Roman" w:hAnsi="Times New Roman" w:cs="Times New Roman"/>
          <w:sz w:val="20"/>
          <w:szCs w:val="20"/>
          <w:lang w:val="uk-UA" w:eastAsia="ru-RU"/>
        </w:rPr>
        <w:t xml:space="preserve"> хвороби (COVID-19), штрафні санкції не застосовуються, </w:t>
      </w:r>
      <w:r w:rsidR="00C45DF5" w:rsidRPr="00D31B9F">
        <w:rPr>
          <w:rFonts w:ascii="Times New Roman" w:eastAsia="Times New Roman" w:hAnsi="Times New Roman" w:cs="Times New Roman"/>
          <w:i/>
          <w:iCs/>
          <w:sz w:val="20"/>
          <w:szCs w:val="20"/>
          <w:lang w:val="uk-UA" w:eastAsia="ru-RU"/>
        </w:rPr>
        <w:t>крім санкцій за</w:t>
      </w:r>
      <w:r w:rsidR="00C45DF5" w:rsidRPr="00C45DF5">
        <w:rPr>
          <w:rFonts w:ascii="Times New Roman" w:eastAsia="Times New Roman" w:hAnsi="Times New Roman" w:cs="Times New Roman"/>
          <w:sz w:val="20"/>
          <w:szCs w:val="20"/>
          <w:lang w:val="uk-UA" w:eastAsia="ru-RU"/>
        </w:rPr>
        <w:t xml:space="preserve">: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відчуження майна, що перебуває у податковій заставі, без згоди контролюючого органу;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порушення вимог законодавства в частині: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обліку, виробництва, зберігання та транспортування пального, спирту етилового, алкогольних напоїв та тютюнових виробів;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цільового використання пального, спирту етилового платниками податків;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обладнання акцизних складів витратомірами-лічильниками та/або рівномірами-лічильниками;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здійснення функцій, визначених законодавством у сфері виробництва і обігу спирту, алкогольних напоїв та тютюнових виробів, пального;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здійснення суб’єктами господарювання операцій з реалізації пального або спирту етилового без реєстрації таких суб’єктів платниками акцизного податку;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 порушення нарахування, декларування та сплати ПДВ, акцизного податку, рентної плати.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Норми встановлені п. 52</w:t>
      </w:r>
      <w:r w:rsidRPr="00C45DF5">
        <w:rPr>
          <w:rFonts w:ascii="Times New Roman" w:eastAsia="Times New Roman" w:hAnsi="Times New Roman" w:cs="Times New Roman"/>
          <w:sz w:val="20"/>
          <w:szCs w:val="20"/>
          <w:vertAlign w:val="superscript"/>
          <w:lang w:val="uk-UA" w:eastAsia="ru-RU"/>
        </w:rPr>
        <w:t>1</w:t>
      </w:r>
      <w:r w:rsidRPr="00C45DF5">
        <w:rPr>
          <w:rFonts w:ascii="Times New Roman" w:eastAsia="Times New Roman" w:hAnsi="Times New Roman" w:cs="Times New Roman"/>
          <w:sz w:val="20"/>
          <w:szCs w:val="20"/>
          <w:lang w:val="uk-UA" w:eastAsia="ru-RU"/>
        </w:rPr>
        <w:t xml:space="preserve"> підрозділу 10 розділу ХХ «Перехідні положення» Податкового кодексу України.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Тобто платники не звільняються від застосування до них фінансової відповідальності контролюючими органами, зокрема, за неподання (несвоєчасне подання) податкової звітності з ПДВ, несплату (несвоєчасну) сплату податкових зобов’язань з ПДВ.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При цьому протягом періоду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C45DF5">
        <w:rPr>
          <w:rFonts w:ascii="Times New Roman" w:eastAsia="Times New Roman" w:hAnsi="Times New Roman" w:cs="Times New Roman"/>
          <w:sz w:val="20"/>
          <w:szCs w:val="20"/>
          <w:lang w:val="uk-UA" w:eastAsia="ru-RU"/>
        </w:rPr>
        <w:t>коронавірусної</w:t>
      </w:r>
      <w:proofErr w:type="spellEnd"/>
      <w:r w:rsidRPr="00C45DF5">
        <w:rPr>
          <w:rFonts w:ascii="Times New Roman" w:eastAsia="Times New Roman" w:hAnsi="Times New Roman" w:cs="Times New Roman"/>
          <w:sz w:val="20"/>
          <w:szCs w:val="20"/>
          <w:lang w:val="uk-UA" w:eastAsia="ru-RU"/>
        </w:rPr>
        <w:t xml:space="preserve"> хвороби (COVID-19) не будуть застосовуватися санкції за не реєстрацію (несвоєчасну) реєстрацію податкових накладних/розрахунків коригування до податкових накладних в Єдиному реєстрі податкових накладних.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lastRenderedPageBreak/>
        <w:t xml:space="preserve">Разом з тим, порушення вимог ПКУ щодо реєстрації податкової накладної/розрахунку коригування до неї негативно впливає на право контрагента платника податків скористатися правом на нарахування податкового кредиту з ПДВ. </w:t>
      </w:r>
    </w:p>
    <w:p w:rsidR="00567367" w:rsidRPr="00C45DF5" w:rsidRDefault="00567367" w:rsidP="008E21BF">
      <w:pPr>
        <w:rPr>
          <w:rFonts w:ascii="Times New Roman" w:eastAsia="Times New Roman" w:hAnsi="Times New Roman" w:cs="Times New Roman"/>
          <w:sz w:val="20"/>
          <w:szCs w:val="20"/>
          <w:lang w:val="uk-UA" w:eastAsia="ru-RU"/>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Трудові відносини: контролюючі органи мають право перевіряти дотримання працедавцем законодавства про працю </w:t>
      </w:r>
    </w:p>
    <w:p w:rsidR="00C45DF5" w:rsidRPr="00C45DF5"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00C45DF5" w:rsidRPr="00C45DF5">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00C45DF5" w:rsidRPr="00C45DF5">
        <w:rPr>
          <w:rFonts w:ascii="Times New Roman" w:eastAsia="Times New Roman" w:hAnsi="Times New Roman" w:cs="Times New Roman"/>
          <w:sz w:val="20"/>
          <w:szCs w:val="20"/>
          <w:lang w:val="uk-UA" w:eastAsia="ru-RU"/>
        </w:rPr>
        <w:t xml:space="preserve">, що документальною перевіркою вважається перевірка, предметом якої є, зокрема, дотримання роботодавцем законодавства щодо укладення трудового договору, оформлення трудових відносин з працівниками (найманими особами) та яка проводиться на підставі податкових декларацій (розрахунків), фінансової, статистичної та іншої звітності, регістрів податкового та бухгалтерського обліку, ведення яких передбачено законом, первинних документів, які використовуються в бухгалтерському та податковому обліку і пов’язані з нарахуванням і сплатою податків та зборів, виконанням вимог іншого законодавства, контроль за дотриманням якого покладено на контролюючі органи, а також отриманих в установленому законодавством порядку контролюючим органом документів та податкової інформації, у тому числі за результатами перевірок інших платників податків.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Норми встановлені </w:t>
      </w:r>
      <w:proofErr w:type="spellStart"/>
      <w:r w:rsidRPr="00C45DF5">
        <w:rPr>
          <w:rFonts w:ascii="Times New Roman" w:eastAsia="Times New Roman" w:hAnsi="Times New Roman" w:cs="Times New Roman"/>
          <w:sz w:val="20"/>
          <w:szCs w:val="20"/>
          <w:lang w:val="uk-UA" w:eastAsia="ru-RU"/>
        </w:rPr>
        <w:t>п.п</w:t>
      </w:r>
      <w:proofErr w:type="spellEnd"/>
      <w:r w:rsidRPr="00C45DF5">
        <w:rPr>
          <w:rFonts w:ascii="Times New Roman" w:eastAsia="Times New Roman" w:hAnsi="Times New Roman" w:cs="Times New Roman"/>
          <w:sz w:val="20"/>
          <w:szCs w:val="20"/>
          <w:lang w:val="uk-UA" w:eastAsia="ru-RU"/>
        </w:rPr>
        <w:t xml:space="preserve">. 75.1.2 п. 75.1 ст. 75 Податкового кодексу України.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Підпунктом 75.1.3 п. 75.1 ст. 75 ПКУ встановлено, що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Така перевірка здійснюється контролюючим органом, зокрема, щодо дотримання роботодавцем законодавства щодо укладення трудового договору, оформлення трудових відносин з працівниками (найманими особами).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Платник податків зобов’язаний надати посадовим (службовим) особам контролюючих органів у повному обсязі всі документи, що належать або пов’язані з предметом перевірки. Такий обов’язок виникає у платника податків після початку перевірки (п. 85.2 ст. 85 ПКУ).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Під час проведення фактичної перевірки в частині дотримання роботодавцем законодавства щодо укладення трудового договору, оформлення трудових відносин з працівниками (найманими особами), в тому числі тим, яким установлено випробування, перевіряється наявність належного оформлення трудових відносин, з’ясовуються питання щодо ведення обліку роботи, виконаної працівником, обліку витрат на оплату праці, відомості про оплату праці працівника. Для з’ясування факту належного оформлення трудових відносин з працівником, який здійснює трудову діяльність, можуть використовуватися документи, що посвідчують особу, або інші документи, які дають змогу її ідентифікувати (посадове посвідчення, посвідчення водія, санітарна книжка тощо) (п. 80.6 ст. 80 ПКУ).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Отже, для уникнення відповідальності за порушення законодавства про працю, роботодавцям необхідно працювати відповідно до норм трудового законодавства і своєчасно та у повному обсязі виплачувати працівникам заробітну плату не менше мінімальної, встановленої законом. </w:t>
      </w:r>
    </w:p>
    <w:p w:rsidR="00567367" w:rsidRPr="00C45DF5" w:rsidRDefault="00567367" w:rsidP="008E21BF">
      <w:pPr>
        <w:rPr>
          <w:rFonts w:ascii="Times New Roman" w:eastAsia="Times New Roman" w:hAnsi="Times New Roman" w:cs="Times New Roman"/>
          <w:sz w:val="20"/>
          <w:szCs w:val="20"/>
          <w:lang w:val="uk-UA" w:eastAsia="ru-RU"/>
        </w:rPr>
      </w:pPr>
    </w:p>
    <w:p w:rsidR="00C45DF5" w:rsidRPr="00D31B9F" w:rsidRDefault="00C45DF5" w:rsidP="008E21BF">
      <w:pPr>
        <w:pStyle w:val="1"/>
        <w:spacing w:before="0" w:beforeAutospacing="0" w:after="0" w:afterAutospacing="0"/>
        <w:rPr>
          <w:sz w:val="20"/>
          <w:szCs w:val="20"/>
          <w:lang w:val="uk-UA"/>
        </w:rPr>
      </w:pPr>
      <w:r w:rsidRPr="00D31B9F">
        <w:rPr>
          <w:sz w:val="20"/>
          <w:szCs w:val="20"/>
          <w:lang w:val="uk-UA"/>
        </w:rPr>
        <w:t xml:space="preserve">ДПС вживає заходи для мінімізації зупинок реєстрації податкових накладних представників реального бізнесу </w:t>
      </w:r>
    </w:p>
    <w:p w:rsidR="00C45DF5" w:rsidRPr="00D31B9F" w:rsidRDefault="00C45DF5" w:rsidP="008E21BF">
      <w:pPr>
        <w:pStyle w:val="a4"/>
        <w:spacing w:before="0" w:beforeAutospacing="0" w:after="0" w:afterAutospacing="0"/>
        <w:jc w:val="both"/>
        <w:rPr>
          <w:sz w:val="20"/>
          <w:szCs w:val="20"/>
          <w:lang w:val="uk-UA"/>
        </w:rPr>
      </w:pPr>
      <w:r w:rsidRPr="00D31B9F">
        <w:rPr>
          <w:sz w:val="20"/>
          <w:szCs w:val="20"/>
          <w:lang w:val="uk-UA"/>
        </w:rPr>
        <w:t xml:space="preserve">ДПС України на офіційному </w:t>
      </w:r>
      <w:proofErr w:type="spellStart"/>
      <w:r w:rsidRPr="00D31B9F">
        <w:rPr>
          <w:sz w:val="20"/>
          <w:szCs w:val="20"/>
          <w:lang w:val="uk-UA"/>
        </w:rPr>
        <w:t>вебпорталі</w:t>
      </w:r>
      <w:proofErr w:type="spellEnd"/>
      <w:r w:rsidRPr="00D31B9F">
        <w:rPr>
          <w:sz w:val="20"/>
          <w:szCs w:val="20"/>
          <w:lang w:val="uk-UA"/>
        </w:rPr>
        <w:t xml:space="preserve"> повідомила, що збільшується зупинення реєстрації саме тих накладних, по яких існує реальний ризик невиконання податкових зобов’язань. </w:t>
      </w:r>
    </w:p>
    <w:p w:rsidR="00C45DF5" w:rsidRPr="00D31B9F" w:rsidRDefault="00C45DF5" w:rsidP="008E21BF">
      <w:pPr>
        <w:pStyle w:val="a4"/>
        <w:spacing w:before="0" w:beforeAutospacing="0" w:after="0" w:afterAutospacing="0"/>
        <w:jc w:val="both"/>
        <w:rPr>
          <w:sz w:val="20"/>
          <w:szCs w:val="20"/>
          <w:lang w:val="uk-UA"/>
        </w:rPr>
      </w:pPr>
      <w:r w:rsidRPr="00D31B9F">
        <w:rPr>
          <w:sz w:val="20"/>
          <w:szCs w:val="20"/>
          <w:lang w:val="uk-UA"/>
        </w:rPr>
        <w:t xml:space="preserve">У той же час ДПС вживала і буде вживати заходи для мінімізації зупинок податкових накладних представників реального бізнесу та максимально швидкого розгляду звернень за такими випадками. Для цього податковою службою задіяні всі наявні інструменти. </w:t>
      </w:r>
    </w:p>
    <w:p w:rsidR="00C45DF5" w:rsidRPr="00D31B9F" w:rsidRDefault="00C45DF5" w:rsidP="008E21BF">
      <w:pPr>
        <w:pStyle w:val="a4"/>
        <w:spacing w:before="0" w:beforeAutospacing="0" w:after="0" w:afterAutospacing="0"/>
        <w:jc w:val="both"/>
        <w:rPr>
          <w:sz w:val="20"/>
          <w:szCs w:val="20"/>
          <w:lang w:val="uk-UA"/>
        </w:rPr>
      </w:pPr>
      <w:r w:rsidRPr="00D31B9F">
        <w:rPr>
          <w:sz w:val="20"/>
          <w:szCs w:val="20"/>
          <w:lang w:val="uk-UA"/>
        </w:rPr>
        <w:t xml:space="preserve">До прикладу, з Європейською Бізнес Асоціацією з червня 2020 року Державною податковою службою України організовано та проведено п’ять зустрічей. А загалом до ДПС з початку року надійшло 28 звернень від ЄБА, жодне з яких не залишилось без розгляду. Серед них – і звернення, що стосувались проблем окремих компаній (14 звернень), і звернення щодо системного вирішення проблем зі сфери адміністрування податків чи надання роз’яснень (11 звернень). </w:t>
      </w:r>
    </w:p>
    <w:p w:rsidR="00C45DF5" w:rsidRDefault="00C45DF5" w:rsidP="008E21BF">
      <w:pPr>
        <w:pStyle w:val="a4"/>
        <w:spacing w:before="0" w:beforeAutospacing="0" w:after="0" w:afterAutospacing="0"/>
        <w:jc w:val="both"/>
        <w:rPr>
          <w:sz w:val="20"/>
          <w:szCs w:val="20"/>
          <w:lang w:val="uk-UA"/>
        </w:rPr>
      </w:pPr>
      <w:r w:rsidRPr="00D31B9F">
        <w:rPr>
          <w:sz w:val="20"/>
          <w:szCs w:val="20"/>
          <w:lang w:val="uk-UA"/>
        </w:rPr>
        <w:t xml:space="preserve">Зазначені дії ДПС були позитивно відзначені керівництвом Європейської Бізнес Асоціації як такі, що дали можливість вирішувати реальні проблемні питання конкретних платників податків. </w:t>
      </w:r>
    </w:p>
    <w:p w:rsidR="00567367" w:rsidRPr="00D31B9F" w:rsidRDefault="00567367" w:rsidP="008E21BF">
      <w:pPr>
        <w:pStyle w:val="a4"/>
        <w:spacing w:before="0" w:beforeAutospacing="0" w:after="0" w:afterAutospacing="0"/>
        <w:jc w:val="both"/>
        <w:rPr>
          <w:sz w:val="20"/>
          <w:szCs w:val="20"/>
          <w:lang w:val="uk-UA"/>
        </w:rPr>
      </w:pPr>
    </w:p>
    <w:p w:rsidR="00C45DF5" w:rsidRPr="00C45DF5" w:rsidRDefault="00C45DF5" w:rsidP="008E21BF">
      <w:pPr>
        <w:jc w:val="left"/>
        <w:outlineLvl w:val="0"/>
        <w:rPr>
          <w:rFonts w:ascii="Times New Roman" w:eastAsia="Times New Roman" w:hAnsi="Times New Roman" w:cs="Times New Roman"/>
          <w:b/>
          <w:bCs/>
          <w:kern w:val="36"/>
          <w:sz w:val="20"/>
          <w:szCs w:val="20"/>
          <w:lang w:val="uk-UA" w:eastAsia="ru-RU"/>
        </w:rPr>
      </w:pPr>
      <w:r w:rsidRPr="00C45DF5">
        <w:rPr>
          <w:rFonts w:ascii="Times New Roman" w:eastAsia="Times New Roman" w:hAnsi="Times New Roman" w:cs="Times New Roman"/>
          <w:b/>
          <w:bCs/>
          <w:kern w:val="36"/>
          <w:sz w:val="20"/>
          <w:szCs w:val="20"/>
          <w:lang w:val="uk-UA" w:eastAsia="ru-RU"/>
        </w:rPr>
        <w:t xml:space="preserve">Увага! Шахраї!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Відділом з питань запобігання корупції ГУ ДПС у Дніпропетровській області в останній час фіксуються на території області неодноразові спроби телефонного психологічного тиску шахраїв на представників підприємницької діяльності з метою отримання грошових коштів.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Зафіксовано випадки шахрайських дій на території </w:t>
      </w:r>
      <w:proofErr w:type="spellStart"/>
      <w:r w:rsidRPr="00C45DF5">
        <w:rPr>
          <w:rFonts w:ascii="Times New Roman" w:eastAsia="Times New Roman" w:hAnsi="Times New Roman" w:cs="Times New Roman"/>
          <w:sz w:val="20"/>
          <w:szCs w:val="20"/>
          <w:lang w:val="uk-UA" w:eastAsia="ru-RU"/>
        </w:rPr>
        <w:t>Синельниківського</w:t>
      </w:r>
      <w:proofErr w:type="spellEnd"/>
      <w:r w:rsidRPr="00C45DF5">
        <w:rPr>
          <w:rFonts w:ascii="Times New Roman" w:eastAsia="Times New Roman" w:hAnsi="Times New Roman" w:cs="Times New Roman"/>
          <w:sz w:val="20"/>
          <w:szCs w:val="20"/>
          <w:lang w:val="uk-UA" w:eastAsia="ru-RU"/>
        </w:rPr>
        <w:t xml:space="preserve"> району Дніпропетровської області. </w:t>
      </w:r>
    </w:p>
    <w:p w:rsidR="00C45DF5" w:rsidRP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Так, використовуючи номери (095)6309045 та (095)5648382 і прикриваючись нібито належністю до податкової служби, кримінальні особи погрожують платникам податків проведенням можливих перевірок, ускладненням в підприємницької діяльності та інше, чим відверте дискредитують працівників державної служби, негативно впливають на їх ділову репутацію та честь.  </w:t>
      </w:r>
    </w:p>
    <w:p w:rsidR="00C45DF5" w:rsidRDefault="00C45DF5" w:rsidP="008E21BF">
      <w:pPr>
        <w:rPr>
          <w:rFonts w:ascii="Times New Roman" w:eastAsia="Times New Roman" w:hAnsi="Times New Roman" w:cs="Times New Roman"/>
          <w:sz w:val="20"/>
          <w:szCs w:val="20"/>
          <w:lang w:val="uk-UA" w:eastAsia="ru-RU"/>
        </w:rPr>
      </w:pPr>
      <w:r w:rsidRPr="00C45DF5">
        <w:rPr>
          <w:rFonts w:ascii="Times New Roman" w:eastAsia="Times New Roman" w:hAnsi="Times New Roman" w:cs="Times New Roman"/>
          <w:sz w:val="20"/>
          <w:szCs w:val="20"/>
          <w:lang w:val="uk-UA" w:eastAsia="ru-RU"/>
        </w:rPr>
        <w:t xml:space="preserve">ГУ ДПС у Дніпропетровській області звертається до платників податків бути обачними, не піддаватися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 </w:t>
      </w:r>
    </w:p>
    <w:p w:rsidR="00567367" w:rsidRPr="00C45DF5" w:rsidRDefault="00567367" w:rsidP="008E21BF">
      <w:pPr>
        <w:rPr>
          <w:rFonts w:ascii="Times New Roman" w:eastAsia="Times New Roman" w:hAnsi="Times New Roman" w:cs="Times New Roman"/>
          <w:sz w:val="20"/>
          <w:szCs w:val="20"/>
          <w:lang w:val="uk-UA" w:eastAsia="ru-RU"/>
        </w:rPr>
      </w:pPr>
    </w:p>
    <w:p w:rsidR="00D31B9F" w:rsidRPr="00D31B9F" w:rsidRDefault="00D31B9F" w:rsidP="008E21BF">
      <w:pPr>
        <w:jc w:val="left"/>
        <w:outlineLvl w:val="0"/>
        <w:rPr>
          <w:rFonts w:ascii="Times New Roman" w:eastAsia="Times New Roman" w:hAnsi="Times New Roman" w:cs="Times New Roman"/>
          <w:b/>
          <w:bCs/>
          <w:kern w:val="36"/>
          <w:sz w:val="20"/>
          <w:szCs w:val="20"/>
          <w:lang w:val="uk-UA" w:eastAsia="ru-RU"/>
        </w:rPr>
      </w:pPr>
      <w:r w:rsidRPr="00D31B9F">
        <w:rPr>
          <w:rFonts w:ascii="Times New Roman" w:eastAsia="Times New Roman" w:hAnsi="Times New Roman" w:cs="Times New Roman"/>
          <w:b/>
          <w:bCs/>
          <w:kern w:val="36"/>
          <w:sz w:val="20"/>
          <w:szCs w:val="20"/>
          <w:lang w:val="uk-UA" w:eastAsia="ru-RU"/>
        </w:rPr>
        <w:t xml:space="preserve">У разі відчуження земельної ділянки з свердловиною та припинення дії дозволу на спеціальне водокористування, декларація з Рентної плати не подається </w:t>
      </w:r>
    </w:p>
    <w:p w:rsidR="00D31B9F" w:rsidRPr="00D31B9F"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Д</w:t>
      </w:r>
      <w:r w:rsidR="00D31B9F" w:rsidRPr="00D31B9F">
        <w:rPr>
          <w:rFonts w:ascii="Times New Roman" w:eastAsia="Times New Roman" w:hAnsi="Times New Roman" w:cs="Times New Roman"/>
          <w:sz w:val="20"/>
          <w:szCs w:val="20"/>
          <w:lang w:val="uk-UA" w:eastAsia="ru-RU"/>
        </w:rPr>
        <w:t>оводи</w:t>
      </w:r>
      <w:r>
        <w:rPr>
          <w:rFonts w:ascii="Times New Roman" w:eastAsia="Times New Roman" w:hAnsi="Times New Roman" w:cs="Times New Roman"/>
          <w:sz w:val="20"/>
          <w:szCs w:val="20"/>
          <w:lang w:val="uk-UA" w:eastAsia="ru-RU"/>
        </w:rPr>
        <w:t>мо</w:t>
      </w:r>
      <w:r w:rsidR="00D31B9F" w:rsidRPr="00D31B9F">
        <w:rPr>
          <w:rFonts w:ascii="Times New Roman" w:eastAsia="Times New Roman" w:hAnsi="Times New Roman" w:cs="Times New Roman"/>
          <w:sz w:val="20"/>
          <w:szCs w:val="20"/>
          <w:lang w:val="uk-UA" w:eastAsia="ru-RU"/>
        </w:rPr>
        <w:t xml:space="preserve"> до відома, що платниками рентної плати </w:t>
      </w:r>
      <w:r w:rsidR="008F45EF">
        <w:rPr>
          <w:rFonts w:ascii="Times New Roman" w:eastAsia="Times New Roman" w:hAnsi="Times New Roman" w:cs="Times New Roman"/>
          <w:sz w:val="20"/>
          <w:szCs w:val="20"/>
          <w:lang w:val="uk-UA" w:eastAsia="ru-RU"/>
        </w:rPr>
        <w:t>за спеціальне використання води</w:t>
      </w:r>
      <w:r w:rsidR="00D31B9F" w:rsidRPr="00D31B9F">
        <w:rPr>
          <w:rFonts w:ascii="Times New Roman" w:eastAsia="Times New Roman" w:hAnsi="Times New Roman" w:cs="Times New Roman"/>
          <w:sz w:val="20"/>
          <w:szCs w:val="20"/>
          <w:lang w:val="uk-UA" w:eastAsia="ru-RU"/>
        </w:rPr>
        <w:t xml:space="preserve">, визначені, зокрема, первинні водокористувачі – суб’єкти господарювання, а також фізичні особи – підприємці, які використовують та/або передають вторинним водокористувачам воду, отриману шляхом забору води з водних об’єктів.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Норми встановлені п. 255.1 ст. 255 Податкового кодексу України.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Об’єктом оподаткування Рентною платою є фактичний обсяг води, який використовують водокористувачі (п. 255.3 ст. 255 ПКУ).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lastRenderedPageBreak/>
        <w:t xml:space="preserve">Статтею 49 Водного кодексу України від 06 червня 1995 року № 213/95-ВР із змінами та доповненнями визначено, що спеціальне водокористування є платним та здійснюється на підставі дозволу на спеціальне водокористування (далі – Дозвіл), який видається територіальними органами центрального органу виконавчої влади, що реалізує державну політику у сфері розвитку водного господарства.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Видача (відмова у видачі, переоформлення, видача дубліката, анулювання) Дозволу здійснюється відповідно до Закону України від 06 вересня 2005 року      № 2806-IV «Про дозвільну систему у сфері господарської діяльності» із змінами та доповненнями в установленому Кабінетом Міністрів України порядку. </w:t>
      </w:r>
    </w:p>
    <w:p w:rsid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Враховуючи вищевикладене, у разі відчуження земельної ділянки з свердловиною, у тому числі прав на свердловину та припинення дії дозволу на спеціальне водокористування, суб’єкт господарювання припиняє подання податкової декларації з Рентної плати. При цьому останнім звітним (податковим) періодом для подання податкової декларації з Рентної плати за таких умов, є звітний період, у якому було припинено дію Дозволу. За інших умов власник діючого Дозволу є платником Рентної плати до закінчення/анулювання строку його дії. </w:t>
      </w:r>
    </w:p>
    <w:p w:rsidR="00567367" w:rsidRPr="00D31B9F" w:rsidRDefault="00567367" w:rsidP="008E21BF">
      <w:pPr>
        <w:rPr>
          <w:rFonts w:ascii="Times New Roman" w:eastAsia="Times New Roman" w:hAnsi="Times New Roman" w:cs="Times New Roman"/>
          <w:sz w:val="20"/>
          <w:szCs w:val="20"/>
          <w:lang w:val="uk-UA" w:eastAsia="ru-RU"/>
        </w:rPr>
      </w:pPr>
    </w:p>
    <w:p w:rsidR="00D31B9F" w:rsidRPr="00D31B9F" w:rsidRDefault="00D31B9F" w:rsidP="008E21BF">
      <w:pPr>
        <w:jc w:val="left"/>
        <w:outlineLvl w:val="0"/>
        <w:rPr>
          <w:rFonts w:ascii="Times New Roman" w:eastAsia="Times New Roman" w:hAnsi="Times New Roman" w:cs="Times New Roman"/>
          <w:b/>
          <w:bCs/>
          <w:kern w:val="36"/>
          <w:sz w:val="20"/>
          <w:szCs w:val="20"/>
          <w:lang w:val="uk-UA" w:eastAsia="ru-RU"/>
        </w:rPr>
      </w:pPr>
      <w:r w:rsidRPr="00D31B9F">
        <w:rPr>
          <w:rFonts w:ascii="Times New Roman" w:eastAsia="Times New Roman" w:hAnsi="Times New Roman" w:cs="Times New Roman"/>
          <w:b/>
          <w:bCs/>
          <w:kern w:val="36"/>
          <w:sz w:val="20"/>
          <w:szCs w:val="20"/>
          <w:lang w:val="uk-UA" w:eastAsia="ru-RU"/>
        </w:rPr>
        <w:t xml:space="preserve">Роботодавцем нарахована працівнику компенсація за невикористані щорічні відпустки (основну та додаткову): що з єдиним внеском? </w:t>
      </w:r>
    </w:p>
    <w:p w:rsidR="00D31B9F" w:rsidRPr="00D31B9F"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00D31B9F" w:rsidRPr="00D31B9F">
        <w:rPr>
          <w:rFonts w:ascii="Times New Roman" w:eastAsia="Times New Roman" w:hAnsi="Times New Roman" w:cs="Times New Roman"/>
          <w:sz w:val="20"/>
          <w:szCs w:val="20"/>
          <w:lang w:val="uk-UA" w:eastAsia="ru-RU"/>
        </w:rPr>
        <w:t xml:space="preserve">ідповідно до абзацу другого п. 1 частини 1 ст. 4 Закону України від 08 липня 2010 року № 2464-VI «Про збір та облік єдиного внеску на загальнообов’язкове державне соціальне страхування» зі змінами платниками єдиного внеску на загальнообов’язкове державне соціальне страхування (далі – єдиний внесок), зокрема є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00D31B9F" w:rsidRPr="00D31B9F">
        <w:rPr>
          <w:rFonts w:ascii="Times New Roman" w:eastAsia="Times New Roman" w:hAnsi="Times New Roman" w:cs="Times New Roman"/>
          <w:i/>
          <w:iCs/>
          <w:sz w:val="20"/>
          <w:szCs w:val="20"/>
          <w:lang w:val="uk-UA" w:eastAsia="ru-RU"/>
        </w:rPr>
        <w:t>(крім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та фізичних осіб – підприємців)</w:t>
      </w:r>
      <w:r w:rsidR="00D31B9F" w:rsidRPr="00D31B9F">
        <w:rPr>
          <w:rFonts w:ascii="Times New Roman" w:eastAsia="Times New Roman" w:hAnsi="Times New Roman" w:cs="Times New Roman"/>
          <w:sz w:val="20"/>
          <w:szCs w:val="20"/>
          <w:lang w:val="uk-UA" w:eastAsia="ru-RU"/>
        </w:rPr>
        <w:t xml:space="preserve">,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 (далі – роботодавці).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Пунктом 1 частини 1 ст. 7 Закону № 2464 визначено, що базою нарахування єдиного внеску роботодавцями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Суми грошових компенсацій у разі невикористання щорічних (основної та додаткових) відпусток у розмірах, передбачених законодавством, є базою для нарахування єдиного внеску.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Статтею 116 Кодексу законів про працю України визначено, що при звільненні працівника виплата всіх сум, що належать йому від підприємства, установи, організації провадиться в день звільнення.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Підприємство після звільнення працівника не несе обов’язку страхувальника, а відповідно і платника страхових внесків. </w:t>
      </w:r>
    </w:p>
    <w:p w:rsid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Отже, особам, яким після звільнення з роботи нараховано компенсацію за невикористану відпустку, єдиний внесок на зазначені суми не нараховується. </w:t>
      </w:r>
    </w:p>
    <w:p w:rsidR="00567367" w:rsidRPr="00D31B9F" w:rsidRDefault="00567367" w:rsidP="008E21BF">
      <w:pPr>
        <w:rPr>
          <w:rFonts w:ascii="Times New Roman" w:eastAsia="Times New Roman" w:hAnsi="Times New Roman" w:cs="Times New Roman"/>
          <w:sz w:val="20"/>
          <w:szCs w:val="20"/>
          <w:lang w:val="uk-UA" w:eastAsia="ru-RU"/>
        </w:rPr>
      </w:pPr>
    </w:p>
    <w:p w:rsidR="00D31B9F" w:rsidRPr="00D31B9F" w:rsidRDefault="00D31B9F" w:rsidP="008E21BF">
      <w:pPr>
        <w:jc w:val="left"/>
        <w:outlineLvl w:val="0"/>
        <w:rPr>
          <w:rFonts w:ascii="Times New Roman" w:eastAsia="Times New Roman" w:hAnsi="Times New Roman" w:cs="Times New Roman"/>
          <w:b/>
          <w:bCs/>
          <w:kern w:val="36"/>
          <w:sz w:val="20"/>
          <w:szCs w:val="20"/>
          <w:lang w:val="uk-UA" w:eastAsia="ru-RU"/>
        </w:rPr>
      </w:pPr>
      <w:r w:rsidRPr="00D31B9F">
        <w:rPr>
          <w:rFonts w:ascii="Times New Roman" w:eastAsia="Times New Roman" w:hAnsi="Times New Roman" w:cs="Times New Roman"/>
          <w:b/>
          <w:bCs/>
          <w:kern w:val="36"/>
          <w:sz w:val="20"/>
          <w:szCs w:val="20"/>
          <w:lang w:val="uk-UA" w:eastAsia="ru-RU"/>
        </w:rPr>
        <w:t xml:space="preserve">До уваги платників, які здійснюють роздрібну торгівлю алкогольними напоями! </w:t>
      </w:r>
    </w:p>
    <w:p w:rsidR="00567367" w:rsidRDefault="00567367" w:rsidP="008E21BF">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D31B9F" w:rsidRPr="00D31B9F">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D31B9F" w:rsidRPr="00D31B9F">
        <w:rPr>
          <w:rFonts w:ascii="Times New Roman" w:eastAsia="Times New Roman" w:hAnsi="Times New Roman" w:cs="Times New Roman"/>
          <w:sz w:val="20"/>
          <w:szCs w:val="20"/>
          <w:lang w:val="uk-UA" w:eastAsia="ru-RU"/>
        </w:rPr>
        <w:t>, що статтею 17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зі змінами передбачено, що у випадку здійснення роздрібної торгівлі алкогольними напоями через електронний контрольно-касовий апарат (книгу обліку розрахункових операцій), не зазначений у ліцензії, до суб’єктів господарювання (у тому числі іноземних суб’єктів господарювання, які діють через свої зареєстровані постійні представництва) застосовується фінансова санкція у вигляді штрафів у розмірі 200 відсотків вартості реалізованої через такий контрольно-касовий апарат (книгу обліку розрахункових операцій) продукції, але не менше 10 000 гривень.</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 </w:t>
      </w:r>
    </w:p>
    <w:p w:rsidR="00D31B9F" w:rsidRPr="00D31B9F" w:rsidRDefault="00D31B9F" w:rsidP="008E21BF">
      <w:pPr>
        <w:jc w:val="left"/>
        <w:outlineLvl w:val="0"/>
        <w:rPr>
          <w:rFonts w:ascii="Times New Roman" w:eastAsia="Times New Roman" w:hAnsi="Times New Roman" w:cs="Times New Roman"/>
          <w:b/>
          <w:bCs/>
          <w:kern w:val="36"/>
          <w:sz w:val="20"/>
          <w:szCs w:val="20"/>
          <w:lang w:val="uk-UA" w:eastAsia="ru-RU"/>
        </w:rPr>
      </w:pPr>
      <w:r w:rsidRPr="00D31B9F">
        <w:rPr>
          <w:rFonts w:ascii="Times New Roman" w:eastAsia="Times New Roman" w:hAnsi="Times New Roman" w:cs="Times New Roman"/>
          <w:b/>
          <w:bCs/>
          <w:kern w:val="36"/>
          <w:sz w:val="20"/>
          <w:szCs w:val="20"/>
          <w:lang w:val="uk-UA" w:eastAsia="ru-RU"/>
        </w:rPr>
        <w:t xml:space="preserve">Закон України № 466: зміни щодо повернення помилково сплачених коштів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було внесено зміни, зокрема до ст. 43 Податкового кодексу України  (далі – ПКУ) у частині порядку повернення помилково та/або надміру сплачених грошових зобов’язань та пені.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Зокрема, обов’язковою умовою для здійснення повернення сум грошового зобов’язання </w:t>
      </w:r>
      <w:r w:rsidRPr="00D31B9F">
        <w:rPr>
          <w:rFonts w:ascii="Times New Roman" w:eastAsia="Times New Roman" w:hAnsi="Times New Roman" w:cs="Times New Roman"/>
          <w:b/>
          <w:bCs/>
          <w:sz w:val="20"/>
          <w:szCs w:val="20"/>
          <w:lang w:val="uk-UA" w:eastAsia="ru-RU"/>
        </w:rPr>
        <w:t>та пені</w:t>
      </w:r>
      <w:r w:rsidRPr="00D31B9F">
        <w:rPr>
          <w:rFonts w:ascii="Times New Roman" w:eastAsia="Times New Roman" w:hAnsi="Times New Roman" w:cs="Times New Roman"/>
          <w:sz w:val="20"/>
          <w:szCs w:val="20"/>
          <w:lang w:val="uk-UA" w:eastAsia="ru-RU"/>
        </w:rPr>
        <w:t xml:space="preserve"> є подання платником податків заяви про таке повернення </w:t>
      </w:r>
      <w:r w:rsidRPr="00D31B9F">
        <w:rPr>
          <w:rFonts w:ascii="Times New Roman" w:eastAsia="Times New Roman" w:hAnsi="Times New Roman" w:cs="Times New Roman"/>
          <w:i/>
          <w:iCs/>
          <w:sz w:val="20"/>
          <w:szCs w:val="20"/>
          <w:lang w:val="uk-UA" w:eastAsia="ru-RU"/>
        </w:rPr>
        <w:t>(крім повернення надміру утриманих (сплачених) сум податку з доходів фізичних осіб, які розраховуються контролюючим органом на підставі поданої платником податків податкової декларації за звітний календарний рік шляхом проведення перерахунку за загальним річним оподатковуваним доходом платника податку)</w:t>
      </w:r>
      <w:r w:rsidRPr="00D31B9F">
        <w:rPr>
          <w:rFonts w:ascii="Times New Roman" w:eastAsia="Times New Roman" w:hAnsi="Times New Roman" w:cs="Times New Roman"/>
          <w:sz w:val="20"/>
          <w:szCs w:val="20"/>
          <w:lang w:val="uk-UA" w:eastAsia="ru-RU"/>
        </w:rPr>
        <w:t xml:space="preserve"> протягом 1 095 днів від дня виникнення помилково та/або надміру сплаченої суми </w:t>
      </w:r>
      <w:r w:rsidRPr="00D31B9F">
        <w:rPr>
          <w:rFonts w:ascii="Times New Roman" w:eastAsia="Times New Roman" w:hAnsi="Times New Roman" w:cs="Times New Roman"/>
          <w:b/>
          <w:bCs/>
          <w:sz w:val="20"/>
          <w:szCs w:val="20"/>
          <w:lang w:val="uk-UA" w:eastAsia="ru-RU"/>
        </w:rPr>
        <w:t>та/або пені</w:t>
      </w:r>
      <w:r w:rsidRPr="00D31B9F">
        <w:rPr>
          <w:rFonts w:ascii="Times New Roman" w:eastAsia="Times New Roman" w:hAnsi="Times New Roman" w:cs="Times New Roman"/>
          <w:sz w:val="20"/>
          <w:szCs w:val="20"/>
          <w:lang w:val="uk-UA" w:eastAsia="ru-RU"/>
        </w:rPr>
        <w:t xml:space="preserve"> (п. 43.3 ст. 43 ПКУ).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Згідно з п. 43.4 ст. 43 ПКУ платник податків подає заяву про повернення помилково та/або надміру сплачених грошових зобов’язань та пені у довільній формі, в якій зазначає напрям перерахування коштів: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 на поточний рахунок платника податків в установі банку;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 xml:space="preserve">- повернення у готівковій формі коштів за чеком у разі відсутності у платника податків рахунка в банку. </w:t>
      </w:r>
    </w:p>
    <w:p w:rsidR="00D31B9F" w:rsidRP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У разі повернення надміру сплачених податкових зобов’язань з ПДВ, зарахованих до бюджету з рахунка платника ПДВ у Системі електронного адміністрування ПДВ у порядку, визначеному п. 200</w:t>
      </w:r>
      <w:r w:rsidRPr="00D31B9F">
        <w:rPr>
          <w:rFonts w:ascii="Times New Roman" w:eastAsia="Times New Roman" w:hAnsi="Times New Roman" w:cs="Times New Roman"/>
          <w:sz w:val="20"/>
          <w:szCs w:val="20"/>
          <w:vertAlign w:val="superscript"/>
          <w:lang w:val="uk-UA" w:eastAsia="ru-RU"/>
        </w:rPr>
        <w:t>1</w:t>
      </w:r>
      <w:r w:rsidRPr="00D31B9F">
        <w:rPr>
          <w:rFonts w:ascii="Times New Roman" w:eastAsia="Times New Roman" w:hAnsi="Times New Roman" w:cs="Times New Roman"/>
          <w:sz w:val="20"/>
          <w:szCs w:val="20"/>
          <w:lang w:val="uk-UA" w:eastAsia="ru-RU"/>
        </w:rPr>
        <w:t>.5 ст. 200</w:t>
      </w:r>
      <w:r w:rsidRPr="00D31B9F">
        <w:rPr>
          <w:rFonts w:ascii="Times New Roman" w:eastAsia="Times New Roman" w:hAnsi="Times New Roman" w:cs="Times New Roman"/>
          <w:sz w:val="20"/>
          <w:szCs w:val="20"/>
          <w:vertAlign w:val="superscript"/>
          <w:lang w:val="uk-UA" w:eastAsia="ru-RU"/>
        </w:rPr>
        <w:t>1</w:t>
      </w:r>
      <w:r w:rsidRPr="00D31B9F">
        <w:rPr>
          <w:rFonts w:ascii="Times New Roman" w:eastAsia="Times New Roman" w:hAnsi="Times New Roman" w:cs="Times New Roman"/>
          <w:sz w:val="20"/>
          <w:szCs w:val="20"/>
          <w:lang w:val="uk-UA" w:eastAsia="ru-RU"/>
        </w:rPr>
        <w:t xml:space="preserve"> ПКУ, такі кошти підлягають поверненню виключно на рахунок платника у СЕА ПДВ, а у разі його відсутності на момент звернення платника податків </w:t>
      </w:r>
      <w:r w:rsidRPr="00D31B9F">
        <w:rPr>
          <w:rFonts w:ascii="Times New Roman" w:eastAsia="Times New Roman" w:hAnsi="Times New Roman" w:cs="Times New Roman"/>
          <w:sz w:val="20"/>
          <w:szCs w:val="20"/>
          <w:lang w:val="uk-UA" w:eastAsia="ru-RU"/>
        </w:rPr>
        <w:lastRenderedPageBreak/>
        <w:t>із заявою на повернення надміру сплачених податкових зобов’язань з ПДВ чи на момент фактичного повернення коштів – шляхом перерахування на поточний рахунок платника податків в установі банку (п. 43.4</w:t>
      </w:r>
      <w:r w:rsidRPr="00D31B9F">
        <w:rPr>
          <w:rFonts w:ascii="Times New Roman" w:eastAsia="Times New Roman" w:hAnsi="Times New Roman" w:cs="Times New Roman"/>
          <w:sz w:val="20"/>
          <w:szCs w:val="20"/>
          <w:vertAlign w:val="superscript"/>
          <w:lang w:val="uk-UA" w:eastAsia="ru-RU"/>
        </w:rPr>
        <w:t>1</w:t>
      </w:r>
      <w:r w:rsidRPr="00D31B9F">
        <w:rPr>
          <w:rFonts w:ascii="Times New Roman" w:eastAsia="Times New Roman" w:hAnsi="Times New Roman" w:cs="Times New Roman"/>
          <w:sz w:val="20"/>
          <w:szCs w:val="20"/>
          <w:lang w:val="uk-UA" w:eastAsia="ru-RU"/>
        </w:rPr>
        <w:t xml:space="preserve"> ст. 43 ПКУ). </w:t>
      </w:r>
    </w:p>
    <w:p w:rsidR="00D31B9F" w:rsidRDefault="00D31B9F" w:rsidP="008E21BF">
      <w:pPr>
        <w:rPr>
          <w:rFonts w:ascii="Times New Roman" w:eastAsia="Times New Roman" w:hAnsi="Times New Roman" w:cs="Times New Roman"/>
          <w:sz w:val="20"/>
          <w:szCs w:val="20"/>
          <w:lang w:val="uk-UA" w:eastAsia="ru-RU"/>
        </w:rPr>
      </w:pPr>
      <w:r w:rsidRPr="00D31B9F">
        <w:rPr>
          <w:rFonts w:ascii="Times New Roman" w:eastAsia="Times New Roman" w:hAnsi="Times New Roman" w:cs="Times New Roman"/>
          <w:sz w:val="20"/>
          <w:szCs w:val="20"/>
          <w:lang w:val="uk-UA" w:eastAsia="ru-RU"/>
        </w:rPr>
        <w:t>Також, Законом № 466 п. 43.4</w:t>
      </w:r>
      <w:r w:rsidRPr="00D31B9F">
        <w:rPr>
          <w:rFonts w:ascii="Times New Roman" w:eastAsia="Times New Roman" w:hAnsi="Times New Roman" w:cs="Times New Roman"/>
          <w:sz w:val="20"/>
          <w:szCs w:val="20"/>
          <w:vertAlign w:val="superscript"/>
          <w:lang w:val="uk-UA" w:eastAsia="ru-RU"/>
        </w:rPr>
        <w:t>1</w:t>
      </w:r>
      <w:r w:rsidRPr="00D31B9F">
        <w:rPr>
          <w:rFonts w:ascii="Times New Roman" w:eastAsia="Times New Roman" w:hAnsi="Times New Roman" w:cs="Times New Roman"/>
          <w:sz w:val="20"/>
          <w:szCs w:val="20"/>
          <w:lang w:val="uk-UA" w:eastAsia="ru-RU"/>
        </w:rPr>
        <w:t xml:space="preserve"> ст. 43 ПКУ доповнено новим абзацом, відповідно до якого повернення у випадках, визначених законодавством, сум ПДВ, контроль за справлянням яких покладено на контролюючий орган, визначений </w:t>
      </w:r>
      <w:proofErr w:type="spellStart"/>
      <w:r w:rsidRPr="00D31B9F">
        <w:rPr>
          <w:rFonts w:ascii="Times New Roman" w:eastAsia="Times New Roman" w:hAnsi="Times New Roman" w:cs="Times New Roman"/>
          <w:sz w:val="20"/>
          <w:szCs w:val="20"/>
          <w:lang w:val="uk-UA" w:eastAsia="ru-RU"/>
        </w:rPr>
        <w:t>п.п</w:t>
      </w:r>
      <w:proofErr w:type="spellEnd"/>
      <w:r w:rsidRPr="00D31B9F">
        <w:rPr>
          <w:rFonts w:ascii="Times New Roman" w:eastAsia="Times New Roman" w:hAnsi="Times New Roman" w:cs="Times New Roman"/>
          <w:sz w:val="20"/>
          <w:szCs w:val="20"/>
          <w:lang w:val="uk-UA" w:eastAsia="ru-RU"/>
        </w:rPr>
        <w:t>. 41.1.2 п. 41.1 ст. 41 ПКУ, при ввезенні товарів на митну територію України здійснюється в частині, що не перевищує суму, обчислену відповідно до п. 200</w:t>
      </w:r>
      <w:r w:rsidRPr="00D31B9F">
        <w:rPr>
          <w:rFonts w:ascii="Times New Roman" w:eastAsia="Times New Roman" w:hAnsi="Times New Roman" w:cs="Times New Roman"/>
          <w:sz w:val="20"/>
          <w:szCs w:val="20"/>
          <w:vertAlign w:val="superscript"/>
          <w:lang w:val="uk-UA" w:eastAsia="ru-RU"/>
        </w:rPr>
        <w:t>1</w:t>
      </w:r>
      <w:r w:rsidRPr="00D31B9F">
        <w:rPr>
          <w:rFonts w:ascii="Times New Roman" w:eastAsia="Times New Roman" w:hAnsi="Times New Roman" w:cs="Times New Roman"/>
          <w:sz w:val="20"/>
          <w:szCs w:val="20"/>
          <w:lang w:val="uk-UA" w:eastAsia="ru-RU"/>
        </w:rPr>
        <w:t>.3 ст. 200</w:t>
      </w:r>
      <w:r w:rsidRPr="00D31B9F">
        <w:rPr>
          <w:rFonts w:ascii="Times New Roman" w:eastAsia="Times New Roman" w:hAnsi="Times New Roman" w:cs="Times New Roman"/>
          <w:sz w:val="20"/>
          <w:szCs w:val="20"/>
          <w:vertAlign w:val="superscript"/>
          <w:lang w:val="uk-UA" w:eastAsia="ru-RU"/>
        </w:rPr>
        <w:t>1</w:t>
      </w:r>
      <w:r w:rsidRPr="00D31B9F">
        <w:rPr>
          <w:rFonts w:ascii="Times New Roman" w:eastAsia="Times New Roman" w:hAnsi="Times New Roman" w:cs="Times New Roman"/>
          <w:sz w:val="20"/>
          <w:szCs w:val="20"/>
          <w:lang w:val="uk-UA" w:eastAsia="ru-RU"/>
        </w:rPr>
        <w:t xml:space="preserve"> ПКУ на момент оформлення митної декларації/аркуша коригування, на підставі яких здійснюватиметься таке повернення. </w:t>
      </w:r>
    </w:p>
    <w:p w:rsidR="00567367" w:rsidRPr="00D31B9F" w:rsidRDefault="00567367" w:rsidP="008E21BF">
      <w:pPr>
        <w:rPr>
          <w:rFonts w:ascii="Times New Roman" w:eastAsia="Times New Roman" w:hAnsi="Times New Roman" w:cs="Times New Roman"/>
          <w:sz w:val="20"/>
          <w:szCs w:val="20"/>
          <w:lang w:val="uk-UA" w:eastAsia="ru-RU"/>
        </w:rPr>
      </w:pPr>
    </w:p>
    <w:p w:rsidR="00567367" w:rsidRPr="00D31B9F" w:rsidRDefault="00567367" w:rsidP="008E21BF">
      <w:pPr>
        <w:rPr>
          <w:rFonts w:ascii="Times New Roman" w:hAnsi="Times New Roman" w:cs="Times New Roman"/>
          <w:sz w:val="20"/>
          <w:szCs w:val="20"/>
          <w:lang w:val="uk-UA"/>
        </w:rPr>
      </w:pPr>
    </w:p>
    <w:sectPr w:rsidR="00567367" w:rsidRPr="00D31B9F" w:rsidSect="005B557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B557C"/>
    <w:rsid w:val="00041B56"/>
    <w:rsid w:val="00081293"/>
    <w:rsid w:val="000D27A6"/>
    <w:rsid w:val="00116611"/>
    <w:rsid w:val="00314BE1"/>
    <w:rsid w:val="00362F46"/>
    <w:rsid w:val="00432596"/>
    <w:rsid w:val="00567367"/>
    <w:rsid w:val="00590C71"/>
    <w:rsid w:val="005B557C"/>
    <w:rsid w:val="007C291B"/>
    <w:rsid w:val="0081736A"/>
    <w:rsid w:val="008E21BF"/>
    <w:rsid w:val="008F45EF"/>
    <w:rsid w:val="00B130A9"/>
    <w:rsid w:val="00B82288"/>
    <w:rsid w:val="00C45DF5"/>
    <w:rsid w:val="00C87EB9"/>
    <w:rsid w:val="00D31B9F"/>
    <w:rsid w:val="00DF4C0B"/>
    <w:rsid w:val="00FA79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57C"/>
  </w:style>
  <w:style w:type="paragraph" w:styleId="1">
    <w:name w:val="heading 1"/>
    <w:basedOn w:val="a"/>
    <w:link w:val="10"/>
    <w:uiPriority w:val="9"/>
    <w:qFormat/>
    <w:rsid w:val="005B557C"/>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557C"/>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B557C"/>
    <w:rPr>
      <w:b/>
      <w:bCs/>
    </w:rPr>
  </w:style>
  <w:style w:type="paragraph" w:styleId="a4">
    <w:name w:val="Normal (Web)"/>
    <w:basedOn w:val="a"/>
    <w:uiPriority w:val="99"/>
    <w:semiHidden/>
    <w:unhideWhenUsed/>
    <w:rsid w:val="005B557C"/>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5">
    <w:name w:val="Emphasis"/>
    <w:basedOn w:val="a0"/>
    <w:uiPriority w:val="20"/>
    <w:qFormat/>
    <w:rsid w:val="005B557C"/>
    <w:rPr>
      <w:i/>
      <w:iCs/>
    </w:rPr>
  </w:style>
  <w:style w:type="character" w:styleId="a6">
    <w:name w:val="Hyperlink"/>
    <w:basedOn w:val="a0"/>
    <w:uiPriority w:val="99"/>
    <w:unhideWhenUsed/>
    <w:rsid w:val="005B557C"/>
    <w:rPr>
      <w:color w:val="0000FF"/>
      <w:u w:val="single"/>
    </w:rPr>
  </w:style>
  <w:style w:type="paragraph" w:styleId="a7">
    <w:name w:val="Balloon Text"/>
    <w:basedOn w:val="a"/>
    <w:link w:val="a8"/>
    <w:uiPriority w:val="99"/>
    <w:semiHidden/>
    <w:unhideWhenUsed/>
    <w:rsid w:val="00C45DF5"/>
    <w:rPr>
      <w:rFonts w:ascii="Tahoma" w:hAnsi="Tahoma" w:cs="Tahoma"/>
      <w:sz w:val="16"/>
      <w:szCs w:val="16"/>
    </w:rPr>
  </w:style>
  <w:style w:type="character" w:customStyle="1" w:styleId="a8">
    <w:name w:val="Текст выноски Знак"/>
    <w:basedOn w:val="a0"/>
    <w:link w:val="a7"/>
    <w:uiPriority w:val="99"/>
    <w:semiHidden/>
    <w:rsid w:val="00C45DF5"/>
    <w:rPr>
      <w:rFonts w:ascii="Tahoma" w:hAnsi="Tahoma" w:cs="Tahoma"/>
      <w:sz w:val="16"/>
      <w:szCs w:val="16"/>
    </w:rPr>
  </w:style>
  <w:style w:type="paragraph" w:customStyle="1" w:styleId="21">
    <w:name w:val="21"/>
    <w:basedOn w:val="a"/>
    <w:rsid w:val="00D31B9F"/>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1025081">
      <w:bodyDiv w:val="1"/>
      <w:marLeft w:val="0"/>
      <w:marRight w:val="0"/>
      <w:marTop w:val="0"/>
      <w:marBottom w:val="0"/>
      <w:divBdr>
        <w:top w:val="none" w:sz="0" w:space="0" w:color="auto"/>
        <w:left w:val="none" w:sz="0" w:space="0" w:color="auto"/>
        <w:bottom w:val="none" w:sz="0" w:space="0" w:color="auto"/>
        <w:right w:val="none" w:sz="0" w:space="0" w:color="auto"/>
      </w:divBdr>
      <w:divsChild>
        <w:div w:id="368263683">
          <w:marLeft w:val="0"/>
          <w:marRight w:val="0"/>
          <w:marTop w:val="0"/>
          <w:marBottom w:val="0"/>
          <w:divBdr>
            <w:top w:val="none" w:sz="0" w:space="0" w:color="auto"/>
            <w:left w:val="none" w:sz="0" w:space="0" w:color="auto"/>
            <w:bottom w:val="none" w:sz="0" w:space="0" w:color="auto"/>
            <w:right w:val="none" w:sz="0" w:space="0" w:color="auto"/>
          </w:divBdr>
          <w:divsChild>
            <w:div w:id="5975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7641">
      <w:bodyDiv w:val="1"/>
      <w:marLeft w:val="0"/>
      <w:marRight w:val="0"/>
      <w:marTop w:val="0"/>
      <w:marBottom w:val="0"/>
      <w:divBdr>
        <w:top w:val="none" w:sz="0" w:space="0" w:color="auto"/>
        <w:left w:val="none" w:sz="0" w:space="0" w:color="auto"/>
        <w:bottom w:val="none" w:sz="0" w:space="0" w:color="auto"/>
        <w:right w:val="none" w:sz="0" w:space="0" w:color="auto"/>
      </w:divBdr>
      <w:divsChild>
        <w:div w:id="1450591100">
          <w:marLeft w:val="0"/>
          <w:marRight w:val="0"/>
          <w:marTop w:val="0"/>
          <w:marBottom w:val="0"/>
          <w:divBdr>
            <w:top w:val="none" w:sz="0" w:space="0" w:color="auto"/>
            <w:left w:val="none" w:sz="0" w:space="0" w:color="auto"/>
            <w:bottom w:val="none" w:sz="0" w:space="0" w:color="auto"/>
            <w:right w:val="none" w:sz="0" w:space="0" w:color="auto"/>
          </w:divBdr>
          <w:divsChild>
            <w:div w:id="15507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5583">
      <w:bodyDiv w:val="1"/>
      <w:marLeft w:val="0"/>
      <w:marRight w:val="0"/>
      <w:marTop w:val="0"/>
      <w:marBottom w:val="0"/>
      <w:divBdr>
        <w:top w:val="none" w:sz="0" w:space="0" w:color="auto"/>
        <w:left w:val="none" w:sz="0" w:space="0" w:color="auto"/>
        <w:bottom w:val="none" w:sz="0" w:space="0" w:color="auto"/>
        <w:right w:val="none" w:sz="0" w:space="0" w:color="auto"/>
      </w:divBdr>
      <w:divsChild>
        <w:div w:id="12418501">
          <w:marLeft w:val="0"/>
          <w:marRight w:val="0"/>
          <w:marTop w:val="0"/>
          <w:marBottom w:val="0"/>
          <w:divBdr>
            <w:top w:val="none" w:sz="0" w:space="0" w:color="auto"/>
            <w:left w:val="none" w:sz="0" w:space="0" w:color="auto"/>
            <w:bottom w:val="none" w:sz="0" w:space="0" w:color="auto"/>
            <w:right w:val="none" w:sz="0" w:space="0" w:color="auto"/>
          </w:divBdr>
          <w:divsChild>
            <w:div w:id="5971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129633">
      <w:bodyDiv w:val="1"/>
      <w:marLeft w:val="0"/>
      <w:marRight w:val="0"/>
      <w:marTop w:val="0"/>
      <w:marBottom w:val="0"/>
      <w:divBdr>
        <w:top w:val="none" w:sz="0" w:space="0" w:color="auto"/>
        <w:left w:val="none" w:sz="0" w:space="0" w:color="auto"/>
        <w:bottom w:val="none" w:sz="0" w:space="0" w:color="auto"/>
        <w:right w:val="none" w:sz="0" w:space="0" w:color="auto"/>
      </w:divBdr>
      <w:divsChild>
        <w:div w:id="677579627">
          <w:marLeft w:val="0"/>
          <w:marRight w:val="0"/>
          <w:marTop w:val="0"/>
          <w:marBottom w:val="0"/>
          <w:divBdr>
            <w:top w:val="none" w:sz="0" w:space="0" w:color="auto"/>
            <w:left w:val="none" w:sz="0" w:space="0" w:color="auto"/>
            <w:bottom w:val="none" w:sz="0" w:space="0" w:color="auto"/>
            <w:right w:val="none" w:sz="0" w:space="0" w:color="auto"/>
          </w:divBdr>
          <w:divsChild>
            <w:div w:id="162792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242595">
      <w:bodyDiv w:val="1"/>
      <w:marLeft w:val="0"/>
      <w:marRight w:val="0"/>
      <w:marTop w:val="0"/>
      <w:marBottom w:val="0"/>
      <w:divBdr>
        <w:top w:val="none" w:sz="0" w:space="0" w:color="auto"/>
        <w:left w:val="none" w:sz="0" w:space="0" w:color="auto"/>
        <w:bottom w:val="none" w:sz="0" w:space="0" w:color="auto"/>
        <w:right w:val="none" w:sz="0" w:space="0" w:color="auto"/>
      </w:divBdr>
      <w:divsChild>
        <w:div w:id="1824470294">
          <w:marLeft w:val="0"/>
          <w:marRight w:val="0"/>
          <w:marTop w:val="0"/>
          <w:marBottom w:val="0"/>
          <w:divBdr>
            <w:top w:val="none" w:sz="0" w:space="0" w:color="auto"/>
            <w:left w:val="none" w:sz="0" w:space="0" w:color="auto"/>
            <w:bottom w:val="none" w:sz="0" w:space="0" w:color="auto"/>
            <w:right w:val="none" w:sz="0" w:space="0" w:color="auto"/>
          </w:divBdr>
          <w:divsChild>
            <w:div w:id="20246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2932">
      <w:bodyDiv w:val="1"/>
      <w:marLeft w:val="0"/>
      <w:marRight w:val="0"/>
      <w:marTop w:val="0"/>
      <w:marBottom w:val="0"/>
      <w:divBdr>
        <w:top w:val="none" w:sz="0" w:space="0" w:color="auto"/>
        <w:left w:val="none" w:sz="0" w:space="0" w:color="auto"/>
        <w:bottom w:val="none" w:sz="0" w:space="0" w:color="auto"/>
        <w:right w:val="none" w:sz="0" w:space="0" w:color="auto"/>
      </w:divBdr>
      <w:divsChild>
        <w:div w:id="737240919">
          <w:marLeft w:val="0"/>
          <w:marRight w:val="0"/>
          <w:marTop w:val="0"/>
          <w:marBottom w:val="0"/>
          <w:divBdr>
            <w:top w:val="none" w:sz="0" w:space="0" w:color="auto"/>
            <w:left w:val="none" w:sz="0" w:space="0" w:color="auto"/>
            <w:bottom w:val="none" w:sz="0" w:space="0" w:color="auto"/>
            <w:right w:val="none" w:sz="0" w:space="0" w:color="auto"/>
          </w:divBdr>
          <w:divsChild>
            <w:div w:id="155708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050786">
      <w:bodyDiv w:val="1"/>
      <w:marLeft w:val="0"/>
      <w:marRight w:val="0"/>
      <w:marTop w:val="0"/>
      <w:marBottom w:val="0"/>
      <w:divBdr>
        <w:top w:val="none" w:sz="0" w:space="0" w:color="auto"/>
        <w:left w:val="none" w:sz="0" w:space="0" w:color="auto"/>
        <w:bottom w:val="none" w:sz="0" w:space="0" w:color="auto"/>
        <w:right w:val="none" w:sz="0" w:space="0" w:color="auto"/>
      </w:divBdr>
      <w:divsChild>
        <w:div w:id="1143276402">
          <w:marLeft w:val="0"/>
          <w:marRight w:val="0"/>
          <w:marTop w:val="0"/>
          <w:marBottom w:val="0"/>
          <w:divBdr>
            <w:top w:val="none" w:sz="0" w:space="0" w:color="auto"/>
            <w:left w:val="none" w:sz="0" w:space="0" w:color="auto"/>
            <w:bottom w:val="none" w:sz="0" w:space="0" w:color="auto"/>
            <w:right w:val="none" w:sz="0" w:space="0" w:color="auto"/>
          </w:divBdr>
          <w:divsChild>
            <w:div w:id="181687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11054">
      <w:bodyDiv w:val="1"/>
      <w:marLeft w:val="0"/>
      <w:marRight w:val="0"/>
      <w:marTop w:val="0"/>
      <w:marBottom w:val="0"/>
      <w:divBdr>
        <w:top w:val="none" w:sz="0" w:space="0" w:color="auto"/>
        <w:left w:val="none" w:sz="0" w:space="0" w:color="auto"/>
        <w:bottom w:val="none" w:sz="0" w:space="0" w:color="auto"/>
        <w:right w:val="none" w:sz="0" w:space="0" w:color="auto"/>
      </w:divBdr>
      <w:divsChild>
        <w:div w:id="1196961523">
          <w:marLeft w:val="0"/>
          <w:marRight w:val="0"/>
          <w:marTop w:val="0"/>
          <w:marBottom w:val="0"/>
          <w:divBdr>
            <w:top w:val="none" w:sz="0" w:space="0" w:color="auto"/>
            <w:left w:val="none" w:sz="0" w:space="0" w:color="auto"/>
            <w:bottom w:val="none" w:sz="0" w:space="0" w:color="auto"/>
            <w:right w:val="none" w:sz="0" w:space="0" w:color="auto"/>
          </w:divBdr>
          <w:divsChild>
            <w:div w:id="16156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81147">
      <w:bodyDiv w:val="1"/>
      <w:marLeft w:val="0"/>
      <w:marRight w:val="0"/>
      <w:marTop w:val="0"/>
      <w:marBottom w:val="0"/>
      <w:divBdr>
        <w:top w:val="none" w:sz="0" w:space="0" w:color="auto"/>
        <w:left w:val="none" w:sz="0" w:space="0" w:color="auto"/>
        <w:bottom w:val="none" w:sz="0" w:space="0" w:color="auto"/>
        <w:right w:val="none" w:sz="0" w:space="0" w:color="auto"/>
      </w:divBdr>
      <w:divsChild>
        <w:div w:id="1769033788">
          <w:marLeft w:val="0"/>
          <w:marRight w:val="0"/>
          <w:marTop w:val="0"/>
          <w:marBottom w:val="0"/>
          <w:divBdr>
            <w:top w:val="none" w:sz="0" w:space="0" w:color="auto"/>
            <w:left w:val="none" w:sz="0" w:space="0" w:color="auto"/>
            <w:bottom w:val="none" w:sz="0" w:space="0" w:color="auto"/>
            <w:right w:val="none" w:sz="0" w:space="0" w:color="auto"/>
          </w:divBdr>
          <w:divsChild>
            <w:div w:id="96496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97828">
      <w:bodyDiv w:val="1"/>
      <w:marLeft w:val="0"/>
      <w:marRight w:val="0"/>
      <w:marTop w:val="0"/>
      <w:marBottom w:val="0"/>
      <w:divBdr>
        <w:top w:val="none" w:sz="0" w:space="0" w:color="auto"/>
        <w:left w:val="none" w:sz="0" w:space="0" w:color="auto"/>
        <w:bottom w:val="none" w:sz="0" w:space="0" w:color="auto"/>
        <w:right w:val="none" w:sz="0" w:space="0" w:color="auto"/>
      </w:divBdr>
      <w:divsChild>
        <w:div w:id="918297256">
          <w:marLeft w:val="0"/>
          <w:marRight w:val="0"/>
          <w:marTop w:val="0"/>
          <w:marBottom w:val="0"/>
          <w:divBdr>
            <w:top w:val="none" w:sz="0" w:space="0" w:color="auto"/>
            <w:left w:val="none" w:sz="0" w:space="0" w:color="auto"/>
            <w:bottom w:val="none" w:sz="0" w:space="0" w:color="auto"/>
            <w:right w:val="none" w:sz="0" w:space="0" w:color="auto"/>
          </w:divBdr>
          <w:divsChild>
            <w:div w:id="203877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80114">
      <w:bodyDiv w:val="1"/>
      <w:marLeft w:val="0"/>
      <w:marRight w:val="0"/>
      <w:marTop w:val="0"/>
      <w:marBottom w:val="0"/>
      <w:divBdr>
        <w:top w:val="none" w:sz="0" w:space="0" w:color="auto"/>
        <w:left w:val="none" w:sz="0" w:space="0" w:color="auto"/>
        <w:bottom w:val="none" w:sz="0" w:space="0" w:color="auto"/>
        <w:right w:val="none" w:sz="0" w:space="0" w:color="auto"/>
      </w:divBdr>
      <w:divsChild>
        <w:div w:id="170341041">
          <w:marLeft w:val="0"/>
          <w:marRight w:val="0"/>
          <w:marTop w:val="0"/>
          <w:marBottom w:val="0"/>
          <w:divBdr>
            <w:top w:val="none" w:sz="0" w:space="0" w:color="auto"/>
            <w:left w:val="none" w:sz="0" w:space="0" w:color="auto"/>
            <w:bottom w:val="none" w:sz="0" w:space="0" w:color="auto"/>
            <w:right w:val="none" w:sz="0" w:space="0" w:color="auto"/>
          </w:divBdr>
          <w:divsChild>
            <w:div w:id="13326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97614">
      <w:bodyDiv w:val="1"/>
      <w:marLeft w:val="0"/>
      <w:marRight w:val="0"/>
      <w:marTop w:val="0"/>
      <w:marBottom w:val="0"/>
      <w:divBdr>
        <w:top w:val="none" w:sz="0" w:space="0" w:color="auto"/>
        <w:left w:val="none" w:sz="0" w:space="0" w:color="auto"/>
        <w:bottom w:val="none" w:sz="0" w:space="0" w:color="auto"/>
        <w:right w:val="none" w:sz="0" w:space="0" w:color="auto"/>
      </w:divBdr>
      <w:divsChild>
        <w:div w:id="1122386583">
          <w:marLeft w:val="0"/>
          <w:marRight w:val="0"/>
          <w:marTop w:val="0"/>
          <w:marBottom w:val="0"/>
          <w:divBdr>
            <w:top w:val="none" w:sz="0" w:space="0" w:color="auto"/>
            <w:left w:val="none" w:sz="0" w:space="0" w:color="auto"/>
            <w:bottom w:val="none" w:sz="0" w:space="0" w:color="auto"/>
            <w:right w:val="none" w:sz="0" w:space="0" w:color="auto"/>
          </w:divBdr>
          <w:divsChild>
            <w:div w:id="3447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88183">
      <w:bodyDiv w:val="1"/>
      <w:marLeft w:val="0"/>
      <w:marRight w:val="0"/>
      <w:marTop w:val="0"/>
      <w:marBottom w:val="0"/>
      <w:divBdr>
        <w:top w:val="none" w:sz="0" w:space="0" w:color="auto"/>
        <w:left w:val="none" w:sz="0" w:space="0" w:color="auto"/>
        <w:bottom w:val="none" w:sz="0" w:space="0" w:color="auto"/>
        <w:right w:val="none" w:sz="0" w:space="0" w:color="auto"/>
      </w:divBdr>
      <w:divsChild>
        <w:div w:id="2059159325">
          <w:marLeft w:val="0"/>
          <w:marRight w:val="0"/>
          <w:marTop w:val="0"/>
          <w:marBottom w:val="0"/>
          <w:divBdr>
            <w:top w:val="none" w:sz="0" w:space="0" w:color="auto"/>
            <w:left w:val="none" w:sz="0" w:space="0" w:color="auto"/>
            <w:bottom w:val="none" w:sz="0" w:space="0" w:color="auto"/>
            <w:right w:val="none" w:sz="0" w:space="0" w:color="auto"/>
          </w:divBdr>
          <w:divsChild>
            <w:div w:id="10289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13875">
      <w:bodyDiv w:val="1"/>
      <w:marLeft w:val="0"/>
      <w:marRight w:val="0"/>
      <w:marTop w:val="0"/>
      <w:marBottom w:val="0"/>
      <w:divBdr>
        <w:top w:val="none" w:sz="0" w:space="0" w:color="auto"/>
        <w:left w:val="none" w:sz="0" w:space="0" w:color="auto"/>
        <w:bottom w:val="none" w:sz="0" w:space="0" w:color="auto"/>
        <w:right w:val="none" w:sz="0" w:space="0" w:color="auto"/>
      </w:divBdr>
      <w:divsChild>
        <w:div w:id="2048752771">
          <w:marLeft w:val="0"/>
          <w:marRight w:val="0"/>
          <w:marTop w:val="0"/>
          <w:marBottom w:val="0"/>
          <w:divBdr>
            <w:top w:val="none" w:sz="0" w:space="0" w:color="auto"/>
            <w:left w:val="none" w:sz="0" w:space="0" w:color="auto"/>
            <w:bottom w:val="none" w:sz="0" w:space="0" w:color="auto"/>
            <w:right w:val="none" w:sz="0" w:space="0" w:color="auto"/>
          </w:divBdr>
          <w:divsChild>
            <w:div w:id="6637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27831">
      <w:bodyDiv w:val="1"/>
      <w:marLeft w:val="0"/>
      <w:marRight w:val="0"/>
      <w:marTop w:val="0"/>
      <w:marBottom w:val="0"/>
      <w:divBdr>
        <w:top w:val="none" w:sz="0" w:space="0" w:color="auto"/>
        <w:left w:val="none" w:sz="0" w:space="0" w:color="auto"/>
        <w:bottom w:val="none" w:sz="0" w:space="0" w:color="auto"/>
        <w:right w:val="none" w:sz="0" w:space="0" w:color="auto"/>
      </w:divBdr>
      <w:divsChild>
        <w:div w:id="679506253">
          <w:marLeft w:val="0"/>
          <w:marRight w:val="0"/>
          <w:marTop w:val="0"/>
          <w:marBottom w:val="0"/>
          <w:divBdr>
            <w:top w:val="none" w:sz="0" w:space="0" w:color="auto"/>
            <w:left w:val="none" w:sz="0" w:space="0" w:color="auto"/>
            <w:bottom w:val="none" w:sz="0" w:space="0" w:color="auto"/>
            <w:right w:val="none" w:sz="0" w:space="0" w:color="auto"/>
          </w:divBdr>
          <w:divsChild>
            <w:div w:id="71231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9571">
      <w:bodyDiv w:val="1"/>
      <w:marLeft w:val="0"/>
      <w:marRight w:val="0"/>
      <w:marTop w:val="0"/>
      <w:marBottom w:val="0"/>
      <w:divBdr>
        <w:top w:val="none" w:sz="0" w:space="0" w:color="auto"/>
        <w:left w:val="none" w:sz="0" w:space="0" w:color="auto"/>
        <w:bottom w:val="none" w:sz="0" w:space="0" w:color="auto"/>
        <w:right w:val="none" w:sz="0" w:space="0" w:color="auto"/>
      </w:divBdr>
      <w:divsChild>
        <w:div w:id="1938560511">
          <w:marLeft w:val="0"/>
          <w:marRight w:val="0"/>
          <w:marTop w:val="0"/>
          <w:marBottom w:val="0"/>
          <w:divBdr>
            <w:top w:val="none" w:sz="0" w:space="0" w:color="auto"/>
            <w:left w:val="none" w:sz="0" w:space="0" w:color="auto"/>
            <w:bottom w:val="none" w:sz="0" w:space="0" w:color="auto"/>
            <w:right w:val="none" w:sz="0" w:space="0" w:color="auto"/>
          </w:divBdr>
          <w:divsChild>
            <w:div w:id="19271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560022">
      <w:bodyDiv w:val="1"/>
      <w:marLeft w:val="0"/>
      <w:marRight w:val="0"/>
      <w:marTop w:val="0"/>
      <w:marBottom w:val="0"/>
      <w:divBdr>
        <w:top w:val="none" w:sz="0" w:space="0" w:color="auto"/>
        <w:left w:val="none" w:sz="0" w:space="0" w:color="auto"/>
        <w:bottom w:val="none" w:sz="0" w:space="0" w:color="auto"/>
        <w:right w:val="none" w:sz="0" w:space="0" w:color="auto"/>
      </w:divBdr>
      <w:divsChild>
        <w:div w:id="448286194">
          <w:marLeft w:val="0"/>
          <w:marRight w:val="0"/>
          <w:marTop w:val="0"/>
          <w:marBottom w:val="0"/>
          <w:divBdr>
            <w:top w:val="none" w:sz="0" w:space="0" w:color="auto"/>
            <w:left w:val="none" w:sz="0" w:space="0" w:color="auto"/>
            <w:bottom w:val="none" w:sz="0" w:space="0" w:color="auto"/>
            <w:right w:val="none" w:sz="0" w:space="0" w:color="auto"/>
          </w:divBdr>
          <w:divsChild>
            <w:div w:id="45483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23118">
      <w:bodyDiv w:val="1"/>
      <w:marLeft w:val="0"/>
      <w:marRight w:val="0"/>
      <w:marTop w:val="0"/>
      <w:marBottom w:val="0"/>
      <w:divBdr>
        <w:top w:val="none" w:sz="0" w:space="0" w:color="auto"/>
        <w:left w:val="none" w:sz="0" w:space="0" w:color="auto"/>
        <w:bottom w:val="none" w:sz="0" w:space="0" w:color="auto"/>
        <w:right w:val="none" w:sz="0" w:space="0" w:color="auto"/>
      </w:divBdr>
      <w:divsChild>
        <w:div w:id="1921057931">
          <w:marLeft w:val="0"/>
          <w:marRight w:val="0"/>
          <w:marTop w:val="0"/>
          <w:marBottom w:val="0"/>
          <w:divBdr>
            <w:top w:val="none" w:sz="0" w:space="0" w:color="auto"/>
            <w:left w:val="none" w:sz="0" w:space="0" w:color="auto"/>
            <w:bottom w:val="none" w:sz="0" w:space="0" w:color="auto"/>
            <w:right w:val="none" w:sz="0" w:space="0" w:color="auto"/>
          </w:divBdr>
          <w:divsChild>
            <w:div w:id="153256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35409">
      <w:bodyDiv w:val="1"/>
      <w:marLeft w:val="0"/>
      <w:marRight w:val="0"/>
      <w:marTop w:val="0"/>
      <w:marBottom w:val="0"/>
      <w:divBdr>
        <w:top w:val="none" w:sz="0" w:space="0" w:color="auto"/>
        <w:left w:val="none" w:sz="0" w:space="0" w:color="auto"/>
        <w:bottom w:val="none" w:sz="0" w:space="0" w:color="auto"/>
        <w:right w:val="none" w:sz="0" w:space="0" w:color="auto"/>
      </w:divBdr>
      <w:divsChild>
        <w:div w:id="777988124">
          <w:marLeft w:val="0"/>
          <w:marRight w:val="0"/>
          <w:marTop w:val="0"/>
          <w:marBottom w:val="0"/>
          <w:divBdr>
            <w:top w:val="none" w:sz="0" w:space="0" w:color="auto"/>
            <w:left w:val="none" w:sz="0" w:space="0" w:color="auto"/>
            <w:bottom w:val="none" w:sz="0" w:space="0" w:color="auto"/>
            <w:right w:val="none" w:sz="0" w:space="0" w:color="auto"/>
          </w:divBdr>
          <w:divsChild>
            <w:div w:id="9370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93485">
      <w:bodyDiv w:val="1"/>
      <w:marLeft w:val="0"/>
      <w:marRight w:val="0"/>
      <w:marTop w:val="0"/>
      <w:marBottom w:val="0"/>
      <w:divBdr>
        <w:top w:val="none" w:sz="0" w:space="0" w:color="auto"/>
        <w:left w:val="none" w:sz="0" w:space="0" w:color="auto"/>
        <w:bottom w:val="none" w:sz="0" w:space="0" w:color="auto"/>
        <w:right w:val="none" w:sz="0" w:space="0" w:color="auto"/>
      </w:divBdr>
      <w:divsChild>
        <w:div w:id="1674183716">
          <w:marLeft w:val="0"/>
          <w:marRight w:val="0"/>
          <w:marTop w:val="0"/>
          <w:marBottom w:val="0"/>
          <w:divBdr>
            <w:top w:val="none" w:sz="0" w:space="0" w:color="auto"/>
            <w:left w:val="none" w:sz="0" w:space="0" w:color="auto"/>
            <w:bottom w:val="none" w:sz="0" w:space="0" w:color="auto"/>
            <w:right w:val="none" w:sz="0" w:space="0" w:color="auto"/>
          </w:divBdr>
          <w:divsChild>
            <w:div w:id="13533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41066">
      <w:bodyDiv w:val="1"/>
      <w:marLeft w:val="0"/>
      <w:marRight w:val="0"/>
      <w:marTop w:val="0"/>
      <w:marBottom w:val="0"/>
      <w:divBdr>
        <w:top w:val="none" w:sz="0" w:space="0" w:color="auto"/>
        <w:left w:val="none" w:sz="0" w:space="0" w:color="auto"/>
        <w:bottom w:val="none" w:sz="0" w:space="0" w:color="auto"/>
        <w:right w:val="none" w:sz="0" w:space="0" w:color="auto"/>
      </w:divBdr>
      <w:divsChild>
        <w:div w:id="1018430567">
          <w:marLeft w:val="0"/>
          <w:marRight w:val="0"/>
          <w:marTop w:val="0"/>
          <w:marBottom w:val="0"/>
          <w:divBdr>
            <w:top w:val="none" w:sz="0" w:space="0" w:color="auto"/>
            <w:left w:val="none" w:sz="0" w:space="0" w:color="auto"/>
            <w:bottom w:val="none" w:sz="0" w:space="0" w:color="auto"/>
            <w:right w:val="none" w:sz="0" w:space="0" w:color="auto"/>
          </w:divBdr>
          <w:divsChild>
            <w:div w:id="77879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49779">
      <w:bodyDiv w:val="1"/>
      <w:marLeft w:val="0"/>
      <w:marRight w:val="0"/>
      <w:marTop w:val="0"/>
      <w:marBottom w:val="0"/>
      <w:divBdr>
        <w:top w:val="none" w:sz="0" w:space="0" w:color="auto"/>
        <w:left w:val="none" w:sz="0" w:space="0" w:color="auto"/>
        <w:bottom w:val="none" w:sz="0" w:space="0" w:color="auto"/>
        <w:right w:val="none" w:sz="0" w:space="0" w:color="auto"/>
      </w:divBdr>
      <w:divsChild>
        <w:div w:id="1122841997">
          <w:marLeft w:val="0"/>
          <w:marRight w:val="0"/>
          <w:marTop w:val="0"/>
          <w:marBottom w:val="0"/>
          <w:divBdr>
            <w:top w:val="none" w:sz="0" w:space="0" w:color="auto"/>
            <w:left w:val="none" w:sz="0" w:space="0" w:color="auto"/>
            <w:bottom w:val="none" w:sz="0" w:space="0" w:color="auto"/>
            <w:right w:val="none" w:sz="0" w:space="0" w:color="auto"/>
          </w:divBdr>
          <w:divsChild>
            <w:div w:id="7335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9193">
      <w:bodyDiv w:val="1"/>
      <w:marLeft w:val="0"/>
      <w:marRight w:val="0"/>
      <w:marTop w:val="0"/>
      <w:marBottom w:val="0"/>
      <w:divBdr>
        <w:top w:val="none" w:sz="0" w:space="0" w:color="auto"/>
        <w:left w:val="none" w:sz="0" w:space="0" w:color="auto"/>
        <w:bottom w:val="none" w:sz="0" w:space="0" w:color="auto"/>
        <w:right w:val="none" w:sz="0" w:space="0" w:color="auto"/>
      </w:divBdr>
      <w:divsChild>
        <w:div w:id="1663578982">
          <w:marLeft w:val="0"/>
          <w:marRight w:val="0"/>
          <w:marTop w:val="0"/>
          <w:marBottom w:val="0"/>
          <w:divBdr>
            <w:top w:val="none" w:sz="0" w:space="0" w:color="auto"/>
            <w:left w:val="none" w:sz="0" w:space="0" w:color="auto"/>
            <w:bottom w:val="none" w:sz="0" w:space="0" w:color="auto"/>
            <w:right w:val="none" w:sz="0" w:space="0" w:color="auto"/>
          </w:divBdr>
          <w:divsChild>
            <w:div w:id="16217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73392">
      <w:bodyDiv w:val="1"/>
      <w:marLeft w:val="0"/>
      <w:marRight w:val="0"/>
      <w:marTop w:val="0"/>
      <w:marBottom w:val="0"/>
      <w:divBdr>
        <w:top w:val="none" w:sz="0" w:space="0" w:color="auto"/>
        <w:left w:val="none" w:sz="0" w:space="0" w:color="auto"/>
        <w:bottom w:val="none" w:sz="0" w:space="0" w:color="auto"/>
        <w:right w:val="none" w:sz="0" w:space="0" w:color="auto"/>
      </w:divBdr>
      <w:divsChild>
        <w:div w:id="599799708">
          <w:marLeft w:val="0"/>
          <w:marRight w:val="0"/>
          <w:marTop w:val="0"/>
          <w:marBottom w:val="0"/>
          <w:divBdr>
            <w:top w:val="none" w:sz="0" w:space="0" w:color="auto"/>
            <w:left w:val="none" w:sz="0" w:space="0" w:color="auto"/>
            <w:bottom w:val="none" w:sz="0" w:space="0" w:color="auto"/>
            <w:right w:val="none" w:sz="0" w:space="0" w:color="auto"/>
          </w:divBdr>
          <w:divsChild>
            <w:div w:id="1497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45092">
      <w:bodyDiv w:val="1"/>
      <w:marLeft w:val="0"/>
      <w:marRight w:val="0"/>
      <w:marTop w:val="0"/>
      <w:marBottom w:val="0"/>
      <w:divBdr>
        <w:top w:val="none" w:sz="0" w:space="0" w:color="auto"/>
        <w:left w:val="none" w:sz="0" w:space="0" w:color="auto"/>
        <w:bottom w:val="none" w:sz="0" w:space="0" w:color="auto"/>
        <w:right w:val="none" w:sz="0" w:space="0" w:color="auto"/>
      </w:divBdr>
      <w:divsChild>
        <w:div w:id="382221636">
          <w:marLeft w:val="0"/>
          <w:marRight w:val="0"/>
          <w:marTop w:val="0"/>
          <w:marBottom w:val="0"/>
          <w:divBdr>
            <w:top w:val="none" w:sz="0" w:space="0" w:color="auto"/>
            <w:left w:val="none" w:sz="0" w:space="0" w:color="auto"/>
            <w:bottom w:val="none" w:sz="0" w:space="0" w:color="auto"/>
            <w:right w:val="none" w:sz="0" w:space="0" w:color="auto"/>
          </w:divBdr>
          <w:divsChild>
            <w:div w:id="192598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5477</Words>
  <Characters>31219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6</cp:revision>
  <dcterms:created xsi:type="dcterms:W3CDTF">2020-10-02T06:35:00Z</dcterms:created>
  <dcterms:modified xsi:type="dcterms:W3CDTF">2020-10-02T08:55:00Z</dcterms:modified>
</cp:coreProperties>
</file>