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Telegram-канал ДПС України – про податки і не тільки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Державна податкова служба України запустила свій </w:t>
      </w:r>
      <w:r w:rsidRPr="006846D6">
        <w:rPr>
          <w:rFonts w:ascii="Times New Roman" w:eastAsia="Times New Roman" w:hAnsi="Times New Roman" w:cs="Times New Roman"/>
          <w:b/>
          <w:bCs/>
          <w:sz w:val="20"/>
          <w:szCs w:val="20"/>
          <w:lang w:val="uk-UA" w:eastAsia="ru-RU"/>
        </w:rPr>
        <w:t>Telegram-канал</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Про податки і не тільки – відтепер у більш зручному та мобільному форматі.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Що ж цікавого запропоновано?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Це – ексклюзивні матеріали, </w:t>
      </w:r>
      <w:proofErr w:type="spellStart"/>
      <w:r w:rsidRPr="007A183B">
        <w:rPr>
          <w:rFonts w:ascii="Times New Roman" w:eastAsia="Times New Roman" w:hAnsi="Times New Roman" w:cs="Times New Roman"/>
          <w:sz w:val="20"/>
          <w:szCs w:val="20"/>
          <w:lang w:val="uk-UA" w:eastAsia="ru-RU"/>
        </w:rPr>
        <w:t>інфографіки</w:t>
      </w:r>
      <w:proofErr w:type="spellEnd"/>
      <w:r w:rsidRPr="007A183B">
        <w:rPr>
          <w:rFonts w:ascii="Times New Roman" w:eastAsia="Times New Roman" w:hAnsi="Times New Roman" w:cs="Times New Roman"/>
          <w:sz w:val="20"/>
          <w:szCs w:val="20"/>
          <w:lang w:val="uk-UA" w:eastAsia="ru-RU"/>
        </w:rPr>
        <w:t xml:space="preserve">, все про сервіси податкової, анонси, роз’яснення та коментарі фахівців.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Підписуйтеся на </w:t>
      </w:r>
      <w:r w:rsidRPr="006846D6">
        <w:rPr>
          <w:rFonts w:ascii="Times New Roman" w:eastAsia="Times New Roman" w:hAnsi="Times New Roman" w:cs="Times New Roman"/>
          <w:b/>
          <w:bCs/>
          <w:sz w:val="20"/>
          <w:szCs w:val="20"/>
          <w:lang w:val="uk-UA" w:eastAsia="ru-RU"/>
        </w:rPr>
        <w:t>Telegram-канал</w:t>
      </w:r>
      <w:r w:rsidRPr="007A183B">
        <w:rPr>
          <w:rFonts w:ascii="Times New Roman" w:eastAsia="Times New Roman" w:hAnsi="Times New Roman" w:cs="Times New Roman"/>
          <w:sz w:val="20"/>
          <w:szCs w:val="20"/>
          <w:lang w:val="uk-UA" w:eastAsia="ru-RU"/>
        </w:rPr>
        <w:t xml:space="preserve"> Державної податкової служби України </w:t>
      </w:r>
      <w:hyperlink r:id="rId4" w:history="1">
        <w:r w:rsidRPr="006846D6">
          <w:rPr>
            <w:rFonts w:ascii="Times New Roman" w:eastAsia="Times New Roman" w:hAnsi="Times New Roman" w:cs="Times New Roman"/>
            <w:color w:val="0000FF"/>
            <w:sz w:val="20"/>
            <w:szCs w:val="20"/>
            <w:u w:val="single"/>
            <w:lang w:val="uk-UA" w:eastAsia="ru-RU"/>
          </w:rPr>
          <w:t>https://t.me/tax_gov_ua</w:t>
        </w:r>
      </w:hyperlink>
      <w:r w:rsidRPr="007A183B">
        <w:rPr>
          <w:rFonts w:ascii="Times New Roman" w:eastAsia="Times New Roman" w:hAnsi="Times New Roman" w:cs="Times New Roman"/>
          <w:sz w:val="20"/>
          <w:szCs w:val="20"/>
          <w:lang w:val="uk-UA" w:eastAsia="ru-RU"/>
        </w:rPr>
        <w:t xml:space="preserve"> </w:t>
      </w:r>
    </w:p>
    <w:p w:rsidR="009D4B03" w:rsidRPr="006846D6" w:rsidRDefault="009D4B03" w:rsidP="009D4B03">
      <w:pPr>
        <w:jc w:val="left"/>
        <w:outlineLvl w:val="0"/>
        <w:rPr>
          <w:rFonts w:ascii="Times New Roman" w:eastAsia="Times New Roman" w:hAnsi="Times New Roman" w:cs="Times New Roman"/>
          <w:b/>
          <w:bCs/>
          <w:kern w:val="36"/>
          <w:sz w:val="20"/>
          <w:szCs w:val="20"/>
          <w:lang w:val="uk-UA" w:eastAsia="ru-RU"/>
        </w:rPr>
      </w:pPr>
    </w:p>
    <w:p w:rsidR="0028701C" w:rsidRPr="006846D6" w:rsidRDefault="0028701C" w:rsidP="009D4B03">
      <w:pPr>
        <w:jc w:val="left"/>
        <w:outlineLvl w:val="0"/>
        <w:rPr>
          <w:rFonts w:ascii="Times New Roman" w:eastAsia="Times New Roman" w:hAnsi="Times New Roman" w:cs="Times New Roman"/>
          <w:b/>
          <w:bCs/>
          <w:kern w:val="36"/>
          <w:sz w:val="20"/>
          <w:szCs w:val="20"/>
          <w:lang w:val="uk-UA" w:eastAsia="ru-RU"/>
        </w:rPr>
      </w:pPr>
      <w:r w:rsidRPr="006846D6">
        <w:rPr>
          <w:rFonts w:ascii="Times New Roman" w:eastAsia="Times New Roman" w:hAnsi="Times New Roman" w:cs="Times New Roman"/>
          <w:b/>
          <w:bCs/>
          <w:kern w:val="36"/>
          <w:sz w:val="20"/>
          <w:szCs w:val="20"/>
          <w:lang w:val="uk-UA" w:eastAsia="ru-RU"/>
        </w:rPr>
        <w:t xml:space="preserve">Скасування державної реєстрації припинення юридичної особи: чи повідомляти контролюючий орган? </w:t>
      </w:r>
    </w:p>
    <w:p w:rsidR="0028701C" w:rsidRPr="006846D6" w:rsidRDefault="0028701C"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Нагадуємо, що в Єдиному державному реєстрі юридичних осіб, фізичних осіб – підприємців та громадських формувань (далі – ЄДР) містяться, зокрема, дані про скасування рішення засновників (учасників) або уповноваженого ними органу щодо припинення юридичної особи. </w:t>
      </w:r>
    </w:p>
    <w:p w:rsidR="0028701C" w:rsidRPr="006846D6" w:rsidRDefault="0028701C"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Норми встановлені ст. 9 Закону України від 15 травня 2003 року № 755-IV «Про державну реєстрацію юридичних осіб, фізичних осіб – підприємців та громадських формувань» із змінами і доповненнями (далі – Закон № 755). </w:t>
      </w:r>
    </w:p>
    <w:p w:rsidR="0028701C" w:rsidRPr="006846D6" w:rsidRDefault="0028701C"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Інформаційна взаємодія між ЄДР та інформаційними системами державних органів у випадках, визначених ст. 13 Закону № 755, здійснюється інформаційно-телекомунікаційними засобами в електронній формі у порядку, визначеному Міністерством юстиції України спільно з відповідними державними органами (п. 1 ст. 13 Закону № 755). </w:t>
      </w:r>
    </w:p>
    <w:p w:rsidR="0028701C" w:rsidRPr="006846D6" w:rsidRDefault="0028701C"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Технічний адміністратор ЄДР в день проведення реєстраційної дії забезпечує передачу до інформаційних систем центрального органу виконавчої влади, що реалізує єдину державну податкову політику та державну політику з адміністрування єдиного внеску на загальнообов’язкове державне соціальне страхування, – відомостей про проведення такої реєстраційної дії (п. 2 ст. 13 Закону № 755). </w:t>
      </w:r>
    </w:p>
    <w:p w:rsidR="0028701C" w:rsidRPr="006846D6" w:rsidRDefault="0028701C"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Згідно з п. 3 ст. 13 Закону № 755 та п. 3.2 розділу ІІІ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підставою для взяття на облік за основним місцем обліку у контролюючому органі є надходження відомостей з ЄДР про скасування державної реєстрації припинення юридичної особи. </w:t>
      </w:r>
    </w:p>
    <w:p w:rsidR="0028701C" w:rsidRPr="006846D6" w:rsidRDefault="0028701C"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Взяття на облік юридичних осіб та їх відокремлених підрозділів, відомості щодо яких містяться в Єдиному державному реєстрі, як платників податків і зборів у контролюючих органах підтверджується випискою з ЄДР, яка надсилається (видається) цим юридичним особам та відокремленим підрозділам юридичних осіб у порядку, встановленому Законом № 755 (п. 3.8 розділу ІІІ Порядку № 1588). </w:t>
      </w:r>
    </w:p>
    <w:p w:rsidR="007C4269" w:rsidRPr="006846D6" w:rsidRDefault="007C4269" w:rsidP="009D4B03">
      <w:pPr>
        <w:rPr>
          <w:rFonts w:ascii="Times New Roman" w:hAnsi="Times New Roman" w:cs="Times New Roman"/>
          <w:sz w:val="20"/>
          <w:szCs w:val="20"/>
          <w:lang w:val="uk-UA"/>
        </w:rPr>
      </w:pPr>
    </w:p>
    <w:p w:rsidR="007C4269" w:rsidRPr="007A183B" w:rsidRDefault="007C4269" w:rsidP="007C4269">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Розпочато процедуру ліквідації Головного управління ДПС у Дніпропетровській області </w:t>
      </w:r>
    </w:p>
    <w:p w:rsidR="007C4269" w:rsidRPr="007A183B" w:rsidRDefault="007C4269" w:rsidP="007C4269">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19 жовтня 2020 року до Єдиного державного реєстру юридичних осіб, фізичних осіб-підприємців та громадських формувань внесено запис щодо державної реєстрації рішення про припинення Головного управління  ДПС у Дніпропетровській області, як юридичної особи публічного права. </w:t>
      </w:r>
    </w:p>
    <w:p w:rsidR="007C4269" w:rsidRPr="006846D6" w:rsidRDefault="007C4269" w:rsidP="007C4269">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Відповідно до постанови Кабінету Міністрів України від 30.09.2020 №893 «Про деякі питання територіальних органів ДПС», наказу ДПС України від 08.10.2020 №556 «Про ліквідацію територіальних органів ДПС» строк </w:t>
      </w:r>
      <w:proofErr w:type="spellStart"/>
      <w:r w:rsidRPr="007A183B">
        <w:rPr>
          <w:rFonts w:ascii="Times New Roman" w:eastAsia="Times New Roman" w:hAnsi="Times New Roman" w:cs="Times New Roman"/>
          <w:sz w:val="20"/>
          <w:szCs w:val="20"/>
          <w:lang w:val="uk-UA" w:eastAsia="ru-RU"/>
        </w:rPr>
        <w:t>заявлення</w:t>
      </w:r>
      <w:proofErr w:type="spellEnd"/>
      <w:r w:rsidRPr="007A183B">
        <w:rPr>
          <w:rFonts w:ascii="Times New Roman" w:eastAsia="Times New Roman" w:hAnsi="Times New Roman" w:cs="Times New Roman"/>
          <w:sz w:val="20"/>
          <w:szCs w:val="20"/>
          <w:lang w:val="uk-UA" w:eastAsia="ru-RU"/>
        </w:rPr>
        <w:t xml:space="preserve"> кредиторами своїх вимог до Головного управління ДПС у Дніпропетровській області становить два місяці з дня оприлюднення повідомлення про рішення щодо припинення юридичної особи. </w:t>
      </w:r>
    </w:p>
    <w:p w:rsidR="007C4269" w:rsidRPr="006846D6" w:rsidRDefault="007C4269" w:rsidP="009D4B03">
      <w:pPr>
        <w:rPr>
          <w:rFonts w:ascii="Times New Roman" w:hAnsi="Times New Roman" w:cs="Times New Roman"/>
          <w:sz w:val="20"/>
          <w:szCs w:val="20"/>
          <w:lang w:val="uk-UA"/>
        </w:rPr>
      </w:pPr>
    </w:p>
    <w:p w:rsidR="00CD3A09" w:rsidRPr="006846D6" w:rsidRDefault="00CD3A09" w:rsidP="009D4B03">
      <w:pPr>
        <w:jc w:val="left"/>
        <w:outlineLvl w:val="0"/>
        <w:rPr>
          <w:rFonts w:ascii="Times New Roman" w:eastAsia="Times New Roman" w:hAnsi="Times New Roman" w:cs="Times New Roman"/>
          <w:b/>
          <w:bCs/>
          <w:kern w:val="36"/>
          <w:sz w:val="20"/>
          <w:szCs w:val="20"/>
          <w:lang w:val="uk-UA" w:eastAsia="ru-RU"/>
        </w:rPr>
      </w:pPr>
      <w:r w:rsidRPr="006846D6">
        <w:rPr>
          <w:rFonts w:ascii="Times New Roman" w:eastAsia="Times New Roman" w:hAnsi="Times New Roman" w:cs="Times New Roman"/>
          <w:b/>
          <w:bCs/>
          <w:kern w:val="36"/>
          <w:sz w:val="20"/>
          <w:szCs w:val="20"/>
          <w:lang w:val="uk-UA" w:eastAsia="ru-RU"/>
        </w:rPr>
        <w:t xml:space="preserve">Фонд соціального страхування затримує виплату коштів: в який термін роботодавець зобов’язаний сплатити єдиний внесок? </w:t>
      </w:r>
    </w:p>
    <w:p w:rsidR="00CD3A09" w:rsidRPr="006846D6"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В</w:t>
      </w:r>
      <w:r w:rsidR="00CD3A09" w:rsidRPr="006846D6">
        <w:rPr>
          <w:rFonts w:ascii="Times New Roman" w:eastAsia="Times New Roman" w:hAnsi="Times New Roman" w:cs="Times New Roman"/>
          <w:sz w:val="20"/>
          <w:szCs w:val="20"/>
          <w:lang w:val="uk-UA" w:eastAsia="ru-RU"/>
        </w:rPr>
        <w:t xml:space="preserve">ідповідно до абзаців сьомого та десятого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 підприємства, установи, організації, фізичні особи, які використовують найману працю, військові частини та органи,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зокрема для осіб, які отримують допомогу по тимчасовій непрацездатності, перебувають у відпустці у зв’язку з вагітністю та пологами і отримують допомогу у зв’язку з вагітністю та пологами.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Пунктом 1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і доповненнями (далі – Інструкція № 449), передбачено, що єдиний внесок нараховується на суми, що визначені базою для нарахування єдиного внеску, незалежно від джерел їх фінансування, форми, порядку, місця виплати та використання, а також від того, чи виплачені такі суми фактично після їх нарахування до сплати.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Згідно з </w:t>
      </w:r>
      <w:proofErr w:type="spellStart"/>
      <w:r w:rsidRPr="006846D6">
        <w:rPr>
          <w:rFonts w:ascii="Times New Roman" w:eastAsia="Times New Roman" w:hAnsi="Times New Roman" w:cs="Times New Roman"/>
          <w:sz w:val="20"/>
          <w:szCs w:val="20"/>
          <w:lang w:val="uk-UA" w:eastAsia="ru-RU"/>
        </w:rPr>
        <w:t>п.п</w:t>
      </w:r>
      <w:proofErr w:type="spellEnd"/>
      <w:r w:rsidRPr="006846D6">
        <w:rPr>
          <w:rFonts w:ascii="Times New Roman" w:eastAsia="Times New Roman" w:hAnsi="Times New Roman" w:cs="Times New Roman"/>
          <w:sz w:val="20"/>
          <w:szCs w:val="20"/>
          <w:lang w:val="uk-UA" w:eastAsia="ru-RU"/>
        </w:rPr>
        <w:t xml:space="preserve">. 4 п. 2 розділу IV Інструкції № 449 єдиний внесок підлягає сплаті незалежно від фінансового стану платника.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Обчислення єдиного внеску платниками, зазначеними у підпунктах 1 та 2 Інструкції № 449, зокрема підприємствами, установами, організаціями, фізичними особами, які використовують найману працю, військовими частинами та органами,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особам, які отримують допомогу по тимчасовій непрацездатності, перебувають у відпустці у зв’язку з вагітністю та пологами та отримують допомогу у зв’язку з вагітністю та пологами, здійснюється щомісяця на підставі бухгалтерських та інших документів, відповідно до яких провадиться нарахування (обчислення) або які підтверджують нарахування (обчислення) виплат (доходу), на які нараховується єдиний внесок (</w:t>
      </w:r>
      <w:proofErr w:type="spellStart"/>
      <w:r w:rsidRPr="006846D6">
        <w:rPr>
          <w:rFonts w:ascii="Times New Roman" w:eastAsia="Times New Roman" w:hAnsi="Times New Roman" w:cs="Times New Roman"/>
          <w:sz w:val="20"/>
          <w:szCs w:val="20"/>
          <w:lang w:val="uk-UA" w:eastAsia="ru-RU"/>
        </w:rPr>
        <w:t>п.п</w:t>
      </w:r>
      <w:proofErr w:type="spellEnd"/>
      <w:r w:rsidRPr="006846D6">
        <w:rPr>
          <w:rFonts w:ascii="Times New Roman" w:eastAsia="Times New Roman" w:hAnsi="Times New Roman" w:cs="Times New Roman"/>
          <w:sz w:val="20"/>
          <w:szCs w:val="20"/>
          <w:lang w:val="uk-UA" w:eastAsia="ru-RU"/>
        </w:rPr>
        <w:t xml:space="preserve">. 1 п. 3 розділу IV Інструкції № 449).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Нараховані за відповідний календарний місяць суми єдиного внеску сплачуються платниками не пізніше 20 числа наступного місяця, </w:t>
      </w:r>
      <w:r w:rsidRPr="006846D6">
        <w:rPr>
          <w:rFonts w:ascii="Times New Roman" w:eastAsia="Times New Roman" w:hAnsi="Times New Roman" w:cs="Times New Roman"/>
          <w:i/>
          <w:iCs/>
          <w:sz w:val="20"/>
          <w:szCs w:val="20"/>
          <w:lang w:val="uk-UA" w:eastAsia="ru-RU"/>
        </w:rPr>
        <w:t>крім гірничих підприємств, які зобов’язані сплачувати єдиний внесок, нарахований за календарний місяць, не пізніше 28 числа наступного місяця</w:t>
      </w:r>
      <w:r w:rsidRPr="006846D6">
        <w:rPr>
          <w:rFonts w:ascii="Times New Roman" w:eastAsia="Times New Roman" w:hAnsi="Times New Roman" w:cs="Times New Roman"/>
          <w:sz w:val="20"/>
          <w:szCs w:val="20"/>
          <w:lang w:val="uk-UA" w:eastAsia="ru-RU"/>
        </w:rPr>
        <w:t>, незалежно від виплати заробітної плати та інших видів виплат, на суми яких нараховується єдиний внесок (</w:t>
      </w:r>
      <w:proofErr w:type="spellStart"/>
      <w:r w:rsidRPr="006846D6">
        <w:rPr>
          <w:rFonts w:ascii="Times New Roman" w:eastAsia="Times New Roman" w:hAnsi="Times New Roman" w:cs="Times New Roman"/>
          <w:sz w:val="20"/>
          <w:szCs w:val="20"/>
          <w:lang w:val="uk-UA" w:eastAsia="ru-RU"/>
        </w:rPr>
        <w:t>п.п</w:t>
      </w:r>
      <w:proofErr w:type="spellEnd"/>
      <w:r w:rsidRPr="006846D6">
        <w:rPr>
          <w:rFonts w:ascii="Times New Roman" w:eastAsia="Times New Roman" w:hAnsi="Times New Roman" w:cs="Times New Roman"/>
          <w:sz w:val="20"/>
          <w:szCs w:val="20"/>
          <w:lang w:val="uk-UA" w:eastAsia="ru-RU"/>
        </w:rPr>
        <w:t xml:space="preserve">. 6 п. 3 розділу IV Інструкції № 449).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lastRenderedPageBreak/>
        <w:t xml:space="preserve">У разі якщо останній день строків сплати єдиного внеску, зазначених у Інструкції № 449, припадає на вихідний або святковий день, останнім днем таких строків сплати єдиного внеску вважається перший робочий день, що настає за вихідним або святковим днем (п. 12 розділу IV Інструкції № 449).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Враховуючи зазначене вище, роботодавець зобов’язаний сплатити єдиний внесок з нарахованої за відповідний календарний місяць суми допомоги по тимчасовій непрацездатності та допомоги у зв’язку з вагітністю та пологами не пізніше 20 числа наступного місяця, </w:t>
      </w:r>
      <w:r w:rsidRPr="006846D6">
        <w:rPr>
          <w:rFonts w:ascii="Times New Roman" w:eastAsia="Times New Roman" w:hAnsi="Times New Roman" w:cs="Times New Roman"/>
          <w:i/>
          <w:iCs/>
          <w:sz w:val="20"/>
          <w:szCs w:val="20"/>
          <w:lang w:val="uk-UA" w:eastAsia="ru-RU"/>
        </w:rPr>
        <w:t>крім гірничих підприємств, які зобов’язані сплачувати єдиний внесок, нарахований за календарний місяць, не пізніше 28 числа наступного місяця,</w:t>
      </w:r>
      <w:r w:rsidRPr="006846D6">
        <w:rPr>
          <w:rFonts w:ascii="Times New Roman" w:eastAsia="Times New Roman" w:hAnsi="Times New Roman" w:cs="Times New Roman"/>
          <w:sz w:val="20"/>
          <w:szCs w:val="20"/>
          <w:lang w:val="uk-UA" w:eastAsia="ru-RU"/>
        </w:rPr>
        <w:t xml:space="preserve"> незалежно від джерел їх фінансування, форми, порядку, місця виплати та використання, а також від того, чи виплачені такі суми фактично після їх нарахування. </w:t>
      </w:r>
    </w:p>
    <w:p w:rsidR="009D4B03" w:rsidRPr="006846D6" w:rsidRDefault="009D4B03" w:rsidP="009D4B03">
      <w:pPr>
        <w:rPr>
          <w:rFonts w:ascii="Times New Roman" w:eastAsia="Times New Roman" w:hAnsi="Times New Roman" w:cs="Times New Roman"/>
          <w:sz w:val="20"/>
          <w:szCs w:val="20"/>
          <w:lang w:val="uk-UA" w:eastAsia="ru-RU"/>
        </w:rPr>
      </w:pPr>
    </w:p>
    <w:p w:rsidR="00CD3A09" w:rsidRPr="006846D6" w:rsidRDefault="00CD3A09" w:rsidP="009D4B03">
      <w:pPr>
        <w:jc w:val="left"/>
        <w:outlineLvl w:val="0"/>
        <w:rPr>
          <w:rFonts w:ascii="Times New Roman" w:eastAsia="Times New Roman" w:hAnsi="Times New Roman" w:cs="Times New Roman"/>
          <w:b/>
          <w:bCs/>
          <w:kern w:val="36"/>
          <w:sz w:val="20"/>
          <w:szCs w:val="20"/>
          <w:lang w:val="uk-UA" w:eastAsia="ru-RU"/>
        </w:rPr>
      </w:pPr>
      <w:r w:rsidRPr="006846D6">
        <w:rPr>
          <w:rFonts w:ascii="Times New Roman" w:eastAsia="Times New Roman" w:hAnsi="Times New Roman" w:cs="Times New Roman"/>
          <w:b/>
          <w:bCs/>
          <w:kern w:val="36"/>
          <w:sz w:val="20"/>
          <w:szCs w:val="20"/>
          <w:lang w:val="uk-UA" w:eastAsia="ru-RU"/>
        </w:rPr>
        <w:t xml:space="preserve">Актуальні питання щодо стягнення податкового боргу та заборгованості з єдиного внеску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В інформаційному агентстві «</w:t>
      </w:r>
      <w:proofErr w:type="spellStart"/>
      <w:r w:rsidRPr="006846D6">
        <w:rPr>
          <w:rFonts w:ascii="Times New Roman" w:eastAsia="Times New Roman" w:hAnsi="Times New Roman" w:cs="Times New Roman"/>
          <w:sz w:val="20"/>
          <w:szCs w:val="20"/>
          <w:lang w:val="uk-UA" w:eastAsia="ru-RU"/>
        </w:rPr>
        <w:t>Мост-Днепр</w:t>
      </w:r>
      <w:proofErr w:type="spellEnd"/>
      <w:r w:rsidRPr="006846D6">
        <w:rPr>
          <w:rFonts w:ascii="Times New Roman" w:eastAsia="Times New Roman" w:hAnsi="Times New Roman" w:cs="Times New Roman"/>
          <w:sz w:val="20"/>
          <w:szCs w:val="20"/>
          <w:lang w:val="uk-UA" w:eastAsia="ru-RU"/>
        </w:rPr>
        <w:t xml:space="preserve">» 15 жовтня 2020 року відбулась </w:t>
      </w:r>
      <w:proofErr w:type="spellStart"/>
      <w:r w:rsidRPr="006846D6">
        <w:rPr>
          <w:rFonts w:ascii="Times New Roman" w:eastAsia="Times New Roman" w:hAnsi="Times New Roman" w:cs="Times New Roman"/>
          <w:sz w:val="20"/>
          <w:szCs w:val="20"/>
          <w:lang w:val="uk-UA" w:eastAsia="ru-RU"/>
        </w:rPr>
        <w:t>пресконференція</w:t>
      </w:r>
      <w:proofErr w:type="spellEnd"/>
      <w:r w:rsidRPr="006846D6">
        <w:rPr>
          <w:rFonts w:ascii="Times New Roman" w:eastAsia="Times New Roman" w:hAnsi="Times New Roman" w:cs="Times New Roman"/>
          <w:sz w:val="20"/>
          <w:szCs w:val="20"/>
          <w:lang w:val="uk-UA" w:eastAsia="ru-RU"/>
        </w:rPr>
        <w:t xml:space="preserve"> на тему «Актуальні питання щодо стягнення податкового боргу та заборгованості з ЄСВ».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У </w:t>
      </w:r>
      <w:proofErr w:type="spellStart"/>
      <w:r w:rsidRPr="006846D6">
        <w:rPr>
          <w:rFonts w:ascii="Times New Roman" w:eastAsia="Times New Roman" w:hAnsi="Times New Roman" w:cs="Times New Roman"/>
          <w:sz w:val="20"/>
          <w:szCs w:val="20"/>
          <w:lang w:val="uk-UA" w:eastAsia="ru-RU"/>
        </w:rPr>
        <w:t>пресконференції</w:t>
      </w:r>
      <w:proofErr w:type="spellEnd"/>
      <w:r w:rsidRPr="006846D6">
        <w:rPr>
          <w:rFonts w:ascii="Times New Roman" w:eastAsia="Times New Roman" w:hAnsi="Times New Roman" w:cs="Times New Roman"/>
          <w:sz w:val="20"/>
          <w:szCs w:val="20"/>
          <w:lang w:val="uk-UA" w:eastAsia="ru-RU"/>
        </w:rPr>
        <w:t xml:space="preserve"> прийняв участь заступник начальника управління – начальник відділу організації стягнення боргу та роботи з безхазяйним майном управління по роботі з податковим боргом Головного управління ДПС у Дніпропетровській області Артем </w:t>
      </w:r>
      <w:proofErr w:type="spellStart"/>
      <w:r w:rsidRPr="006846D6">
        <w:rPr>
          <w:rFonts w:ascii="Times New Roman" w:eastAsia="Times New Roman" w:hAnsi="Times New Roman" w:cs="Times New Roman"/>
          <w:sz w:val="20"/>
          <w:szCs w:val="20"/>
          <w:lang w:val="uk-UA" w:eastAsia="ru-RU"/>
        </w:rPr>
        <w:t>Прихорчук</w:t>
      </w:r>
      <w:proofErr w:type="spellEnd"/>
      <w:r w:rsidRPr="006846D6">
        <w:rPr>
          <w:rFonts w:ascii="Times New Roman" w:eastAsia="Times New Roman" w:hAnsi="Times New Roman" w:cs="Times New Roman"/>
          <w:sz w:val="20"/>
          <w:szCs w:val="20"/>
          <w:lang w:val="uk-UA" w:eastAsia="ru-RU"/>
        </w:rPr>
        <w:t xml:space="preserve">.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Він розповів яким чином платник податків може отримати довідку про відсутність заборгованості зі сплати податків.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«Для отримання Довідки про відсутність заборгованості з платежів, платнику необхідно подати заяву про надання такої довідки за встановленою формою згідно з додатком 2 до Порядку надання довідки про відсутність заборгованості з платежів, затвердженого наказом Міністерства фінансів України від 03.09.2018 № 733.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У заяві обов’язково вказується, відповідно до якого нормативно-правового акта довідка видається, а саме – назва нормативно-правового акта, його номер та дата прийняття. Заява подається на вибір платника: у паперовій формі – до органу Державної податкової служби за основним місцем обліку такого платника; в електронній формі – на адресу органу Державної податкової служби за основним місцем обліку через приватну частину Електронного кабінету, з дотриманням вимог законодавства. Довідка надається за вибором платника у паперовій або електронній формі, про що він зазначає у заяві, упродовж 5 робочих днів», – зазначив Артем </w:t>
      </w:r>
      <w:proofErr w:type="spellStart"/>
      <w:r w:rsidRPr="006846D6">
        <w:rPr>
          <w:rFonts w:ascii="Times New Roman" w:eastAsia="Times New Roman" w:hAnsi="Times New Roman" w:cs="Times New Roman"/>
          <w:sz w:val="20"/>
          <w:szCs w:val="20"/>
          <w:lang w:val="uk-UA" w:eastAsia="ru-RU"/>
        </w:rPr>
        <w:t>Прихорчук</w:t>
      </w:r>
      <w:proofErr w:type="spellEnd"/>
      <w:r w:rsidRPr="006846D6">
        <w:rPr>
          <w:rFonts w:ascii="Times New Roman" w:eastAsia="Times New Roman" w:hAnsi="Times New Roman" w:cs="Times New Roman"/>
          <w:sz w:val="20"/>
          <w:szCs w:val="20"/>
          <w:lang w:val="uk-UA" w:eastAsia="ru-RU"/>
        </w:rPr>
        <w:t xml:space="preserve">.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Податківець зупинився на питаннях щодо відповідальності, що передбачені до суб’єктів господарювання, якщо вони своєчасно не сплачують розстрочені суми податкового боргу та при відчуженні майна, яке перебуває у податковій заставі, без згоди контролюючого органу.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Також, він акцентував увагу на заходах примусового стягнення, які застосовуються до платників за несплату єдиного внеску на загальнообов’язкове державне соціальне страхування (далі – єдиний внесок).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w:t>
      </w:r>
      <w:r w:rsidRPr="006846D6">
        <w:rPr>
          <w:rFonts w:ascii="Times New Roman" w:eastAsia="Times New Roman" w:hAnsi="Times New Roman" w:cs="Times New Roman"/>
          <w:sz w:val="20"/>
          <w:szCs w:val="20"/>
          <w:lang w:val="uk-UA" w:eastAsia="ru-RU"/>
        </w:rPr>
        <w:t xml:space="preserve">Порядок стягнення заборгованості з платників визначає Закон України від 08.07.2010 № 2464-VI «Про збір та облік єдиного внеску на загальнообов’язкове державне соціальне страхування» із змінами та Інструкція про порядок нарахування і сплати єдиного внеску на загальнообов’язкове державне соціальне страхування, затверджена наказом Міністерства фінансів України від 20.04.2015 № 449 (у редакції наказу Міністерства фінансів України від 04.05.2018 № 469) із змінами. Відповідно до зазначених документів,  податковий орган у порядку, за формою та у строки, встановлені центральним органом виконавчої влади, що забезпечує формування та реалізує державну фінансову політику, надсилає платникам єдиного внеску, які мають недоїмку, вимогу про її сплату. Вимога про сплату недоїмки є виконавчим документом та підлягає примусовому виконанню.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Так, у разі якщо платник єдиного внеску протягом десяти календарних днів з дня надходження вимоги не сплатив зазначені у вимозі суми недоїмки та штрафів разом з нарахованою пенею, не узгодив вимогу з податковим органом шляхом оскарження в адміністративному чи судовому порядку або не сплатив узгоджену суму недоїмки протягом десяти календарних днів з дня отримання узгодженої вимоги, податковий орган надсилає в порядку, встановленому законом, до підрозділу державної виконавчої служби узгоджену вимогу про сплату недоїмки. </w:t>
      </w:r>
    </w:p>
    <w:p w:rsidR="00CD3A09" w:rsidRPr="006846D6" w:rsidRDefault="00CD3A0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 xml:space="preserve">Окрім цього, суми недоїмки стягуються з нарахуванням пені та застосуванням штрафів. До того ж, передбачено право на звернення до суду з позовом про стягнення недоїмки», – підсумував Артем </w:t>
      </w:r>
      <w:proofErr w:type="spellStart"/>
      <w:r w:rsidRPr="006846D6">
        <w:rPr>
          <w:rFonts w:ascii="Times New Roman" w:eastAsia="Times New Roman" w:hAnsi="Times New Roman" w:cs="Times New Roman"/>
          <w:sz w:val="20"/>
          <w:szCs w:val="20"/>
          <w:lang w:val="uk-UA" w:eastAsia="ru-RU"/>
        </w:rPr>
        <w:t>Прихорчук</w:t>
      </w:r>
      <w:proofErr w:type="spellEnd"/>
      <w:r w:rsidRPr="006846D6">
        <w:rPr>
          <w:rFonts w:ascii="Times New Roman" w:eastAsia="Times New Roman" w:hAnsi="Times New Roman" w:cs="Times New Roman"/>
          <w:sz w:val="20"/>
          <w:szCs w:val="20"/>
          <w:lang w:val="uk-UA" w:eastAsia="ru-RU"/>
        </w:rPr>
        <w:t xml:space="preserve">. </w:t>
      </w:r>
    </w:p>
    <w:p w:rsidR="009D4B03" w:rsidRPr="006846D6"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Центрами обслуговування платників Дніпропетровщини надано майже 210 тис. адміністративних послуг за </w:t>
      </w:r>
      <w:proofErr w:type="spellStart"/>
      <w:r w:rsidRPr="007A183B">
        <w:rPr>
          <w:rFonts w:ascii="Times New Roman" w:eastAsia="Times New Roman" w:hAnsi="Times New Roman" w:cs="Times New Roman"/>
          <w:b/>
          <w:bCs/>
          <w:kern w:val="36"/>
          <w:sz w:val="20"/>
          <w:szCs w:val="20"/>
          <w:lang w:val="uk-UA" w:eastAsia="ru-RU"/>
        </w:rPr>
        <w:t>дев′ять</w:t>
      </w:r>
      <w:proofErr w:type="spellEnd"/>
      <w:r w:rsidRPr="007A183B">
        <w:rPr>
          <w:rFonts w:ascii="Times New Roman" w:eastAsia="Times New Roman" w:hAnsi="Times New Roman" w:cs="Times New Roman"/>
          <w:b/>
          <w:bCs/>
          <w:kern w:val="36"/>
          <w:sz w:val="20"/>
          <w:szCs w:val="20"/>
          <w:lang w:val="uk-UA" w:eastAsia="ru-RU"/>
        </w:rPr>
        <w:t xml:space="preserve"> місяців поточного року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При державних податкових інспекціях Головного управління ДПС у Дніпропетровській області функціонують 37 Центрів обслуговування платників (ЦОП), де платники податків можуть отримати широкий спектр послуг: інформаційних, консультативних та адміністративних.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Центрами забезпечується надання 31 виду адміністративних послуг.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w:t>
      </w:r>
      <w:proofErr w:type="spellStart"/>
      <w:r w:rsidRPr="007A183B">
        <w:rPr>
          <w:rFonts w:ascii="Times New Roman" w:eastAsia="Times New Roman" w:hAnsi="Times New Roman" w:cs="Times New Roman"/>
          <w:sz w:val="20"/>
          <w:szCs w:val="20"/>
          <w:lang w:val="uk-UA" w:eastAsia="ru-RU"/>
        </w:rPr>
        <w:t>субсайті</w:t>
      </w:r>
      <w:proofErr w:type="spellEnd"/>
      <w:r w:rsidRPr="007A183B">
        <w:rPr>
          <w:rFonts w:ascii="Times New Roman" w:eastAsia="Times New Roman" w:hAnsi="Times New Roman" w:cs="Times New Roman"/>
          <w:sz w:val="20"/>
          <w:szCs w:val="20"/>
          <w:lang w:val="uk-UA" w:eastAsia="ru-RU"/>
        </w:rPr>
        <w:t xml:space="preserve"> «Територіальні органи ДПС у Дніпропетровській області» у розділі «Адміністративні послуги».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Загалом у січні – вересні 2020 року працівниками ЦОП опрацьовано 215,2 тис. звернень у сфері надання адміністративних та інших послуг, з яких 209,8 тис. – надано адміністративні послуги.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зв’язку із прийняттям постанови Кабінету Міністрів України від 20 травня 2020 року №392 «Про встановлення карантину з метою запобігання поширенню на території України гострої респіраторної хвороби COVID-19, спричиненої </w:t>
      </w:r>
      <w:proofErr w:type="spellStart"/>
      <w:r w:rsidRPr="007A183B">
        <w:rPr>
          <w:rFonts w:ascii="Times New Roman" w:eastAsia="Times New Roman" w:hAnsi="Times New Roman" w:cs="Times New Roman"/>
          <w:sz w:val="20"/>
          <w:szCs w:val="20"/>
          <w:lang w:val="uk-UA" w:eastAsia="ru-RU"/>
        </w:rPr>
        <w:t>коронавірусном</w:t>
      </w:r>
      <w:proofErr w:type="spellEnd"/>
      <w:r w:rsidRPr="007A183B">
        <w:rPr>
          <w:rFonts w:ascii="Times New Roman" w:eastAsia="Times New Roman" w:hAnsi="Times New Roman" w:cs="Times New Roman"/>
          <w:sz w:val="20"/>
          <w:szCs w:val="20"/>
          <w:lang w:val="uk-UA" w:eastAsia="ru-RU"/>
        </w:rPr>
        <w:t xml:space="preserve"> SARS-Co-V-2, та етапів послаблення протиепідемічних заходів», прийом платників здійснюється за попереднім записом. Для листування та подання звітності платниками, що не мають змоги використовувати електронні сервіси, в будівлях ЦОП розміщені поштові скриньки з метою обмеження особистого спілкування працівників ЦОП з платниками податків.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Також, ви можете переглянути </w:t>
      </w:r>
      <w:proofErr w:type="spellStart"/>
      <w:r w:rsidRPr="007A183B">
        <w:rPr>
          <w:rFonts w:ascii="Times New Roman" w:eastAsia="Times New Roman" w:hAnsi="Times New Roman" w:cs="Times New Roman"/>
          <w:sz w:val="20"/>
          <w:szCs w:val="20"/>
          <w:lang w:val="uk-UA" w:eastAsia="ru-RU"/>
        </w:rPr>
        <w:t>відеоуроки</w:t>
      </w:r>
      <w:proofErr w:type="spellEnd"/>
      <w:r w:rsidRPr="007A183B">
        <w:rPr>
          <w:rFonts w:ascii="Times New Roman" w:eastAsia="Times New Roman" w:hAnsi="Times New Roman" w:cs="Times New Roman"/>
          <w:sz w:val="20"/>
          <w:szCs w:val="20"/>
          <w:lang w:val="uk-UA" w:eastAsia="ru-RU"/>
        </w:rPr>
        <w:t xml:space="preserve">, які оприлюднені на порталі ДПС України з роз’ясненнями як користуватися електронними сервісами ДПС за посиланням </w:t>
      </w:r>
      <w:hyperlink r:id="rId5" w:history="1">
        <w:r w:rsidRPr="006846D6">
          <w:rPr>
            <w:rFonts w:ascii="Times New Roman" w:eastAsia="Times New Roman" w:hAnsi="Times New Roman" w:cs="Times New Roman"/>
            <w:color w:val="0000FF"/>
            <w:sz w:val="20"/>
            <w:szCs w:val="20"/>
            <w:u w:val="single"/>
            <w:lang w:val="uk-UA" w:eastAsia="ru-RU"/>
          </w:rPr>
          <w:t>https://www.tax.gov.ua/media-tsentr/videogalereya/videouroki/</w:t>
        </w:r>
      </w:hyperlink>
      <w:r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Про стан проведення деклараційної кампанії 2020 року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 xml:space="preserve">За підсумками деклараційної кампанії 2020 року станом на 01.10.2020 громадянами та особами, які провадять незалежну професійну діяльність Дніпропетровської області, за 2019 рік подано 42 581 податкова декларація про майновий стан і доходи (далі – декларація).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Загальна сума задекларованих доходів становить 5 178,2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що на   705,8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(або на 15,8 %) більше ніж за аналогічний період минулого року.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Загальна сума податку на доходи фізичних осіб (далі – ПДФО), визначена фізичними особами до сплати в бюджет, становить 178,8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що на 75,6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(або на 73,3 %) більше ніж у минулому році. Сума військового збору, яка визначена до сплати в бюджет, становить 26,3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що на 12,4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(або на 88,5 %) більше ніж у минулому році.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Дохід, отриманий у вигляді спадщини/дарування, задекларували 2 789 громадян. Загальна сума отриманого ними доходу складає майже 549,2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гривень.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Дохід від продажу (обміну) рухомого та/або нерухомого майна задекларували 1 833 громадян. Загальна сума такого доходу складає 488,0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гривень.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Також 214 громадян задекларували іноземні доходи. Загальна сума отриманого ними доходу складає 764,5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гривень.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Інші доходи задекларували 22 573 громадян. Загальна сума отриманого доходу ними складає 1 198,3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гривень.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Дохід понад 1,0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задекларували 346 громадян, це на 53 особи (або на 18,1 %) більше ніж у минулому році. Загальна сума задекларованого ними оподатковуваного доходу складає 3 176,2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що на 545,6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(або на 20,7 %) більше ніж у минулому році. Задекларована ними до сплати сума ПДФО складає 104,5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що на 70,0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(або на 203,2 %) більше, ніж у минулому році. Сума військового збору до сплати складає 14,5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що на   10,5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(або на 266,1 %) більше ніж у минулому році.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Крім того, правом на податкову знижку скористалися 6 449 громадян. Загальна сума ПДФО, що підлягає поверненню з бюджету складає 15,9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гривень.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Уточнено окремі умови надання пільг із сплати туристичного збору та податку на нерухоме майно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П</w:t>
      </w:r>
      <w:r w:rsidR="007A183B" w:rsidRPr="007A183B">
        <w:rPr>
          <w:rFonts w:ascii="Times New Roman" w:eastAsia="Times New Roman" w:hAnsi="Times New Roman" w:cs="Times New Roman"/>
          <w:sz w:val="20"/>
          <w:szCs w:val="20"/>
          <w:lang w:val="uk-UA" w:eastAsia="ru-RU"/>
        </w:rPr>
        <w:t>овідомляє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14.10.2020 набрав чинності Закон України від 17 вересня 2020 року № 905-IX «Про внесення змін до Податкового кодексу України щодо уточнення окремих умов надання пільг із сплати туристичного збору та податку на нерухоме майно» (далі – Закон № 905).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Законом № 905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268.2.2 п. 268.2 ст. 268 Податкового кодексу України (далі – ПКУ) доповнено новим підпунктом «з», відповідно до якого платниками туристичного збору не можуть бути особи, які взяті на облік як внутрішньо переміщені особи відповідно до Закону України «Про забезпечення прав і свобод внутрішньо переміщених осіб», які тимчасово розміщуються у місцях проживання (ночівлі), визначених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268.5.1 п. 268.5 ст. 268 ПКУ, а інформація про адресу таких місць зазначена в довідці про взяття на облік внутрішньо переміщеної особи як адреса фактичного місця їх проживання/перебування.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Крім того,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38.6 п. 38 підрозділу 10 розділу XX «Перехідні положення» ПКУ після абзацу першого доповнено новим абзацом такого змісту: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«При обчисленні бази оподаткування об’єктів нерухомості, у тому числі їх часток, які перебувають у власності фізичних осіб, контролюючим органом не враховуються об’єкти нерухомості, що не є об’єктом оподаткування відповідно до цього підпункту».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Закон № 905 опубліковано в офіційному виданні «Урядовий кур’єр» від 13.10.2020 № 199.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Для формування та передачі звітності в електронному вигляді суб’єктом господарювання використовуються файли у форматі XML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З</w:t>
      </w:r>
      <w:r w:rsidR="007A183B" w:rsidRPr="007A183B">
        <w:rPr>
          <w:rFonts w:ascii="Times New Roman" w:eastAsia="Times New Roman" w:hAnsi="Times New Roman" w:cs="Times New Roman"/>
          <w:sz w:val="20"/>
          <w:szCs w:val="20"/>
          <w:lang w:val="uk-UA" w:eastAsia="ru-RU"/>
        </w:rPr>
        <w:t>вертає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увагу, що платники податків надсилають податкову звітність на електронну адресу: </w:t>
      </w:r>
      <w:hyperlink r:id="rId6" w:history="1">
        <w:r w:rsidR="007A183B" w:rsidRPr="006846D6">
          <w:rPr>
            <w:rFonts w:ascii="Times New Roman" w:eastAsia="Times New Roman" w:hAnsi="Times New Roman" w:cs="Times New Roman"/>
            <w:color w:val="0000FF"/>
            <w:sz w:val="20"/>
            <w:szCs w:val="20"/>
            <w:u w:val="single"/>
            <w:lang w:val="uk-UA" w:eastAsia="ru-RU"/>
          </w:rPr>
          <w:t>zvit@sta.gov.ua</w:t>
        </w:r>
      </w:hyperlink>
      <w:r w:rsidR="007A183B"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Для формування та передачі звітності в електронному вигляді суб’єктами господарювання призначений Формат (стандарт) електронного документа звітності суб’єктів господарювання, затверджений наказом Міністерства доходів і зборів України від 29.11.2013 № 729 (далі – Формат (стандарт)).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Кожний документ звітності є файлом, що містить інформацію лише щодо одного звіту, перерахунку, декларації, додатка до декларації тощо. Документи можуть подаватись як окремими файлами, так і пакетом (п. 2 Формату (стандарту)).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Пакет звітних документів – це певний перелік документів одного типу чи різних типів, що подаються суб’єктом господарювання в одному звітному періоді. Пакет повинен містити основний документ звітності та необхідні додатки до нього. Фізично пакетом документів є набір XML-файлів, які називаються згідно з форматом (стандартом) електронної звітності (п. 3 Формату (стандарту)).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Для формування та передачі звітності в електронному вигляді (у тому числі по єдиному внеску на загальнообов’язкове державне соціальне страхування) суб’єктом господарювання використовуються файли у форматі XML.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Підстави, за яких необхідно визнавати умовне постачання товарів та необоротних активів при анулюванні реєстрації платника ПДВ </w:t>
      </w:r>
    </w:p>
    <w:p w:rsidR="007A183B" w:rsidRPr="006846D6"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Н</w:t>
      </w:r>
      <w:r w:rsidR="007A183B" w:rsidRPr="007A183B">
        <w:rPr>
          <w:rFonts w:ascii="Times New Roman" w:eastAsia="Times New Roman" w:hAnsi="Times New Roman" w:cs="Times New Roman"/>
          <w:sz w:val="20"/>
          <w:szCs w:val="20"/>
          <w:lang w:val="uk-UA" w:eastAsia="ru-RU"/>
        </w:rPr>
        <w:t>агадує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відповідно до п.184.7 ст.184 Податкового кодексу України, якщо товари/послуги, необоротні активи, суми ПДВ по яких були включені до складу податкового кредиту, не були використані в оподатковуваних операціях у межах господарської діяльності, такий платник ПДВ в останньому звітному (податковому) періоді не пізніше дати анулювання його реєстрації як платника ПДВ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w:t>
      </w:r>
      <w:r w:rsidR="007A183B" w:rsidRPr="006846D6">
        <w:rPr>
          <w:rFonts w:ascii="Times New Roman" w:eastAsia="Times New Roman" w:hAnsi="Times New Roman" w:cs="Times New Roman"/>
          <w:i/>
          <w:iCs/>
          <w:sz w:val="20"/>
          <w:szCs w:val="20"/>
          <w:lang w:val="uk-UA" w:eastAsia="ru-RU"/>
        </w:rPr>
        <w:t>крім випадків анулювання реєстрації як платника податку внаслідок реорганізації платника ПДВ шляхом приєднання, злиття, перетворення, поділу та виділення відповідно до закону</w:t>
      </w:r>
      <w:r w:rsidR="007A183B"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Хто є платниками податку на прибуток з числа нерезидентів?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І</w:t>
      </w:r>
      <w:r w:rsidR="007A183B" w:rsidRPr="007A183B">
        <w:rPr>
          <w:rFonts w:ascii="Times New Roman" w:eastAsia="Times New Roman" w:hAnsi="Times New Roman" w:cs="Times New Roman"/>
          <w:sz w:val="20"/>
          <w:szCs w:val="20"/>
          <w:lang w:val="uk-UA" w:eastAsia="ru-RU"/>
        </w:rPr>
        <w:t>нформує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платниками податку на прибуток підприємств – нерезидентами є: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 юридичні особи, які утворені в будь-якій організаційно-правовій формі та отримують доходи з джерелом походження з України, за винятком установ та організацій, що мають дипломатичні привілеї або імунітет згідно з міжнародними договорами України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133.2.1 п. 133.2 ст. 133 Податкового кодексу України (далі –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нерезиденти, які здійснюють господарську діяльність на території України через постійне представництво та/або отримують доходи із джерелом походження з України, та інші нерезиденти, на яких покладено обов’язок сплачувати податок у порядку, встановленому розділу ІІІ ПКУ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133.2.2 п. 133.2 ст. 133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Пунктом 133.3 ст. 133 ПКУ визначено, що постійне представництво до початку своєї господарської діяльності стає на облік в контролюючому органі за своїм місцезнаходженням у порядку, встановленому центральним органом виконавчої влади, що забезпечує формування та реалізує державну фінансову політику. Постійне представництво, яке розпочало свою господарську діяльність до реєстрації в контролюючому органі, вважається таким, що ухиляється від оподаткування, а одержані ним прибутки вважаються прихованими від оподаткування.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Нерезиденти, що діють відповідно до положень Рамкової угоди між Україною та Європейським банком реконструкції та розвитку стосовно діяльності Чорнобильського фонду «Укриття» в Україні та Угоди про грант (Проект ядерної безпеки Чорнобильської АЕС) між Європейським банком реконструкції та розвитку як Розпорядником коштів, наданих згідно з Грантом з Рахунка ядерної безпеки, Урядом України та Чорнобильською атомною електростанцією, можуть провадити свою господарську діяльність без реєстрації у контролюючому органі.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До уваги платників податку на нерухоме майно, відмінне від земельної ділянки!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Д</w:t>
      </w:r>
      <w:r w:rsidR="007A183B" w:rsidRPr="007A183B">
        <w:rPr>
          <w:rFonts w:ascii="Times New Roman" w:eastAsia="Times New Roman" w:hAnsi="Times New Roman" w:cs="Times New Roman"/>
          <w:sz w:val="20"/>
          <w:szCs w:val="20"/>
          <w:lang w:val="uk-UA" w:eastAsia="ru-RU"/>
        </w:rPr>
        <w:t>оводи</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до відома, що платниками податку на нерухоме майно, відмінне від земельної ділянки (податок), є фізичні та юридичні особи, в тому числі нерезиденти, які є власниками житлової та/або нежитлової нерухомості.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Норми визначені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266.1.1 п. 266.1 ст. 266 Податкового кодексу України (далі –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266.3.2 п. 266.3 ст. 266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Згідно з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266.3.3 п. 266.3 ст. 266 ПКУ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починаючи з місяця, в якому виникло право власності на такий об’єкт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266.7.5. п. 266.7 ст. 266 ПКУ).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Тобто, податок на нерухоме майно, відмінне від земельної ділянки, для об’єктів житлової та нежитлової нерухомості, в тому числі їх часток, що перебувають у власності фізичних осіб, обчислюється контролюючим органом на підставі даних Державного реєстру речових прав на нерухоме майно, а для об’єктів житлової та нежитлової нерухомості, в тому числі їх часток, що знаходяться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Сеанс телефонного зв’язку «гаряча лінія» на тему «Надання адміністративних послуг»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Головному управлінні ДПС у Дніпропетровській області відбувся сеанс телефонного зв’язку «гаряча лінія» на тему «Надання адміністративних послуг».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Питання 1:</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Доброго дня. Підкажіть, будь ласка, як</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подати заяву 1-РРО в електронному вигляді?</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Відповідь:</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Р</w:t>
      </w:r>
      <w:r w:rsidRPr="007A183B">
        <w:rPr>
          <w:rFonts w:ascii="Times New Roman" w:eastAsia="Times New Roman" w:hAnsi="Times New Roman" w:cs="Times New Roman"/>
          <w:sz w:val="20"/>
          <w:szCs w:val="20"/>
          <w:lang w:val="uk-UA" w:eastAsia="ru-RU"/>
        </w:rPr>
        <w:t xml:space="preserve">еєстрація реєстраторів розрахункових операцій (далі – РРО) здійснюється в податковому органі за основним місцем обліку суб’єкта господарювання як платника податків (глава 2 </w:t>
      </w:r>
      <w:proofErr w:type="spellStart"/>
      <w:r w:rsidRPr="007A183B">
        <w:rPr>
          <w:rFonts w:ascii="Times New Roman" w:eastAsia="Times New Roman" w:hAnsi="Times New Roman" w:cs="Times New Roman"/>
          <w:sz w:val="20"/>
          <w:szCs w:val="20"/>
          <w:lang w:val="uk-UA" w:eastAsia="ru-RU"/>
        </w:rPr>
        <w:t>розд</w:t>
      </w:r>
      <w:proofErr w:type="spellEnd"/>
      <w:r w:rsidRPr="007A183B">
        <w:rPr>
          <w:rFonts w:ascii="Times New Roman" w:eastAsia="Times New Roman" w:hAnsi="Times New Roman" w:cs="Times New Roman"/>
          <w:sz w:val="20"/>
          <w:szCs w:val="20"/>
          <w:lang w:val="uk-UA" w:eastAsia="ru-RU"/>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р. № 547 (далі – Порядок № 547).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Для реєстрації РРО суб’єкт господарювання або представник суб’єкта господарювання подає до податкового органу заяву про реєстрацію РРО за формою №1-РРО (додаток 1 до Порядку № 547).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Суб’єкти господарювання, включені до системи подання податкових документів в електронному вигляді, можуть подавати реєстраційні заяви за ф. №1-РРО в електронній формі засобами електронного зв’язку.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Реєстраційну заяву за ф. №1-РРО суб’єкт господарювання може подати через приватну частину електронного кабінету, розміщеного на офіційному </w:t>
      </w:r>
      <w:proofErr w:type="spellStart"/>
      <w:r w:rsidRPr="007A183B">
        <w:rPr>
          <w:rFonts w:ascii="Times New Roman" w:eastAsia="Times New Roman" w:hAnsi="Times New Roman" w:cs="Times New Roman"/>
          <w:sz w:val="20"/>
          <w:szCs w:val="20"/>
          <w:lang w:val="uk-UA" w:eastAsia="ru-RU"/>
        </w:rPr>
        <w:t>вебпорталі</w:t>
      </w:r>
      <w:proofErr w:type="spellEnd"/>
      <w:r w:rsidRPr="007A183B">
        <w:rPr>
          <w:rFonts w:ascii="Times New Roman" w:eastAsia="Times New Roman" w:hAnsi="Times New Roman" w:cs="Times New Roman"/>
          <w:sz w:val="20"/>
          <w:szCs w:val="20"/>
          <w:lang w:val="uk-UA" w:eastAsia="ru-RU"/>
        </w:rPr>
        <w:t xml:space="preserve"> ДПС за посиланням: </w:t>
      </w:r>
      <w:hyperlink r:id="rId7" w:history="1">
        <w:r w:rsidRPr="006846D6">
          <w:rPr>
            <w:rFonts w:ascii="Times New Roman" w:eastAsia="Times New Roman" w:hAnsi="Times New Roman" w:cs="Times New Roman"/>
            <w:color w:val="0000FF"/>
            <w:sz w:val="20"/>
            <w:szCs w:val="20"/>
            <w:u w:val="single"/>
            <w:lang w:val="uk-UA" w:eastAsia="ru-RU"/>
          </w:rPr>
          <w:t>https://cabinet.tax.gov.ua</w:t>
        </w:r>
      </w:hyperlink>
      <w:r w:rsidRPr="007A183B">
        <w:rPr>
          <w:rFonts w:ascii="Times New Roman" w:eastAsia="Times New Roman" w:hAnsi="Times New Roman" w:cs="Times New Roman"/>
          <w:sz w:val="20"/>
          <w:szCs w:val="20"/>
          <w:lang w:val="uk-UA" w:eastAsia="ru-RU"/>
        </w:rPr>
        <w:t xml:space="preserve">. Вхід до приватної частини Електронного кабінету здійснюється виключно після проходження електронної ідентифікації </w:t>
      </w:r>
      <w:proofErr w:type="spellStart"/>
      <w:r w:rsidRPr="007A183B">
        <w:rPr>
          <w:rFonts w:ascii="Times New Roman" w:eastAsia="Times New Roman" w:hAnsi="Times New Roman" w:cs="Times New Roman"/>
          <w:sz w:val="20"/>
          <w:szCs w:val="20"/>
          <w:lang w:val="uk-UA" w:eastAsia="ru-RU"/>
        </w:rPr>
        <w:t>онлайн</w:t>
      </w:r>
      <w:proofErr w:type="spellEnd"/>
      <w:r w:rsidRPr="007A183B">
        <w:rPr>
          <w:rFonts w:ascii="Times New Roman" w:eastAsia="Times New Roman" w:hAnsi="Times New Roman" w:cs="Times New Roman"/>
          <w:sz w:val="20"/>
          <w:szCs w:val="20"/>
          <w:lang w:val="uk-UA" w:eastAsia="ru-RU"/>
        </w:rPr>
        <w:t xml:space="preserve"> з використанням кваліфікованого електронного підпису. У розділі «Заяви, запити для отримання інформації» приватної частини Електронного кабінету необхідно створити документ за формою «J1311401 – Заява про реєстрацію реєстраторів розрахункових операцій за формою № 1-РРО».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Усі розділи реєстраційної заяви за ф. №1-РРО підлягають обов’язковому заповненню.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При заповненні реєстраційної заяви за ф. №1-РРО у </w:t>
      </w:r>
      <w:proofErr w:type="spellStart"/>
      <w:r w:rsidRPr="007A183B">
        <w:rPr>
          <w:rFonts w:ascii="Times New Roman" w:eastAsia="Times New Roman" w:hAnsi="Times New Roman" w:cs="Times New Roman"/>
          <w:sz w:val="20"/>
          <w:szCs w:val="20"/>
          <w:lang w:val="uk-UA" w:eastAsia="ru-RU"/>
        </w:rPr>
        <w:t>розд</w:t>
      </w:r>
      <w:proofErr w:type="spellEnd"/>
      <w:r w:rsidRPr="007A183B">
        <w:rPr>
          <w:rFonts w:ascii="Times New Roman" w:eastAsia="Times New Roman" w:hAnsi="Times New Roman" w:cs="Times New Roman"/>
          <w:sz w:val="20"/>
          <w:szCs w:val="20"/>
          <w:lang w:val="uk-UA" w:eastAsia="ru-RU"/>
        </w:rPr>
        <w:t>. 5 «Сфера застосування відповідно до Державного реєстру РРО» платник обирає потрібну інформацію щодо сфери застосування РРО з довідника в спливаючому вікні за посиланням: «</w:t>
      </w:r>
      <w:proofErr w:type="spellStart"/>
      <w:r w:rsidRPr="007A183B">
        <w:rPr>
          <w:rFonts w:ascii="Times New Roman" w:eastAsia="Times New Roman" w:hAnsi="Times New Roman" w:cs="Times New Roman"/>
          <w:sz w:val="20"/>
          <w:szCs w:val="20"/>
          <w:lang w:val="uk-UA" w:eastAsia="ru-RU"/>
        </w:rPr>
        <w:t>розд</w:t>
      </w:r>
      <w:proofErr w:type="spellEnd"/>
      <w:r w:rsidRPr="007A183B">
        <w:rPr>
          <w:rFonts w:ascii="Times New Roman" w:eastAsia="Times New Roman" w:hAnsi="Times New Roman" w:cs="Times New Roman"/>
          <w:sz w:val="20"/>
          <w:szCs w:val="20"/>
          <w:lang w:val="uk-UA" w:eastAsia="ru-RU"/>
        </w:rPr>
        <w:t xml:space="preserve">. 5 «Сфера застосування відповідно до Державного реєстру РРО»/«Пошук у довіднику»/«код» та «назва» сфери застосування РРО».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Питання</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2:</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Який порядок</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переходу на спрощену систему оподаткування для платників єдиного податку першої – третьої груп?</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Відповідь:</w:t>
      </w:r>
      <w:r w:rsidRPr="007A183B">
        <w:rPr>
          <w:rFonts w:ascii="Times New Roman" w:eastAsia="Times New Roman" w:hAnsi="Times New Roman" w:cs="Times New Roman"/>
          <w:sz w:val="20"/>
          <w:szCs w:val="20"/>
          <w:lang w:val="uk-UA" w:eastAsia="ru-RU"/>
        </w:rPr>
        <w:t xml:space="preserve"> Відповідно до п. 298.1 ст. 298 Податкового кодексу України (далі – ПКУ)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Для обрання або переходу на спрощену систему оподаткування суб’єкт господарювання подає до контролюючого органу за місцем податкової адреси заяву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298.1.1 п. 298.1 ст. 298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Заява подається за вибором платника податків, якщо інше не передбачено ПКУ, в один з таких способів: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1) особисто платником податків або уповноваженою на це особою;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2) надсилається поштою з повідомленням про вручення та з описом вкладення;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3) засобами електронного зв’язку в електронній формі з використанням кваліфікованого електронного підпису;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4) державному реєстратору під час державної реєстрації створення юридичної особи або державної реєстрації фізичної особи – підприємця. Відповідна заява або відомості передаються до контролюючих органів у порядку, встановленому Законом України від 15 травня 2003 року № 755-ІV «Про державну реєстрацію юридичних осіб, фізичних осіб – підприємців та громадських формувань» зі змінами та доповненнями.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Підпунктом 298.1.2 п. 298.1 ст. 298 ПКУ визначено, що 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Відповідно до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298.1.4 п. 298.1 ст. 298 ПКУ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Перехід на спрощену систему оподаткування суб’єкта господарювання, зазначеного в абзаці першому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 поданої заяви додається розрахунок доходу за попередній календарний рік, який визначається з дотриманням вимог, встановлених главою 1 «Спрощена система оподаткування, обліку та звітності» розділу XIV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При цьому якщо суб’єкт господарювання протягом календарного року, що передує року обрання спрощеної системи оподаткування, самостійно прийняв рішення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особою в результаті провадження господарської діяльності за такий попередній календарний рік.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Питання</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3:</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Як отримати довідку про відсутність заборгованості  в електронному вигляді</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для участі у тендері?</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Відповідь:</w:t>
      </w:r>
      <w:r w:rsidRPr="007A183B">
        <w:rPr>
          <w:rFonts w:ascii="Times New Roman" w:eastAsia="Times New Roman" w:hAnsi="Times New Roman" w:cs="Times New Roman"/>
          <w:sz w:val="20"/>
          <w:szCs w:val="20"/>
          <w:lang w:val="uk-UA" w:eastAsia="ru-RU"/>
        </w:rPr>
        <w:t xml:space="preserve"> Для отримання Довідки про відсутність заборгованості з платежів, контроль за справлянням яких покладено на контролюючі органи (далі – Довідка) платникові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до Порядку надання довідки про відсутність заборгованості з платежів, контроль за справлянням яких покладено на контролюючі органи затвердженого наказом Міністерства фінансів України від 03.09.2018 № 733.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Заява подається з  використанням кваліфікованого електронного підпису  в електронній формі  на адресу уповноваженого органу через приватну частину Електронного кабінету, розміщеного на офіційному </w:t>
      </w:r>
      <w:proofErr w:type="spellStart"/>
      <w:r w:rsidRPr="007A183B">
        <w:rPr>
          <w:rFonts w:ascii="Times New Roman" w:eastAsia="Times New Roman" w:hAnsi="Times New Roman" w:cs="Times New Roman"/>
          <w:sz w:val="20"/>
          <w:szCs w:val="20"/>
          <w:lang w:val="uk-UA" w:eastAsia="ru-RU"/>
        </w:rPr>
        <w:t>вебпорталі</w:t>
      </w:r>
      <w:proofErr w:type="spellEnd"/>
      <w:r w:rsidRPr="007A183B">
        <w:rPr>
          <w:rFonts w:ascii="Times New Roman" w:eastAsia="Times New Roman" w:hAnsi="Times New Roman" w:cs="Times New Roman"/>
          <w:sz w:val="20"/>
          <w:szCs w:val="20"/>
          <w:lang w:val="uk-UA" w:eastAsia="ru-RU"/>
        </w:rPr>
        <w:t xml:space="preserve"> ДПС за посиланням:</w:t>
      </w:r>
      <w:proofErr w:type="spellStart"/>
      <w:r w:rsidRPr="007A183B">
        <w:rPr>
          <w:rFonts w:ascii="Times New Roman" w:eastAsia="Times New Roman" w:hAnsi="Times New Roman" w:cs="Times New Roman"/>
          <w:sz w:val="20"/>
          <w:szCs w:val="20"/>
          <w:u w:val="single"/>
          <w:lang w:val="uk-UA" w:eastAsia="ru-RU"/>
        </w:rPr>
        <w:t>https</w:t>
      </w:r>
      <w:proofErr w:type="spellEnd"/>
      <w:r w:rsidRPr="007A183B">
        <w:rPr>
          <w:rFonts w:ascii="Times New Roman" w:eastAsia="Times New Roman" w:hAnsi="Times New Roman" w:cs="Times New Roman"/>
          <w:sz w:val="20"/>
          <w:szCs w:val="20"/>
          <w:u w:val="single"/>
          <w:lang w:val="uk-UA" w:eastAsia="ru-RU"/>
        </w:rPr>
        <w:t>://</w:t>
      </w:r>
      <w:proofErr w:type="spellStart"/>
      <w:r w:rsidRPr="007A183B">
        <w:rPr>
          <w:rFonts w:ascii="Times New Roman" w:eastAsia="Times New Roman" w:hAnsi="Times New Roman" w:cs="Times New Roman"/>
          <w:sz w:val="20"/>
          <w:szCs w:val="20"/>
          <w:u w:val="single"/>
          <w:lang w:val="uk-UA" w:eastAsia="ru-RU"/>
        </w:rPr>
        <w:t>cabinet.tax.gov.ua</w:t>
      </w:r>
      <w:proofErr w:type="spellEnd"/>
      <w:r w:rsidRPr="007A183B">
        <w:rPr>
          <w:rFonts w:ascii="Times New Roman" w:eastAsia="Times New Roman" w:hAnsi="Times New Roman" w:cs="Times New Roman"/>
          <w:sz w:val="20"/>
          <w:szCs w:val="20"/>
          <w:lang w:val="uk-UA" w:eastAsia="ru-RU"/>
        </w:rPr>
        <w:t xml:space="preserve">. 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 Створити та надіслати Заяву можливо у меню «Заяви, запити для отримання інформації» приватної частини Електронного кабінету шляхом вибору відповідної електронної форми документа.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Заява повинна містити, серед іншого: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обов’язкове посилання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найменування суб’єкта (підприємства, установи, організації), до якого (якої) Довідку буде подано,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позначку про отримання довідки в електронній формі.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Довідка або відмова у наданні Довідки готуються уповноваженим органом протягом 5 робочих днів з дня, наступного за днем отримання Заяви органом, до якого її було подано. Строк дії Довідки становить 10 календарних днів з дати її формування. У Довідці обов’язково зазначається термін її дії.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Питання</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4:</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Чи може фізична особа – підприємець надати запит на отримання довідки про доходи користуючись електронними сервісами ДПС України</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Відповідь:</w:t>
      </w:r>
      <w:r w:rsidRPr="007A183B">
        <w:rPr>
          <w:rFonts w:ascii="Times New Roman" w:eastAsia="Times New Roman" w:hAnsi="Times New Roman" w:cs="Times New Roman"/>
          <w:sz w:val="20"/>
          <w:szCs w:val="20"/>
          <w:lang w:val="uk-UA" w:eastAsia="ru-RU"/>
        </w:rPr>
        <w:t xml:space="preserve"> Сервіс Електронний кабінет забезпечує можливість реалізації платниками податків прав та обов’язків, визначених ПКУ та іншими нормативно-правовими актами.    Вхід до Електронного кабінету здійснюється за адресою</w:t>
      </w:r>
      <w:r w:rsidRPr="007A183B">
        <w:rPr>
          <w:rFonts w:ascii="Times New Roman" w:eastAsia="Times New Roman" w:hAnsi="Times New Roman" w:cs="Times New Roman"/>
          <w:sz w:val="20"/>
          <w:szCs w:val="20"/>
          <w:u w:val="single"/>
          <w:lang w:val="uk-UA" w:eastAsia="ru-RU"/>
        </w:rPr>
        <w:t>: http://cabinet.tax.gov.ua</w:t>
      </w:r>
      <w:r w:rsidRPr="007A183B">
        <w:rPr>
          <w:rFonts w:ascii="Times New Roman" w:eastAsia="Times New Roman" w:hAnsi="Times New Roman" w:cs="Times New Roman"/>
          <w:sz w:val="20"/>
          <w:szCs w:val="20"/>
          <w:lang w:val="uk-UA" w:eastAsia="ru-RU"/>
        </w:rPr>
        <w:t xml:space="preserve">, а також через офіційний </w:t>
      </w:r>
      <w:proofErr w:type="spellStart"/>
      <w:r w:rsidRPr="007A183B">
        <w:rPr>
          <w:rFonts w:ascii="Times New Roman" w:eastAsia="Times New Roman" w:hAnsi="Times New Roman" w:cs="Times New Roman"/>
          <w:sz w:val="20"/>
          <w:szCs w:val="20"/>
          <w:lang w:val="uk-UA" w:eastAsia="ru-RU"/>
        </w:rPr>
        <w:t>вебпортал</w:t>
      </w:r>
      <w:proofErr w:type="spellEnd"/>
      <w:r w:rsidRPr="007A183B">
        <w:rPr>
          <w:rFonts w:ascii="Times New Roman" w:eastAsia="Times New Roman" w:hAnsi="Times New Roman" w:cs="Times New Roman"/>
          <w:sz w:val="20"/>
          <w:szCs w:val="20"/>
          <w:lang w:val="uk-UA" w:eastAsia="ru-RU"/>
        </w:rPr>
        <w:t xml:space="preserve"> ДПС. 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Фізична </w:t>
      </w:r>
      <w:proofErr w:type="spellStart"/>
      <w:r w:rsidRPr="007A183B">
        <w:rPr>
          <w:rFonts w:ascii="Times New Roman" w:eastAsia="Times New Roman" w:hAnsi="Times New Roman" w:cs="Times New Roman"/>
          <w:sz w:val="20"/>
          <w:szCs w:val="20"/>
          <w:lang w:val="uk-UA" w:eastAsia="ru-RU"/>
        </w:rPr>
        <w:t>осіба</w:t>
      </w:r>
      <w:proofErr w:type="spellEnd"/>
      <w:r w:rsidRPr="007A183B">
        <w:rPr>
          <w:rFonts w:ascii="Times New Roman" w:eastAsia="Times New Roman" w:hAnsi="Times New Roman" w:cs="Times New Roman"/>
          <w:sz w:val="20"/>
          <w:szCs w:val="20"/>
          <w:lang w:val="uk-UA" w:eastAsia="ru-RU"/>
        </w:rPr>
        <w:t xml:space="preserve"> – підприємець (далі – </w:t>
      </w:r>
      <w:proofErr w:type="spellStart"/>
      <w:r w:rsidRPr="007A183B">
        <w:rPr>
          <w:rFonts w:ascii="Times New Roman" w:eastAsia="Times New Roman" w:hAnsi="Times New Roman" w:cs="Times New Roman"/>
          <w:sz w:val="20"/>
          <w:szCs w:val="20"/>
          <w:lang w:val="uk-UA" w:eastAsia="ru-RU"/>
        </w:rPr>
        <w:t>ФОП</w:t>
      </w:r>
      <w:proofErr w:type="spellEnd"/>
      <w:r w:rsidRPr="007A183B">
        <w:rPr>
          <w:rFonts w:ascii="Times New Roman" w:eastAsia="Times New Roman" w:hAnsi="Times New Roman" w:cs="Times New Roman"/>
          <w:sz w:val="20"/>
          <w:szCs w:val="20"/>
          <w:lang w:val="uk-UA" w:eastAsia="ru-RU"/>
        </w:rPr>
        <w:t xml:space="preserve">) може надати лист (запит) на отримання довідки про доходи в електронному вигляді за допомогою меню «Листування з ДПС» приватної частини Електронного кабінету  до відповідного органу ДПС.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Форма  такого листа має містити наступні реквізити: </w:t>
      </w:r>
    </w:p>
    <w:p w:rsidR="007A183B" w:rsidRPr="007A183B" w:rsidRDefault="007A183B" w:rsidP="009D4B03">
      <w:pPr>
        <w:rPr>
          <w:rFonts w:ascii="Times New Roman" w:eastAsia="Times New Roman" w:hAnsi="Times New Roman" w:cs="Times New Roman"/>
          <w:sz w:val="20"/>
          <w:szCs w:val="20"/>
          <w:lang w:val="uk-UA" w:eastAsia="ru-RU"/>
        </w:rPr>
      </w:pPr>
      <w:proofErr w:type="spellStart"/>
      <w:r w:rsidRPr="007A183B">
        <w:rPr>
          <w:rFonts w:ascii="Times New Roman" w:eastAsia="Times New Roman" w:hAnsi="Times New Roman" w:cs="Times New Roman"/>
          <w:sz w:val="20"/>
          <w:szCs w:val="20"/>
          <w:lang w:val="uk-UA" w:eastAsia="ru-RU"/>
        </w:rPr>
        <w:t>-регіон</w:t>
      </w:r>
      <w:proofErr w:type="spellEnd"/>
      <w:r w:rsidRPr="007A183B">
        <w:rPr>
          <w:rFonts w:ascii="Times New Roman" w:eastAsia="Times New Roman" w:hAnsi="Times New Roman" w:cs="Times New Roman"/>
          <w:sz w:val="20"/>
          <w:szCs w:val="20"/>
          <w:lang w:val="uk-UA" w:eastAsia="ru-RU"/>
        </w:rPr>
        <w:t xml:space="preserve"> в якому знаходиться орган ДПС; </w:t>
      </w:r>
    </w:p>
    <w:p w:rsidR="007A183B" w:rsidRPr="007A183B" w:rsidRDefault="007A183B" w:rsidP="009D4B03">
      <w:pPr>
        <w:rPr>
          <w:rFonts w:ascii="Times New Roman" w:eastAsia="Times New Roman" w:hAnsi="Times New Roman" w:cs="Times New Roman"/>
          <w:sz w:val="20"/>
          <w:szCs w:val="20"/>
          <w:lang w:val="uk-UA" w:eastAsia="ru-RU"/>
        </w:rPr>
      </w:pPr>
      <w:proofErr w:type="spellStart"/>
      <w:r w:rsidRPr="007A183B">
        <w:rPr>
          <w:rFonts w:ascii="Times New Roman" w:eastAsia="Times New Roman" w:hAnsi="Times New Roman" w:cs="Times New Roman"/>
          <w:sz w:val="20"/>
          <w:szCs w:val="20"/>
          <w:lang w:val="uk-UA" w:eastAsia="ru-RU"/>
        </w:rPr>
        <w:t>-орган</w:t>
      </w:r>
      <w:proofErr w:type="spellEnd"/>
      <w:r w:rsidRPr="007A183B">
        <w:rPr>
          <w:rFonts w:ascii="Times New Roman" w:eastAsia="Times New Roman" w:hAnsi="Times New Roman" w:cs="Times New Roman"/>
          <w:sz w:val="20"/>
          <w:szCs w:val="20"/>
          <w:lang w:val="uk-UA" w:eastAsia="ru-RU"/>
        </w:rPr>
        <w:t xml:space="preserve"> ДПС, до якого відправляється лист; </w:t>
      </w:r>
    </w:p>
    <w:p w:rsidR="007A183B" w:rsidRPr="007A183B" w:rsidRDefault="007A183B" w:rsidP="009D4B03">
      <w:pPr>
        <w:rPr>
          <w:rFonts w:ascii="Times New Roman" w:eastAsia="Times New Roman" w:hAnsi="Times New Roman" w:cs="Times New Roman"/>
          <w:sz w:val="20"/>
          <w:szCs w:val="20"/>
          <w:lang w:val="uk-UA" w:eastAsia="ru-RU"/>
        </w:rPr>
      </w:pPr>
      <w:proofErr w:type="spellStart"/>
      <w:r w:rsidRPr="007A183B">
        <w:rPr>
          <w:rFonts w:ascii="Times New Roman" w:eastAsia="Times New Roman" w:hAnsi="Times New Roman" w:cs="Times New Roman"/>
          <w:sz w:val="20"/>
          <w:szCs w:val="20"/>
          <w:lang w:val="uk-UA" w:eastAsia="ru-RU"/>
        </w:rPr>
        <w:t>-тип</w:t>
      </w:r>
      <w:proofErr w:type="spellEnd"/>
      <w:r w:rsidRPr="007A183B">
        <w:rPr>
          <w:rFonts w:ascii="Times New Roman" w:eastAsia="Times New Roman" w:hAnsi="Times New Roman" w:cs="Times New Roman"/>
          <w:sz w:val="20"/>
          <w:szCs w:val="20"/>
          <w:lang w:val="uk-UA" w:eastAsia="ru-RU"/>
        </w:rPr>
        <w:t xml:space="preserve"> документа; </w:t>
      </w:r>
    </w:p>
    <w:p w:rsidR="007A183B" w:rsidRPr="007A183B" w:rsidRDefault="007A183B" w:rsidP="009D4B03">
      <w:pPr>
        <w:rPr>
          <w:rFonts w:ascii="Times New Roman" w:eastAsia="Times New Roman" w:hAnsi="Times New Roman" w:cs="Times New Roman"/>
          <w:sz w:val="20"/>
          <w:szCs w:val="20"/>
          <w:lang w:val="uk-UA" w:eastAsia="ru-RU"/>
        </w:rPr>
      </w:pPr>
      <w:proofErr w:type="spellStart"/>
      <w:r w:rsidRPr="007A183B">
        <w:rPr>
          <w:rFonts w:ascii="Times New Roman" w:eastAsia="Times New Roman" w:hAnsi="Times New Roman" w:cs="Times New Roman"/>
          <w:sz w:val="20"/>
          <w:szCs w:val="20"/>
          <w:lang w:val="uk-UA" w:eastAsia="ru-RU"/>
        </w:rPr>
        <w:t>-тематика</w:t>
      </w:r>
      <w:proofErr w:type="spellEnd"/>
      <w:r w:rsidRPr="007A183B">
        <w:rPr>
          <w:rFonts w:ascii="Times New Roman" w:eastAsia="Times New Roman" w:hAnsi="Times New Roman" w:cs="Times New Roman"/>
          <w:sz w:val="20"/>
          <w:szCs w:val="20"/>
          <w:lang w:val="uk-UA" w:eastAsia="ru-RU"/>
        </w:rPr>
        <w:t xml:space="preserve"> звернення; </w:t>
      </w:r>
    </w:p>
    <w:p w:rsidR="007A183B" w:rsidRPr="007A183B" w:rsidRDefault="007A183B" w:rsidP="009D4B03">
      <w:pPr>
        <w:rPr>
          <w:rFonts w:ascii="Times New Roman" w:eastAsia="Times New Roman" w:hAnsi="Times New Roman" w:cs="Times New Roman"/>
          <w:sz w:val="20"/>
          <w:szCs w:val="20"/>
          <w:lang w:val="uk-UA" w:eastAsia="ru-RU"/>
        </w:rPr>
      </w:pPr>
      <w:proofErr w:type="spellStart"/>
      <w:r w:rsidRPr="007A183B">
        <w:rPr>
          <w:rFonts w:ascii="Times New Roman" w:eastAsia="Times New Roman" w:hAnsi="Times New Roman" w:cs="Times New Roman"/>
          <w:sz w:val="20"/>
          <w:szCs w:val="20"/>
          <w:lang w:val="uk-UA" w:eastAsia="ru-RU"/>
        </w:rPr>
        <w:t>-короткий</w:t>
      </w:r>
      <w:proofErr w:type="spellEnd"/>
      <w:r w:rsidRPr="007A183B">
        <w:rPr>
          <w:rFonts w:ascii="Times New Roman" w:eastAsia="Times New Roman" w:hAnsi="Times New Roman" w:cs="Times New Roman"/>
          <w:sz w:val="20"/>
          <w:szCs w:val="20"/>
          <w:lang w:val="uk-UA" w:eastAsia="ru-RU"/>
        </w:rPr>
        <w:t xml:space="preserve"> зміст листа; </w:t>
      </w:r>
    </w:p>
    <w:p w:rsidR="007A183B" w:rsidRPr="007A183B" w:rsidRDefault="007A183B" w:rsidP="009D4B03">
      <w:pPr>
        <w:rPr>
          <w:rFonts w:ascii="Times New Roman" w:eastAsia="Times New Roman" w:hAnsi="Times New Roman" w:cs="Times New Roman"/>
          <w:sz w:val="20"/>
          <w:szCs w:val="20"/>
          <w:lang w:val="uk-UA" w:eastAsia="ru-RU"/>
        </w:rPr>
      </w:pPr>
      <w:proofErr w:type="spellStart"/>
      <w:r w:rsidRPr="007A183B">
        <w:rPr>
          <w:rFonts w:ascii="Times New Roman" w:eastAsia="Times New Roman" w:hAnsi="Times New Roman" w:cs="Times New Roman"/>
          <w:sz w:val="20"/>
          <w:szCs w:val="20"/>
          <w:lang w:val="uk-UA" w:eastAsia="ru-RU"/>
        </w:rPr>
        <w:lastRenderedPageBreak/>
        <w:t>-сканований</w:t>
      </w:r>
      <w:proofErr w:type="spellEnd"/>
      <w:r w:rsidRPr="007A183B">
        <w:rPr>
          <w:rFonts w:ascii="Times New Roman" w:eastAsia="Times New Roman" w:hAnsi="Times New Roman" w:cs="Times New Roman"/>
          <w:sz w:val="20"/>
          <w:szCs w:val="20"/>
          <w:lang w:val="uk-UA" w:eastAsia="ru-RU"/>
        </w:rPr>
        <w:t xml:space="preserve"> документ, який необхідно завантажити (файл повинен бути у форматі </w:t>
      </w:r>
      <w:proofErr w:type="spellStart"/>
      <w:r w:rsidRPr="007A183B">
        <w:rPr>
          <w:rFonts w:ascii="Times New Roman" w:eastAsia="Times New Roman" w:hAnsi="Times New Roman" w:cs="Times New Roman"/>
          <w:sz w:val="20"/>
          <w:szCs w:val="20"/>
          <w:lang w:val="uk-UA" w:eastAsia="ru-RU"/>
        </w:rPr>
        <w:t>pdf</w:t>
      </w:r>
      <w:proofErr w:type="spellEnd"/>
      <w:r w:rsidRPr="007A183B">
        <w:rPr>
          <w:rFonts w:ascii="Times New Roman" w:eastAsia="Times New Roman" w:hAnsi="Times New Roman" w:cs="Times New Roman"/>
          <w:sz w:val="20"/>
          <w:szCs w:val="20"/>
          <w:lang w:val="uk-UA" w:eastAsia="ru-RU"/>
        </w:rPr>
        <w:t xml:space="preserve"> із обмеженням розміру не більше 2 МБ).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Запит на отримання довідки про доходи (далі – Запит) складається у довільній формі та повинен містити достатню інформацію про особу, яка звертається із Запитом, а також предмет Запиту.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Датою подання Запиту є дата його реєстрації в органі ДПС. Протягом одного робочого дня після надсилання такого Запиту до органу ДПС  його автора  буде повідомлено про вхідний реєстраційний номер та дату реєстрації. Інформацію щодо отримання та реєстрації Запиту в органі ДПС можна переглянути у вкладці «Вхідні документи» меню «Вхідні/вихідні документи» приватної частини Електронного кабінету, відправлені листи – у вкладці «Відправлені документи» меню «Вхідні/вихідні документи».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Питання</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5:</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Чи мають змогу неприбуткові організації подати</w:t>
      </w:r>
      <w:r w:rsidRPr="007A183B">
        <w:rPr>
          <w:rFonts w:ascii="Times New Roman" w:eastAsia="Times New Roman" w:hAnsi="Times New Roman" w:cs="Times New Roman"/>
          <w:sz w:val="20"/>
          <w:szCs w:val="20"/>
          <w:lang w:val="uk-UA" w:eastAsia="ru-RU"/>
        </w:rPr>
        <w:t xml:space="preserve"> </w:t>
      </w:r>
      <w:r w:rsidRPr="006846D6">
        <w:rPr>
          <w:rFonts w:ascii="Times New Roman" w:eastAsia="Times New Roman" w:hAnsi="Times New Roman" w:cs="Times New Roman"/>
          <w:b/>
          <w:bCs/>
          <w:sz w:val="20"/>
          <w:szCs w:val="20"/>
          <w:lang w:val="uk-UA" w:eastAsia="ru-RU"/>
        </w:rPr>
        <w:t>Заяву 1-РН через Електронний кабінет?</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b/>
          <w:bCs/>
          <w:sz w:val="20"/>
          <w:szCs w:val="20"/>
          <w:lang w:val="uk-UA" w:eastAsia="ru-RU"/>
        </w:rPr>
        <w:t>Відповідь:</w:t>
      </w:r>
      <w:r w:rsidRPr="007A183B">
        <w:rPr>
          <w:rFonts w:ascii="Times New Roman" w:eastAsia="Times New Roman" w:hAnsi="Times New Roman" w:cs="Times New Roman"/>
          <w:sz w:val="20"/>
          <w:szCs w:val="20"/>
          <w:lang w:val="uk-UA" w:eastAsia="ru-RU"/>
        </w:rPr>
        <w:t xml:space="preserve"> Неприбуткові організації мають змогу подати реєстраційну заяву за формою 1-РН (далі – Заява) з позначками «Реєстрація», «Зміни», «Виключення з Реєстру неприбуткових установ та організацій», зокрема, засобами електронного зв’язку в електронній формі з дотриманням умови щодо реєстрації електронного підпису підзвітних осіб у порядку, визначеному законодавством, якщо установчі документи оприлюднені на порталі електронних сервісів відповідно до Закону України «Про державну реєстрацію юридичних осіб, фізичних осіб – підприємців та громадських формувань» (пункт 6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Заяву  в електронному вигляді платник створює у строки та відповідно до порядку,  визначеному законодавством,  із зазначенням всіх обов’язкових реквізитів та з використанням надійного засобу кваліфікованого електронного підпису (далі – КЕП).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Засобами електронного зв’язку Заява в електронній формі подається до контролюючих органів за ідентифікатором форми J1310502, зокрема з використанням режиму «Заяви, запити для отримання інформації» приватної частини Електронного кабінету.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Протягом двох годин з часу отримання електронного документу платнику надсилається перша квитанція, а якщо електронний документ надійшов після закінчення операційного дня або за 1 годину до його закінчення – протягом перших двох годин наступного операційного дня.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першій квитанції, що формується за результатами автоматизованої перевірки, платник повідомляється про результати такої перевірки.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 відсутності підстав для відмови у включенні (повторному включенні) до Реєстру неприбуткових установ та організацій (далі – Реєстр), присвоєнні (зміні) ознаки неприбутковості, контролюючим органом друга квитанція не направляється.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разі прийняття контролюючим органом за результатами розгляду Заяви рішення про відмову у включенні (повторному включенні) неприбуткової організації до Реєстру, присвоєнні (зміні) ознаки неприбутковості або виключення неприбуткової організації з Реєстру,  протягом трьох робочих днів з дня отримання контролюючим органом Заяви платнику надсилається друга квитанція.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Платник зобов’язаний, зокрема, вести архів надісланих до контролюючого органу файлів електронних документів із накладеними на них КЕП і печатками платника та отриманих електронних документів з КЕП чи печаткою контролюючого органу. Зберігати цей архів протягом строку, передбаченого законодавством для зберігання відповідних документів на паперових носіях.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Інформація щодо зіставлення показників обсягів обігу та залишків пального, обігу спирту етилового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З</w:t>
      </w:r>
      <w:r w:rsidR="007A183B" w:rsidRPr="007A183B">
        <w:rPr>
          <w:rFonts w:ascii="Times New Roman" w:eastAsia="Times New Roman" w:hAnsi="Times New Roman" w:cs="Times New Roman"/>
          <w:sz w:val="20"/>
          <w:szCs w:val="20"/>
          <w:lang w:val="uk-UA" w:eastAsia="ru-RU"/>
        </w:rPr>
        <w:t>вертає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увагу платників, що 30 вересня 2020 року завершився тестовий режим автоматичного зіставлення показників обсягів обігу та залишків пального, обігу спирту етилового.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Відповідно до постанови Кабінету Міністрів України від 12 серпня 2020 року № 715 «Про затвердження Порядку здійснення Державною податковою службою автоматичного зіставлення показників обсягів обігу та залишків пального, показників обсягів обігу спирту етилового», податкові органи використовуватимуть результати зіставлення під час перевірок, які проводяться відповідно до закону.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Зіставлення спрямоване на забезпечення перевірки повноти декларування та сплати акцизного податку платниками податку з обсягів ввезеного на митну територію України, виробленого та реалізованого на митній території України пального або спирту етилового.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Мова йде про виявлення за звітний календарний місяць наявних розбіжностей між показниками системи електронного адміністрування реалізації пального та спирту етилового та Єдиного державного реєстру (ЄДР) витратомірів-лічильників та рівнемірів – лічильників рівня пального/Єдиного державного реєстру (ЄДР) витратомірів – лічильників обсягу виробленого спирту етилового понад встановлені допустимі значення.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Зіставлення здійснюється за показниками станом на 1 число місяця, що настає за звітним, та проводиться, починаючи з 16 числа кожного місяця, що настає за звітним. Так, наприклад, за вересень 2020 року – починаючи з 16 жовтня          2020 року.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При наявності розбіжностей платники можуть скласти та зареєструвати такі документи, необхідні для усунення розбіжностей, 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СЕА РПСЕ – акцизні накладні та/або розрахунки коригування, заявки на поповнення обсягу залишку пального або спирту етилового, передбачені статтями 231 і 232 Податкового кодексу України;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ЄДР витратомірів-лічильників та рівнемірів – лічильників рівня пального у резервуарі/ЄДР витратомірів – лічильників обсягу виробленого спирту етилового – електронні документи для наповнення реєстрів, які формуються та надсилаються розпорядниками акцизних складів за кожним місцем розташування акцизного складу (</w:t>
      </w:r>
      <w:proofErr w:type="spellStart"/>
      <w:r w:rsidRPr="007A183B">
        <w:rPr>
          <w:rFonts w:ascii="Times New Roman" w:eastAsia="Times New Roman" w:hAnsi="Times New Roman" w:cs="Times New Roman"/>
          <w:sz w:val="20"/>
          <w:szCs w:val="20"/>
          <w:lang w:val="uk-UA" w:eastAsia="ru-RU"/>
        </w:rPr>
        <w:t>коригуючі</w:t>
      </w:r>
      <w:proofErr w:type="spellEnd"/>
      <w:r w:rsidRPr="007A183B">
        <w:rPr>
          <w:rFonts w:ascii="Times New Roman" w:eastAsia="Times New Roman" w:hAnsi="Times New Roman" w:cs="Times New Roman"/>
          <w:sz w:val="20"/>
          <w:szCs w:val="20"/>
          <w:lang w:val="uk-UA" w:eastAsia="ru-RU"/>
        </w:rPr>
        <w:t xml:space="preserve"> електронні документи).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Результати автоматичного зіставлення платник акцизного податку може отримати, надіславши через інформаційно-телекомунікаційну систему «Електронний кабінет» на отримання в електронному вигляді повідомлення про результати зіставлення показників обсягів обігу та залишків пального, показників обсягів та залишків обігу спирту етилового за формою </w:t>
      </w:r>
      <w:r w:rsidRPr="006846D6">
        <w:rPr>
          <w:rFonts w:ascii="Times New Roman" w:eastAsia="Times New Roman" w:hAnsi="Times New Roman" w:cs="Times New Roman"/>
          <w:b/>
          <w:bCs/>
          <w:sz w:val="20"/>
          <w:szCs w:val="20"/>
          <w:lang w:val="uk-UA" w:eastAsia="ru-RU"/>
        </w:rPr>
        <w:t>J/F 1305801</w:t>
      </w:r>
      <w:r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ТОП – 5 відкритих даних, які оновлюються щоденно </w:t>
      </w:r>
    </w:p>
    <w:p w:rsidR="007A183B" w:rsidRPr="007A183B" w:rsidRDefault="007A183B" w:rsidP="009D4B03">
      <w:pPr>
        <w:jc w:val="left"/>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Головне управління ДПС у Дніпропетровській області інформує про ТОП – 5 відкритих даних, які оновлюються щоденно: </w:t>
      </w:r>
    </w:p>
    <w:p w:rsidR="007A183B" w:rsidRPr="007A183B" w:rsidRDefault="007A183B" w:rsidP="009D4B03">
      <w:pPr>
        <w:jc w:val="left"/>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Реєстр платників податку на додану вартість </w:t>
      </w:r>
    </w:p>
    <w:p w:rsidR="007A183B" w:rsidRPr="007A183B" w:rsidRDefault="007A183B" w:rsidP="009D4B03">
      <w:pPr>
        <w:jc w:val="cente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w:t>
      </w:r>
      <w:hyperlink r:id="rId8" w:history="1">
        <w:r w:rsidRPr="006846D6">
          <w:rPr>
            <w:rFonts w:ascii="Times New Roman" w:eastAsia="Times New Roman" w:hAnsi="Times New Roman" w:cs="Times New Roman"/>
            <w:b/>
            <w:bCs/>
            <w:color w:val="0000FF"/>
            <w:sz w:val="20"/>
            <w:szCs w:val="20"/>
            <w:u w:val="single"/>
            <w:lang w:val="uk-UA" w:eastAsia="ru-RU"/>
          </w:rPr>
          <w:t>https://data.gov.ua/dataset/4c65d66d-1923-4682-980a-9c11ce7ffdfe</w:t>
        </w:r>
      </w:hyperlink>
      <w:r w:rsidRPr="006846D6">
        <w:rPr>
          <w:rFonts w:ascii="Times New Roman" w:eastAsia="Times New Roman" w:hAnsi="Times New Roman" w:cs="Times New Roman"/>
          <w:b/>
          <w:bCs/>
          <w:sz w:val="20"/>
          <w:szCs w:val="20"/>
          <w:lang w:val="uk-UA" w:eastAsia="ru-RU"/>
        </w:rPr>
        <w:t xml:space="preserve">; </w:t>
      </w:r>
      <w:hyperlink r:id="rId9" w:history="1">
        <w:r w:rsidRPr="006846D6">
          <w:rPr>
            <w:rFonts w:ascii="Times New Roman" w:eastAsia="Times New Roman" w:hAnsi="Times New Roman" w:cs="Times New Roman"/>
            <w:b/>
            <w:bCs/>
            <w:color w:val="0000FF"/>
            <w:sz w:val="20"/>
            <w:szCs w:val="20"/>
            <w:u w:val="single"/>
            <w:lang w:val="uk-UA" w:eastAsia="ru-RU"/>
          </w:rPr>
          <w:t>http://tax.gov.ua/datasets.php?d=DFS20160406124837</w:t>
        </w:r>
      </w:hyperlink>
      <w:r w:rsidRPr="006846D6">
        <w:rPr>
          <w:rFonts w:ascii="Times New Roman" w:eastAsia="Times New Roman" w:hAnsi="Times New Roman" w:cs="Times New Roman"/>
          <w:b/>
          <w:bCs/>
          <w:sz w:val="20"/>
          <w:szCs w:val="20"/>
          <w:lang w:val="uk-UA" w:eastAsia="ru-RU"/>
        </w:rPr>
        <w:t>;</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jc w:val="left"/>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 Інформація про анулювання реєстрації платників податку на додану вартість </w:t>
      </w:r>
    </w:p>
    <w:p w:rsidR="007A183B" w:rsidRPr="007A183B" w:rsidRDefault="007A183B" w:rsidP="009D4B03">
      <w:pPr>
        <w:jc w:val="cente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w:t>
      </w:r>
      <w:hyperlink r:id="rId10" w:history="1">
        <w:r w:rsidRPr="006846D6">
          <w:rPr>
            <w:rFonts w:ascii="Times New Roman" w:eastAsia="Times New Roman" w:hAnsi="Times New Roman" w:cs="Times New Roman"/>
            <w:b/>
            <w:bCs/>
            <w:color w:val="0000FF"/>
            <w:sz w:val="20"/>
            <w:szCs w:val="20"/>
            <w:u w:val="single"/>
            <w:lang w:val="uk-UA" w:eastAsia="ru-RU"/>
          </w:rPr>
          <w:t>https://data.gov.ua/dataset/46ec7001-f492-4af8-8cae-00ba5e5537ce</w:t>
        </w:r>
      </w:hyperlink>
      <w:r w:rsidRPr="006846D6">
        <w:rPr>
          <w:rFonts w:ascii="Times New Roman" w:eastAsia="Times New Roman" w:hAnsi="Times New Roman" w:cs="Times New Roman"/>
          <w:b/>
          <w:bCs/>
          <w:sz w:val="20"/>
          <w:szCs w:val="20"/>
          <w:lang w:val="uk-UA" w:eastAsia="ru-RU"/>
        </w:rPr>
        <w:t xml:space="preserve">; </w:t>
      </w:r>
      <w:hyperlink r:id="rId11" w:history="1">
        <w:r w:rsidRPr="006846D6">
          <w:rPr>
            <w:rFonts w:ascii="Times New Roman" w:eastAsia="Times New Roman" w:hAnsi="Times New Roman" w:cs="Times New Roman"/>
            <w:b/>
            <w:bCs/>
            <w:color w:val="0000FF"/>
            <w:sz w:val="20"/>
            <w:szCs w:val="20"/>
            <w:u w:val="single"/>
            <w:lang w:val="uk-UA" w:eastAsia="ru-RU"/>
          </w:rPr>
          <w:t>http://tax.gov.ua/datasets.php?d=DFS20160406125451</w:t>
        </w:r>
      </w:hyperlink>
      <w:r w:rsidRPr="006846D6">
        <w:rPr>
          <w:rFonts w:ascii="Times New Roman" w:eastAsia="Times New Roman" w:hAnsi="Times New Roman" w:cs="Times New Roman"/>
          <w:b/>
          <w:bCs/>
          <w:sz w:val="20"/>
          <w:szCs w:val="20"/>
          <w:lang w:val="uk-UA" w:eastAsia="ru-RU"/>
        </w:rPr>
        <w:t>;</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jc w:val="left"/>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         Реєстр неприбуткових організацій </w:t>
      </w:r>
    </w:p>
    <w:p w:rsidR="007A183B" w:rsidRPr="007A183B" w:rsidRDefault="007A183B" w:rsidP="009D4B03">
      <w:pPr>
        <w:jc w:val="cente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w:t>
      </w:r>
      <w:hyperlink r:id="rId12" w:history="1">
        <w:r w:rsidRPr="006846D6">
          <w:rPr>
            <w:rFonts w:ascii="Times New Roman" w:eastAsia="Times New Roman" w:hAnsi="Times New Roman" w:cs="Times New Roman"/>
            <w:b/>
            <w:bCs/>
            <w:color w:val="0000FF"/>
            <w:sz w:val="20"/>
            <w:szCs w:val="20"/>
            <w:u w:val="single"/>
            <w:lang w:val="uk-UA" w:eastAsia="ru-RU"/>
          </w:rPr>
          <w:t>https://data.gov.ua/dataset/2888f31a-9a0d-4c77-b570-0895753fa9cb</w:t>
        </w:r>
      </w:hyperlink>
      <w:r w:rsidRPr="006846D6">
        <w:rPr>
          <w:rFonts w:ascii="Times New Roman" w:eastAsia="Times New Roman" w:hAnsi="Times New Roman" w:cs="Times New Roman"/>
          <w:b/>
          <w:bCs/>
          <w:sz w:val="20"/>
          <w:szCs w:val="20"/>
          <w:lang w:val="uk-UA" w:eastAsia="ru-RU"/>
        </w:rPr>
        <w:t xml:space="preserve">; </w:t>
      </w:r>
      <w:hyperlink r:id="rId13" w:history="1">
        <w:r w:rsidRPr="006846D6">
          <w:rPr>
            <w:rFonts w:ascii="Times New Roman" w:eastAsia="Times New Roman" w:hAnsi="Times New Roman" w:cs="Times New Roman"/>
            <w:b/>
            <w:bCs/>
            <w:color w:val="0000FF"/>
            <w:sz w:val="20"/>
            <w:szCs w:val="20"/>
            <w:u w:val="single"/>
            <w:lang w:val="uk-UA" w:eastAsia="ru-RU"/>
          </w:rPr>
          <w:t>http://tax.gov.ua/datasets.php?d=DFS20190613183429</w:t>
        </w:r>
      </w:hyperlink>
      <w:r w:rsidRPr="006846D6">
        <w:rPr>
          <w:rFonts w:ascii="Times New Roman" w:eastAsia="Times New Roman" w:hAnsi="Times New Roman" w:cs="Times New Roman"/>
          <w:b/>
          <w:bCs/>
          <w:sz w:val="20"/>
          <w:szCs w:val="20"/>
          <w:lang w:val="uk-UA" w:eastAsia="ru-RU"/>
        </w:rPr>
        <w:t>;</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jc w:val="left"/>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         Реєстр платників єдиного податку </w:t>
      </w:r>
    </w:p>
    <w:p w:rsidR="007A183B" w:rsidRPr="007A183B" w:rsidRDefault="007A183B" w:rsidP="009D4B03">
      <w:pPr>
        <w:jc w:val="cente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w:t>
      </w:r>
      <w:hyperlink r:id="rId14" w:history="1">
        <w:r w:rsidRPr="006846D6">
          <w:rPr>
            <w:rFonts w:ascii="Times New Roman" w:eastAsia="Times New Roman" w:hAnsi="Times New Roman" w:cs="Times New Roman"/>
            <w:b/>
            <w:bCs/>
            <w:color w:val="0000FF"/>
            <w:sz w:val="20"/>
            <w:szCs w:val="20"/>
            <w:u w:val="single"/>
            <w:lang w:val="uk-UA" w:eastAsia="ru-RU"/>
          </w:rPr>
          <w:t>https://data.gov.ua/dataset/198185ea-44d6-48f0-877c-44251c413f64</w:t>
        </w:r>
      </w:hyperlink>
      <w:r w:rsidRPr="006846D6">
        <w:rPr>
          <w:rFonts w:ascii="Times New Roman" w:eastAsia="Times New Roman" w:hAnsi="Times New Roman" w:cs="Times New Roman"/>
          <w:b/>
          <w:bCs/>
          <w:sz w:val="20"/>
          <w:szCs w:val="20"/>
          <w:lang w:val="uk-UA" w:eastAsia="ru-RU"/>
        </w:rPr>
        <w:t>;</w:t>
      </w:r>
      <w:r w:rsidRPr="007A183B">
        <w:rPr>
          <w:rFonts w:ascii="Times New Roman" w:eastAsia="Times New Roman" w:hAnsi="Times New Roman" w:cs="Times New Roman"/>
          <w:sz w:val="20"/>
          <w:szCs w:val="20"/>
          <w:lang w:val="uk-UA" w:eastAsia="ru-RU"/>
        </w:rPr>
        <w:t xml:space="preserve"> </w:t>
      </w:r>
    </w:p>
    <w:p w:rsidR="007A183B" w:rsidRPr="007A183B" w:rsidRDefault="003F691E" w:rsidP="009D4B03">
      <w:pPr>
        <w:jc w:val="center"/>
        <w:rPr>
          <w:rFonts w:ascii="Times New Roman" w:eastAsia="Times New Roman" w:hAnsi="Times New Roman" w:cs="Times New Roman"/>
          <w:sz w:val="20"/>
          <w:szCs w:val="20"/>
          <w:lang w:val="uk-UA" w:eastAsia="ru-RU"/>
        </w:rPr>
      </w:pPr>
      <w:hyperlink r:id="rId15" w:history="1">
        <w:r w:rsidR="007A183B" w:rsidRPr="006846D6">
          <w:rPr>
            <w:rFonts w:ascii="Times New Roman" w:eastAsia="Times New Roman" w:hAnsi="Times New Roman" w:cs="Times New Roman"/>
            <w:b/>
            <w:bCs/>
            <w:color w:val="0000FF"/>
            <w:sz w:val="20"/>
            <w:szCs w:val="20"/>
            <w:u w:val="single"/>
            <w:lang w:val="uk-UA" w:eastAsia="ru-RU"/>
          </w:rPr>
          <w:t>http://tax.gov.ua/datasets.php?d=DFS20190614132019</w:t>
        </w:r>
      </w:hyperlink>
      <w:r w:rsidR="007A183B" w:rsidRPr="006846D6">
        <w:rPr>
          <w:rFonts w:ascii="Times New Roman" w:eastAsia="Times New Roman" w:hAnsi="Times New Roman" w:cs="Times New Roman"/>
          <w:b/>
          <w:bCs/>
          <w:sz w:val="20"/>
          <w:szCs w:val="20"/>
          <w:lang w:val="uk-UA" w:eastAsia="ru-RU"/>
        </w:rPr>
        <w:t>;</w:t>
      </w:r>
      <w:r w:rsidR="007A183B"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jc w:val="left"/>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         Реєстр платників акцизного податку з реалізації пального та спирту етилового </w:t>
      </w:r>
    </w:p>
    <w:p w:rsidR="007A183B" w:rsidRPr="007A183B" w:rsidRDefault="007A183B" w:rsidP="009D4B03">
      <w:pPr>
        <w:jc w:val="cente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w:t>
      </w:r>
      <w:hyperlink r:id="rId16" w:history="1">
        <w:r w:rsidRPr="006846D6">
          <w:rPr>
            <w:rFonts w:ascii="Times New Roman" w:eastAsia="Times New Roman" w:hAnsi="Times New Roman" w:cs="Times New Roman"/>
            <w:b/>
            <w:bCs/>
            <w:color w:val="0000FF"/>
            <w:sz w:val="20"/>
            <w:szCs w:val="20"/>
            <w:u w:val="single"/>
            <w:lang w:val="uk-UA" w:eastAsia="ru-RU"/>
          </w:rPr>
          <w:t>https://data.gov.ua/dataset/08607f4c-b3f1-4b2f-8dbc-cd5866e5e60c</w:t>
        </w:r>
      </w:hyperlink>
      <w:r w:rsidRPr="006846D6">
        <w:rPr>
          <w:rFonts w:ascii="Times New Roman" w:eastAsia="Times New Roman" w:hAnsi="Times New Roman" w:cs="Times New Roman"/>
          <w:b/>
          <w:bCs/>
          <w:sz w:val="20"/>
          <w:szCs w:val="20"/>
          <w:lang w:val="uk-UA" w:eastAsia="ru-RU"/>
        </w:rPr>
        <w:t>;</w:t>
      </w:r>
      <w:r w:rsidRPr="007A183B">
        <w:rPr>
          <w:rFonts w:ascii="Times New Roman" w:eastAsia="Times New Roman" w:hAnsi="Times New Roman" w:cs="Times New Roman"/>
          <w:sz w:val="20"/>
          <w:szCs w:val="20"/>
          <w:lang w:val="uk-UA" w:eastAsia="ru-RU"/>
        </w:rPr>
        <w:t xml:space="preserve"> </w:t>
      </w:r>
    </w:p>
    <w:p w:rsidR="007A183B" w:rsidRPr="006846D6" w:rsidRDefault="003F691E" w:rsidP="009D4B03">
      <w:pPr>
        <w:jc w:val="center"/>
        <w:rPr>
          <w:rFonts w:ascii="Times New Roman" w:eastAsia="Times New Roman" w:hAnsi="Times New Roman" w:cs="Times New Roman"/>
          <w:sz w:val="20"/>
          <w:szCs w:val="20"/>
          <w:lang w:val="uk-UA" w:eastAsia="ru-RU"/>
        </w:rPr>
      </w:pPr>
      <w:hyperlink r:id="rId17" w:history="1">
        <w:r w:rsidR="007A183B" w:rsidRPr="006846D6">
          <w:rPr>
            <w:rFonts w:ascii="Times New Roman" w:eastAsia="Times New Roman" w:hAnsi="Times New Roman" w:cs="Times New Roman"/>
            <w:b/>
            <w:bCs/>
            <w:color w:val="0000FF"/>
            <w:sz w:val="20"/>
            <w:szCs w:val="20"/>
            <w:u w:val="single"/>
            <w:lang w:val="uk-UA" w:eastAsia="ru-RU"/>
          </w:rPr>
          <w:t>http://tax.gov.ua/datasets.php?d=DFS20190610093942</w:t>
        </w:r>
      </w:hyperlink>
      <w:r w:rsidR="007A183B" w:rsidRPr="006846D6">
        <w:rPr>
          <w:rFonts w:ascii="Times New Roman" w:eastAsia="Times New Roman" w:hAnsi="Times New Roman" w:cs="Times New Roman"/>
          <w:b/>
          <w:bCs/>
          <w:sz w:val="20"/>
          <w:szCs w:val="20"/>
          <w:lang w:val="uk-UA" w:eastAsia="ru-RU"/>
        </w:rPr>
        <w:t>.</w:t>
      </w:r>
      <w:r w:rsidR="007A183B"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jc w:val="cente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Про отримання витягу щодо стану розрахунків платників з бюджетом та фондами соціального та пенсійного забезпечення повідомляє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В</w:t>
      </w:r>
      <w:r w:rsidR="007A183B" w:rsidRPr="007A183B">
        <w:rPr>
          <w:rFonts w:ascii="Times New Roman" w:eastAsia="Times New Roman" w:hAnsi="Times New Roman" w:cs="Times New Roman"/>
          <w:sz w:val="20"/>
          <w:szCs w:val="20"/>
          <w:lang w:val="uk-UA" w:eastAsia="ru-RU"/>
        </w:rPr>
        <w:t>ідповідно до п. 42</w:t>
      </w:r>
      <w:r w:rsidR="007A183B" w:rsidRPr="007A183B">
        <w:rPr>
          <w:rFonts w:ascii="Times New Roman" w:eastAsia="Times New Roman" w:hAnsi="Times New Roman" w:cs="Times New Roman"/>
          <w:sz w:val="20"/>
          <w:szCs w:val="20"/>
          <w:vertAlign w:val="superscript"/>
          <w:lang w:val="uk-UA" w:eastAsia="ru-RU"/>
        </w:rPr>
        <w:t>1</w:t>
      </w:r>
      <w:r w:rsidR="007A183B" w:rsidRPr="007A183B">
        <w:rPr>
          <w:rFonts w:ascii="Times New Roman" w:eastAsia="Times New Roman" w:hAnsi="Times New Roman" w:cs="Times New Roman"/>
          <w:sz w:val="20"/>
          <w:szCs w:val="20"/>
          <w:lang w:val="uk-UA" w:eastAsia="ru-RU"/>
        </w:rPr>
        <w:t>.2 ст. 42</w:t>
      </w:r>
      <w:r w:rsidR="007A183B" w:rsidRPr="007A183B">
        <w:rPr>
          <w:rFonts w:ascii="Times New Roman" w:eastAsia="Times New Roman" w:hAnsi="Times New Roman" w:cs="Times New Roman"/>
          <w:sz w:val="20"/>
          <w:szCs w:val="20"/>
          <w:vertAlign w:val="superscript"/>
          <w:lang w:val="uk-UA" w:eastAsia="ru-RU"/>
        </w:rPr>
        <w:t>1</w:t>
      </w:r>
      <w:r w:rsidR="007A183B" w:rsidRPr="007A183B">
        <w:rPr>
          <w:rFonts w:ascii="Times New Roman" w:eastAsia="Times New Roman" w:hAnsi="Times New Roman" w:cs="Times New Roman"/>
          <w:sz w:val="20"/>
          <w:szCs w:val="20"/>
          <w:lang w:val="uk-UA" w:eastAsia="ru-RU"/>
        </w:rPr>
        <w:t xml:space="preserve"> Податкового кодексу України (далі –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перегляду в режимі реального часу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платежів, єдиного внеску, здійсненням податкового контролю, у тому числі дані оперативного обліку податків, зборів, єдиного внеску на загальнообов’язкове державне соціальне страхування (далі – єдиний внесок) (у тому числі дані інтегрованих карток платників податків);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проведення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контролюючого органу із застосуванням засобів кваліфікованого електронного підпису (далі – КЕП)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З метою реалізації вимог ст. 42</w:t>
      </w:r>
      <w:r w:rsidRPr="007A183B">
        <w:rPr>
          <w:rFonts w:ascii="Times New Roman" w:eastAsia="Times New Roman" w:hAnsi="Times New Roman" w:cs="Times New Roman"/>
          <w:sz w:val="20"/>
          <w:szCs w:val="20"/>
          <w:vertAlign w:val="superscript"/>
          <w:lang w:val="uk-UA" w:eastAsia="ru-RU"/>
        </w:rPr>
        <w:t>1</w:t>
      </w:r>
      <w:r w:rsidRPr="007A183B">
        <w:rPr>
          <w:rFonts w:ascii="Times New Roman" w:eastAsia="Times New Roman" w:hAnsi="Times New Roman" w:cs="Times New Roman"/>
          <w:sz w:val="20"/>
          <w:szCs w:val="20"/>
          <w:lang w:val="uk-UA" w:eastAsia="ru-RU"/>
        </w:rPr>
        <w:t xml:space="preserve"> ПКУ в ІТС «Електронний кабінет» запроваджено електронний сервіс з використанням якого платники мають можливість доступу у режимі реального часу до даних інтегрованих карток платників, а також отримання підтверджуючого документу щодо стану розрахунків платника з бюджетом та фондами соціального та пенсійного забезпечення (далі - Витяг).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Доступ в Електронному кабінеті до показників інтегрованих карток дозволяє платнику безперешкодно у дистанційному режимі володіти інформацією щодо повноти та своєчасності розрахунків з бюджетами та фондами соціального та пенсійного забезпечення, а також проводити звірення відповідності даних бухгалтерського обліку платника та даних органу ДПС.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Крім цього, фізичні особи мають змогу сплатити податки, збори, платежі та єдиний внесок, скориставшись однією з платіжних систем. Для цього в Електронному кабінеті реалізована можливість автоматичного заповнення платіжного доручення на підставі облікових даних платника, відомостей про рахунки для зарахування платежів до бюджету.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Разом з цим, платник має можливість надіслати запит про отримання витягу щодо стану розрахунків з бюджетами та фондами соціального та пенсійного забезпечення за даними органів ДПС (далі – Запит) через меню </w:t>
      </w:r>
      <w:r w:rsidRPr="006846D6">
        <w:rPr>
          <w:rFonts w:ascii="Times New Roman" w:eastAsia="Times New Roman" w:hAnsi="Times New Roman" w:cs="Times New Roman"/>
          <w:i/>
          <w:iCs/>
          <w:sz w:val="20"/>
          <w:szCs w:val="20"/>
          <w:lang w:val="uk-UA" w:eastAsia="ru-RU"/>
        </w:rPr>
        <w:t>«Заяви, запити для отримання інформації»</w:t>
      </w:r>
      <w:r w:rsidRPr="007A183B">
        <w:rPr>
          <w:rFonts w:ascii="Times New Roman" w:eastAsia="Times New Roman" w:hAnsi="Times New Roman" w:cs="Times New Roman"/>
          <w:sz w:val="20"/>
          <w:szCs w:val="20"/>
          <w:lang w:val="uk-UA" w:eastAsia="ru-RU"/>
        </w:rPr>
        <w:t xml:space="preserve"> приватної частини Електронного кабінету.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Відповідь на Запит платнику надсилається через Електронний кабінет не пізніше п’ятнадцяти робочих днів з дня його отримання у вигляді витягу з інформаційної системи органів ДПС щодо стану розрахунків платника з бюджетом та фондами соціального та пенсійного забезпечення за формою        </w:t>
      </w:r>
      <w:r w:rsidRPr="006846D6">
        <w:rPr>
          <w:rFonts w:ascii="Times New Roman" w:eastAsia="Times New Roman" w:hAnsi="Times New Roman" w:cs="Times New Roman"/>
          <w:b/>
          <w:bCs/>
          <w:i/>
          <w:iCs/>
          <w:sz w:val="20"/>
          <w:szCs w:val="20"/>
          <w:lang w:val="uk-UA" w:eastAsia="ru-RU"/>
        </w:rPr>
        <w:t>«J/F 400203»</w:t>
      </w:r>
      <w:r w:rsidRPr="007A183B">
        <w:rPr>
          <w:rFonts w:ascii="Times New Roman" w:eastAsia="Times New Roman" w:hAnsi="Times New Roman" w:cs="Times New Roman"/>
          <w:sz w:val="20"/>
          <w:szCs w:val="20"/>
          <w:lang w:val="uk-UA" w:eastAsia="ru-RU"/>
        </w:rPr>
        <w:t xml:space="preserve"> (далі – Витяг).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Витяг формується за період вибраний платником при створені Запиту з урахуванням строків давності, станом на дату відправлення Запиту до органів ДПС.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Таким чином, у зв’язку з впровадженням електронних сервісів для платників Порядком ведення органами Державної фіскальної служби України оперативного обліку податків, зборів, митних та інших платежів до бюджетів, єдиного внеску на загальнообов’язкове державне соціальне страхування від 07.04.2016 № 422, затвердженого Міністерством фінансів України, зареєстрованого у Міністерстві юстиції України 20.05.2016 за № 751/28881 (далі – Наказ № 422), не передбачено отримання платником акта звірення стану розрахунків за податками, зборами, платежами та єдиним внеском за відповідний звітний період в паперовому вигляді.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Водночас згідно зі ст. 1 Закону України від 02 жовтня 1996 року № 393/96-ВР «Про звернення громадян» із змінами та доповненнями (далі –   Закон № 393) громадяни України мають право звернутися до органів державної влади, зокрема із заявою або клопотанням щодо реалізації своїх </w:t>
      </w:r>
      <w:proofErr w:type="spellStart"/>
      <w:r w:rsidRPr="007A183B">
        <w:rPr>
          <w:rFonts w:ascii="Times New Roman" w:eastAsia="Times New Roman" w:hAnsi="Times New Roman" w:cs="Times New Roman"/>
          <w:sz w:val="20"/>
          <w:szCs w:val="20"/>
          <w:lang w:val="uk-UA" w:eastAsia="ru-RU"/>
        </w:rPr>
        <w:t>соціально-</w:t>
      </w:r>
      <w:proofErr w:type="spellEnd"/>
      <w:r w:rsidRPr="007A183B">
        <w:rPr>
          <w:rFonts w:ascii="Times New Roman" w:eastAsia="Times New Roman" w:hAnsi="Times New Roman" w:cs="Times New Roman"/>
          <w:sz w:val="20"/>
          <w:szCs w:val="20"/>
          <w:lang w:val="uk-UA" w:eastAsia="ru-RU"/>
        </w:rPr>
        <w:t xml:space="preserve"> економічних та особистих прав і законних інтересів.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 xml:space="preserve">При цьому такі 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від дня їх отримання   (ст. 20 Закону № 393).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Програмний РРО в режимі </w:t>
      </w:r>
      <w:proofErr w:type="spellStart"/>
      <w:r w:rsidRPr="007A183B">
        <w:rPr>
          <w:rFonts w:ascii="Times New Roman" w:eastAsia="Times New Roman" w:hAnsi="Times New Roman" w:cs="Times New Roman"/>
          <w:b/>
          <w:bCs/>
          <w:kern w:val="36"/>
          <w:sz w:val="20"/>
          <w:szCs w:val="20"/>
          <w:lang w:val="uk-UA" w:eastAsia="ru-RU"/>
        </w:rPr>
        <w:t>офлайн</w:t>
      </w:r>
      <w:proofErr w:type="spellEnd"/>
      <w:r w:rsidRPr="007A183B">
        <w:rPr>
          <w:rFonts w:ascii="Times New Roman" w:eastAsia="Times New Roman" w:hAnsi="Times New Roman" w:cs="Times New Roman"/>
          <w:b/>
          <w:bCs/>
          <w:kern w:val="36"/>
          <w:sz w:val="20"/>
          <w:szCs w:val="20"/>
          <w:lang w:val="uk-UA" w:eastAsia="ru-RU"/>
        </w:rPr>
        <w:t xml:space="preserve">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З</w:t>
      </w:r>
      <w:r w:rsidR="007A183B" w:rsidRPr="007A183B">
        <w:rPr>
          <w:rFonts w:ascii="Times New Roman" w:eastAsia="Times New Roman" w:hAnsi="Times New Roman" w:cs="Times New Roman"/>
          <w:sz w:val="20"/>
          <w:szCs w:val="20"/>
          <w:lang w:val="uk-UA" w:eastAsia="ru-RU"/>
        </w:rPr>
        <w:t>вертає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увагу платників, що на період відсутності зв’язку між програмним реєстратором розрахункових операцій (далі – ПРРО) та фіскальним сервером контролюючого органу проведення розрахункових операцій здійснюється в режимі </w:t>
      </w:r>
      <w:proofErr w:type="spellStart"/>
      <w:r w:rsidR="007A183B" w:rsidRPr="007A183B">
        <w:rPr>
          <w:rFonts w:ascii="Times New Roman" w:eastAsia="Times New Roman" w:hAnsi="Times New Roman" w:cs="Times New Roman"/>
          <w:sz w:val="20"/>
          <w:szCs w:val="20"/>
          <w:lang w:val="uk-UA" w:eastAsia="ru-RU"/>
        </w:rPr>
        <w:t>офлайн</w:t>
      </w:r>
      <w:proofErr w:type="spellEnd"/>
      <w:r w:rsidR="007A183B" w:rsidRPr="007A183B">
        <w:rPr>
          <w:rFonts w:ascii="Times New Roman" w:eastAsia="Times New Roman" w:hAnsi="Times New Roman" w:cs="Times New Roman"/>
          <w:sz w:val="20"/>
          <w:szCs w:val="20"/>
          <w:lang w:val="uk-UA" w:eastAsia="ru-RU"/>
        </w:rPr>
        <w:t xml:space="preserve">, що може тривати не більше 36 годин,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Державної податкової служби.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Під час роботи в режимі </w:t>
      </w:r>
      <w:proofErr w:type="spellStart"/>
      <w:r w:rsidRPr="007A183B">
        <w:rPr>
          <w:rFonts w:ascii="Times New Roman" w:eastAsia="Times New Roman" w:hAnsi="Times New Roman" w:cs="Times New Roman"/>
          <w:sz w:val="20"/>
          <w:szCs w:val="20"/>
          <w:lang w:val="uk-UA" w:eastAsia="ru-RU"/>
        </w:rPr>
        <w:t>офлайн</w:t>
      </w:r>
      <w:proofErr w:type="spellEnd"/>
      <w:r w:rsidRPr="007A183B">
        <w:rPr>
          <w:rFonts w:ascii="Times New Roman" w:eastAsia="Times New Roman" w:hAnsi="Times New Roman" w:cs="Times New Roman"/>
          <w:sz w:val="20"/>
          <w:szCs w:val="20"/>
          <w:lang w:val="uk-UA" w:eastAsia="ru-RU"/>
        </w:rPr>
        <w:t xml:space="preserve"> програмне рішення ПРРО має забезпечувати контроль залишку часу протягом якого може тривати режим </w:t>
      </w:r>
      <w:proofErr w:type="spellStart"/>
      <w:r w:rsidRPr="007A183B">
        <w:rPr>
          <w:rFonts w:ascii="Times New Roman" w:eastAsia="Times New Roman" w:hAnsi="Times New Roman" w:cs="Times New Roman"/>
          <w:sz w:val="20"/>
          <w:szCs w:val="20"/>
          <w:lang w:val="uk-UA" w:eastAsia="ru-RU"/>
        </w:rPr>
        <w:t>офлайн</w:t>
      </w:r>
      <w:proofErr w:type="spellEnd"/>
      <w:r w:rsidRPr="007A183B">
        <w:rPr>
          <w:rFonts w:ascii="Times New Roman" w:eastAsia="Times New Roman" w:hAnsi="Times New Roman" w:cs="Times New Roman"/>
          <w:sz w:val="20"/>
          <w:szCs w:val="20"/>
          <w:lang w:val="uk-UA" w:eastAsia="ru-RU"/>
        </w:rPr>
        <w:t xml:space="preserve"> (36 годин підряд або 168 годин на місяць).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Час, протягом якого ПРРО перебував у режимі </w:t>
      </w:r>
      <w:proofErr w:type="spellStart"/>
      <w:r w:rsidRPr="007A183B">
        <w:rPr>
          <w:rFonts w:ascii="Times New Roman" w:eastAsia="Times New Roman" w:hAnsi="Times New Roman" w:cs="Times New Roman"/>
          <w:sz w:val="20"/>
          <w:szCs w:val="20"/>
          <w:lang w:val="uk-UA" w:eastAsia="ru-RU"/>
        </w:rPr>
        <w:t>офлайн</w:t>
      </w:r>
      <w:proofErr w:type="spellEnd"/>
      <w:r w:rsidRPr="007A183B">
        <w:rPr>
          <w:rFonts w:ascii="Times New Roman" w:eastAsia="Times New Roman" w:hAnsi="Times New Roman" w:cs="Times New Roman"/>
          <w:sz w:val="20"/>
          <w:szCs w:val="20"/>
          <w:lang w:val="uk-UA" w:eastAsia="ru-RU"/>
        </w:rPr>
        <w:t xml:space="preserve">, підраховується шляхом сумування таких періодів: від дати та часу, що зазначаються у повідомленні з відміткою «початок переведення ПРРО в режим </w:t>
      </w:r>
      <w:proofErr w:type="spellStart"/>
      <w:r w:rsidRPr="007A183B">
        <w:rPr>
          <w:rFonts w:ascii="Times New Roman" w:eastAsia="Times New Roman" w:hAnsi="Times New Roman" w:cs="Times New Roman"/>
          <w:sz w:val="20"/>
          <w:szCs w:val="20"/>
          <w:lang w:val="uk-UA" w:eastAsia="ru-RU"/>
        </w:rPr>
        <w:t>офлайн</w:t>
      </w:r>
      <w:proofErr w:type="spellEnd"/>
      <w:r w:rsidRPr="007A183B">
        <w:rPr>
          <w:rFonts w:ascii="Times New Roman" w:eastAsia="Times New Roman" w:hAnsi="Times New Roman" w:cs="Times New Roman"/>
          <w:sz w:val="20"/>
          <w:szCs w:val="20"/>
          <w:lang w:val="uk-UA" w:eastAsia="ru-RU"/>
        </w:rPr>
        <w:t xml:space="preserve">» до дати та часу, зазначених у повідомленні «завершення режиму </w:t>
      </w:r>
      <w:proofErr w:type="spellStart"/>
      <w:r w:rsidRPr="007A183B">
        <w:rPr>
          <w:rFonts w:ascii="Times New Roman" w:eastAsia="Times New Roman" w:hAnsi="Times New Roman" w:cs="Times New Roman"/>
          <w:sz w:val="20"/>
          <w:szCs w:val="20"/>
          <w:lang w:val="uk-UA" w:eastAsia="ru-RU"/>
        </w:rPr>
        <w:t>офлайн</w:t>
      </w:r>
      <w:proofErr w:type="spellEnd"/>
      <w:r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Закон України № 466: формування податкового кредиту на підставі тимчасової митної декларації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вніс зміни у норми, які встановлюють правила оподаткування зовнішньоекономічної діяльності платників ПДВ.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Так, згідно із п. 198.6 ст. 198 Податкового кодексу України (далі – ПКУ) не відносяться до податкового кредиту суми ПДВ, сплаченого (нарахованого) у зв’язку з придбанням товарів/послуг, не підтверджені зареєстрованими в Єдиному реєстрі податкових накладних (далі – ЄРПН) податковими накладними/розрахунками коригування до таких податкових накладних чи не підтверджені митними деклараціями (тимчасовими, додатковими та іншими видами митних декларацій, за якими сплачуються суми ПДВ до бюджету при ввезенні товарів на митну територію України), іншими документами, передбаченими п. 201.11 ст. 201 ПКУ. Норма набрала чинності з 23.05.2020.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разі ввезення товарів на митну територію України документом, що посвідчує право на віднесення сум податку до податкового кредиту, вважається митна декларація, оформлена відповідно до вимог законодавства, яка підтверджує сплату податку (п. 201.12 ст. 201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Отже, якщо при ввезенні товарів на митну територію України платником ПДВ сплачено суму ПДВ до бюджету і така сплата підтверджується митними деклараціями, у тому числі тимчасовими, додатковими деклараціями, платник ПДВ має право на включення такої суми ПДВ до складу податкового кредиту звітного періоду, в якому відбулося оформлення відповідної митної декларації.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Датою виникнення податкових зобов’язань у разі ввезення товарів на митну територію України є дата подання митної декларації для митного оформлення     (п. 187.8 ст. 187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На дату виникнення податкових зобов’язань платник ПДВ зобов’язаний скласти податкову накладну та зареєструвати її в ЄРПН у встановлений ПКУ термін (п. 201.1 ст. 201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Відносини, пов’язані із справлянням митних платежів, зокрема ПДВ із ввезених на митну територію України товарів, регулюються Митним кодексом України (далі – </w:t>
      </w:r>
      <w:proofErr w:type="spellStart"/>
      <w:r w:rsidRPr="007A183B">
        <w:rPr>
          <w:rFonts w:ascii="Times New Roman" w:eastAsia="Times New Roman" w:hAnsi="Times New Roman" w:cs="Times New Roman"/>
          <w:sz w:val="20"/>
          <w:szCs w:val="20"/>
          <w:lang w:val="uk-UA" w:eastAsia="ru-RU"/>
        </w:rPr>
        <w:t>МКУ</w:t>
      </w:r>
      <w:proofErr w:type="spellEnd"/>
      <w:r w:rsidRPr="007A183B">
        <w:rPr>
          <w:rFonts w:ascii="Times New Roman" w:eastAsia="Times New Roman" w:hAnsi="Times New Roman" w:cs="Times New Roman"/>
          <w:sz w:val="20"/>
          <w:szCs w:val="20"/>
          <w:lang w:val="uk-UA" w:eastAsia="ru-RU"/>
        </w:rPr>
        <w:t xml:space="preserve">), ПКУ та іншими законами України з питань оподаткування (ч. 2 ст. 1 </w:t>
      </w:r>
      <w:proofErr w:type="spellStart"/>
      <w:r w:rsidRPr="007A183B">
        <w:rPr>
          <w:rFonts w:ascii="Times New Roman" w:eastAsia="Times New Roman" w:hAnsi="Times New Roman" w:cs="Times New Roman"/>
          <w:sz w:val="20"/>
          <w:szCs w:val="20"/>
          <w:lang w:val="uk-UA" w:eastAsia="ru-RU"/>
        </w:rPr>
        <w:t>МКУ</w:t>
      </w:r>
      <w:proofErr w:type="spellEnd"/>
      <w:r w:rsidRPr="007A183B">
        <w:rPr>
          <w:rFonts w:ascii="Times New Roman" w:eastAsia="Times New Roman" w:hAnsi="Times New Roman" w:cs="Times New Roman"/>
          <w:sz w:val="20"/>
          <w:szCs w:val="20"/>
          <w:lang w:val="uk-UA" w:eastAsia="ru-RU"/>
        </w:rPr>
        <w:t xml:space="preserve">).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Згідно із ч. 1 ст. 260 </w:t>
      </w:r>
      <w:proofErr w:type="spellStart"/>
      <w:r w:rsidRPr="007A183B">
        <w:rPr>
          <w:rFonts w:ascii="Times New Roman" w:eastAsia="Times New Roman" w:hAnsi="Times New Roman" w:cs="Times New Roman"/>
          <w:sz w:val="20"/>
          <w:szCs w:val="20"/>
          <w:lang w:val="uk-UA" w:eastAsia="ru-RU"/>
        </w:rPr>
        <w:t>МКУ</w:t>
      </w:r>
      <w:proofErr w:type="spellEnd"/>
      <w:r w:rsidRPr="007A183B">
        <w:rPr>
          <w:rFonts w:ascii="Times New Roman" w:eastAsia="Times New Roman" w:hAnsi="Times New Roman" w:cs="Times New Roman"/>
          <w:sz w:val="20"/>
          <w:szCs w:val="20"/>
          <w:lang w:val="uk-UA" w:eastAsia="ru-RU"/>
        </w:rPr>
        <w:t xml:space="preserve">, якщо декларант не володіє точними відомостями про характеристики товарів, необхідними для заповнення митної декларації у звичайному порядку, він може подати митному органу тимчасову митну декларацію на такі товари за умови, що вона містить дані, достатні для поміщення їх у заявлений митний режим, та під зобов’язання про подання додаткової декларації у строк не більше 45 днів з дати оформлення тимчасової митної декларації. У разі подання, відповідно до ст. 260 </w:t>
      </w:r>
      <w:proofErr w:type="spellStart"/>
      <w:r w:rsidRPr="007A183B">
        <w:rPr>
          <w:rFonts w:ascii="Times New Roman" w:eastAsia="Times New Roman" w:hAnsi="Times New Roman" w:cs="Times New Roman"/>
          <w:sz w:val="20"/>
          <w:szCs w:val="20"/>
          <w:lang w:val="uk-UA" w:eastAsia="ru-RU"/>
        </w:rPr>
        <w:t>МКУ</w:t>
      </w:r>
      <w:proofErr w:type="spellEnd"/>
      <w:r w:rsidRPr="007A183B">
        <w:rPr>
          <w:rFonts w:ascii="Times New Roman" w:eastAsia="Times New Roman" w:hAnsi="Times New Roman" w:cs="Times New Roman"/>
          <w:sz w:val="20"/>
          <w:szCs w:val="20"/>
          <w:lang w:val="uk-UA" w:eastAsia="ru-RU"/>
        </w:rPr>
        <w:t xml:space="preserve">, тимчасової митної декларації декларант повинен протягом строків, визначених відповідно до </w:t>
      </w:r>
      <w:proofErr w:type="spellStart"/>
      <w:r w:rsidRPr="007A183B">
        <w:rPr>
          <w:rFonts w:ascii="Times New Roman" w:eastAsia="Times New Roman" w:hAnsi="Times New Roman" w:cs="Times New Roman"/>
          <w:sz w:val="20"/>
          <w:szCs w:val="20"/>
          <w:lang w:val="uk-UA" w:eastAsia="ru-RU"/>
        </w:rPr>
        <w:t>МКУ</w:t>
      </w:r>
      <w:proofErr w:type="spellEnd"/>
      <w:r w:rsidRPr="007A183B">
        <w:rPr>
          <w:rFonts w:ascii="Times New Roman" w:eastAsia="Times New Roman" w:hAnsi="Times New Roman" w:cs="Times New Roman"/>
          <w:sz w:val="20"/>
          <w:szCs w:val="20"/>
          <w:lang w:val="uk-UA" w:eastAsia="ru-RU"/>
        </w:rPr>
        <w:t xml:space="preserve">, подати митному органу додаткову декларацію, яка містить точні відомості про товари, задекларовані за тимчасовою митною декларацією, що подавалися б у разі декларування цих товарів за митною декларацією, заповненою у звичайному порядку (ч. 1 ст. 261 </w:t>
      </w:r>
      <w:proofErr w:type="spellStart"/>
      <w:r w:rsidRPr="007A183B">
        <w:rPr>
          <w:rFonts w:ascii="Times New Roman" w:eastAsia="Times New Roman" w:hAnsi="Times New Roman" w:cs="Times New Roman"/>
          <w:sz w:val="20"/>
          <w:szCs w:val="20"/>
          <w:lang w:val="uk-UA" w:eastAsia="ru-RU"/>
        </w:rPr>
        <w:t>МКУ</w:t>
      </w:r>
      <w:proofErr w:type="spellEnd"/>
      <w:r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Тестування за рахунок роботодавця на COVID-19: коли сплачується ПДФО? </w:t>
      </w:r>
    </w:p>
    <w:p w:rsidR="007A183B" w:rsidRPr="007A183B" w:rsidRDefault="009D4B03"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І</w:t>
      </w:r>
      <w:r w:rsidR="007A183B" w:rsidRPr="007A183B">
        <w:rPr>
          <w:rFonts w:ascii="Times New Roman" w:eastAsia="Times New Roman" w:hAnsi="Times New Roman" w:cs="Times New Roman"/>
          <w:sz w:val="20"/>
          <w:szCs w:val="20"/>
          <w:lang w:val="uk-UA" w:eastAsia="ru-RU"/>
        </w:rPr>
        <w:t>нформує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до загального місячного (річного) оподатковуваного доходу платника податку на доходи фізичних осіб (далі – ПДФО) не включаються, зокрема кошти або вартість майна (послуг), що надаються як допомога на лікування та медичне обслуговування платника ПДФО або члена сім’ї фізичної особи першого ступеня споріднення, дитини, яка перебуває під опікою або піклуванням платника ПДФО, за умови документального підтвердження витрат, пов’язаних із наданням зазначеної допомоги (у разі надання коштів), у тому числі, але не виключно, для придбання ліків та виробів медичного призначення для індивідуального користування інвалідів, за рахунок коштів роботодавця за наявності відповідних підтвердних документів, крім витрат, що компенсуються виплатами з фонду загальнообов’язкового державного соціального медичного страхування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Норми встановлені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165.1.19 п. 165.1 ст. 165 Податкового кодексу України (далі –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Отже, вартість послуг з медичного обслуговування у вигляді проведення тестів з метою профілактики захворювання на </w:t>
      </w:r>
      <w:proofErr w:type="spellStart"/>
      <w:r w:rsidRPr="007A183B">
        <w:rPr>
          <w:rFonts w:ascii="Times New Roman" w:eastAsia="Times New Roman" w:hAnsi="Times New Roman" w:cs="Times New Roman"/>
          <w:sz w:val="20"/>
          <w:szCs w:val="20"/>
          <w:lang w:val="uk-UA" w:eastAsia="ru-RU"/>
        </w:rPr>
        <w:t>коронавірусну</w:t>
      </w:r>
      <w:proofErr w:type="spellEnd"/>
      <w:r w:rsidRPr="007A183B">
        <w:rPr>
          <w:rFonts w:ascii="Times New Roman" w:eastAsia="Times New Roman" w:hAnsi="Times New Roman" w:cs="Times New Roman"/>
          <w:sz w:val="20"/>
          <w:szCs w:val="20"/>
          <w:lang w:val="uk-UA" w:eastAsia="ru-RU"/>
        </w:rPr>
        <w:t xml:space="preserve"> хворобу (COVID-19), що надаються медичним закладом на підставі укладеного договору про медичне обслуговування, фізичній особі (працівнику) за рахунок коштів роботодавця, не включається до загального місячного (річного) оподатковуваного доходу платника податків, за умови дотримання вимог, визначених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165.1.19   п. 165.1 ст. 165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Водночас, до загального місячного (річного) оподатковуваного доходу платника ПДФО включається дохід, отриманий платником ПДФО як додаткове благо у вигляді, зокрема, вартості безоплатно отриманих товарів (робіт, послуг), визначеної за правилами звичайної ціни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«е»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164.2.17 п. 164.2 ст. 164 ПКУ). При цьому якщо додаткові блага надаються у </w:t>
      </w:r>
      <w:proofErr w:type="spellStart"/>
      <w:r w:rsidRPr="007A183B">
        <w:rPr>
          <w:rFonts w:ascii="Times New Roman" w:eastAsia="Times New Roman" w:hAnsi="Times New Roman" w:cs="Times New Roman"/>
          <w:sz w:val="20"/>
          <w:szCs w:val="20"/>
          <w:lang w:val="uk-UA" w:eastAsia="ru-RU"/>
        </w:rPr>
        <w:t>негрошовій</w:t>
      </w:r>
      <w:proofErr w:type="spellEnd"/>
      <w:r w:rsidRPr="007A183B">
        <w:rPr>
          <w:rFonts w:ascii="Times New Roman" w:eastAsia="Times New Roman" w:hAnsi="Times New Roman" w:cs="Times New Roman"/>
          <w:sz w:val="20"/>
          <w:szCs w:val="20"/>
          <w:lang w:val="uk-UA" w:eastAsia="ru-RU"/>
        </w:rPr>
        <w:t xml:space="preserve"> формі, сума ПДФО обчислюється за правилами, визначеними п. 164.5 ст. 164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 xml:space="preserve">Враховуючи вищевикладене, у разі якщо юридичною особою – роботодавцем не дотримуються вимоги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165.1.19 п. 165.1 ст. 165 ПКУ, то вартість послуг, безкоштовно наданих працівникам у вигляді тестування на </w:t>
      </w:r>
      <w:proofErr w:type="spellStart"/>
      <w:r w:rsidRPr="007A183B">
        <w:rPr>
          <w:rFonts w:ascii="Times New Roman" w:eastAsia="Times New Roman" w:hAnsi="Times New Roman" w:cs="Times New Roman"/>
          <w:sz w:val="20"/>
          <w:szCs w:val="20"/>
          <w:lang w:val="uk-UA" w:eastAsia="ru-RU"/>
        </w:rPr>
        <w:t>коронавірусну</w:t>
      </w:r>
      <w:proofErr w:type="spellEnd"/>
      <w:r w:rsidRPr="007A183B">
        <w:rPr>
          <w:rFonts w:ascii="Times New Roman" w:eastAsia="Times New Roman" w:hAnsi="Times New Roman" w:cs="Times New Roman"/>
          <w:sz w:val="20"/>
          <w:szCs w:val="20"/>
          <w:lang w:val="uk-UA" w:eastAsia="ru-RU"/>
        </w:rPr>
        <w:t xml:space="preserve"> хворобу (COVID-19), включається до загального місячного (річного) оподатковуваного доходу таких працівників як додаткове благо та оподатковується ПДФО за ставкою, визначеною п. 167.1 ст. 167 ПКУ – 18 %.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А юридична особа, яка надає дохід у вигляді додаткового блага, виконує функції податкового агента, визначені ПКУ.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Важливі документи, які набрали чинності у вересні 2020 року! </w:t>
      </w:r>
    </w:p>
    <w:p w:rsidR="007A183B" w:rsidRPr="006846D6" w:rsidRDefault="003F691E" w:rsidP="009D4B03">
      <w:pPr>
        <w:jc w:val="center"/>
        <w:rPr>
          <w:rFonts w:ascii="Times New Roman" w:eastAsia="Times New Roman" w:hAnsi="Times New Roman" w:cs="Times New Roman"/>
          <w:sz w:val="20"/>
          <w:szCs w:val="20"/>
          <w:lang w:val="uk-UA" w:eastAsia="ru-RU"/>
        </w:rPr>
      </w:pPr>
      <w:hyperlink r:id="rId18" w:history="1">
        <w:r w:rsidR="007A183B" w:rsidRPr="006846D6">
          <w:rPr>
            <w:rFonts w:ascii="Times New Roman" w:eastAsia="Times New Roman" w:hAnsi="Times New Roman" w:cs="Times New Roman"/>
            <w:b/>
            <w:bCs/>
            <w:color w:val="0000FF"/>
            <w:sz w:val="20"/>
            <w:szCs w:val="20"/>
            <w:u w:val="single"/>
            <w:lang w:val="uk-UA" w:eastAsia="ru-RU"/>
          </w:rPr>
          <w:t>Моніторинг щотижневих важливих новацій у законодавстві, що набрали чинності у вересні 2020 року, підготовлений Головним управлінням ДПС у Дніпропетровській області</w:t>
        </w:r>
      </w:hyperlink>
      <w:r w:rsidR="007A183B"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jc w:val="left"/>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На Дніпропетровщині упереджено розповсюдження схемного податкового кредиту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Головним управлінням ДПС у Дніпропетровській області в черговий раз упереджено реалізацію фіктивного податкового кредиту.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Так, основним завданням групи пов’язаних підприємств (вид діяльності – оптова торгівля зерном) було розповсюдження фіктивного податкового кредиту, сформованого за рахунок придбання «сільгосппродукції».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Суть схеми полягала в тому, що підприємства придбавали шрот соняшниковий, проте даний вид товару був отриманий шляхом «скруток» та маніпулювання кодами УКТЗЕД у податкових накладних. Згідно з наявними документами товар був отриманий як бутилі скляні. Виробники зазначеної сільгосппродукції в ланцюгах придбання відсутні, що призвело до утворення та розповсюдження фіктивного податкового кредиту на суму понад 22 </w:t>
      </w:r>
      <w:proofErr w:type="spellStart"/>
      <w:r w:rsidRPr="007A183B">
        <w:rPr>
          <w:rFonts w:ascii="Times New Roman" w:eastAsia="Times New Roman" w:hAnsi="Times New Roman" w:cs="Times New Roman"/>
          <w:sz w:val="20"/>
          <w:szCs w:val="20"/>
          <w:lang w:val="uk-UA" w:eastAsia="ru-RU"/>
        </w:rPr>
        <w:t>млн</w:t>
      </w:r>
      <w:proofErr w:type="spellEnd"/>
      <w:r w:rsidRPr="007A183B">
        <w:rPr>
          <w:rFonts w:ascii="Times New Roman" w:eastAsia="Times New Roman" w:hAnsi="Times New Roman" w:cs="Times New Roman"/>
          <w:sz w:val="20"/>
          <w:szCs w:val="20"/>
          <w:lang w:val="uk-UA" w:eastAsia="ru-RU"/>
        </w:rPr>
        <w:t xml:space="preserve"> гривень.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 результатами проведених заходів ГУ ДПС у Дніпропетровській області припинено реалізацію фіктивного податкового кредиту шляхом внесення даних підприємств до переліку ризикових відповідно до постанови Кабінету Міністрів України від 11.12.2019 № 1165. </w:t>
      </w:r>
    </w:p>
    <w:p w:rsidR="009D4B03" w:rsidRPr="007A183B" w:rsidRDefault="009D4B03" w:rsidP="009D4B03">
      <w:pPr>
        <w:rPr>
          <w:rFonts w:ascii="Times New Roman" w:eastAsia="Times New Roman" w:hAnsi="Times New Roman" w:cs="Times New Roman"/>
          <w:sz w:val="20"/>
          <w:szCs w:val="20"/>
          <w:lang w:val="uk-UA" w:eastAsia="ru-RU"/>
        </w:rPr>
      </w:pPr>
    </w:p>
    <w:p w:rsidR="009D4B03" w:rsidRPr="007A183B" w:rsidRDefault="009D4B03"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Як отримати податкову знижку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ДПС України на офіційному </w:t>
      </w:r>
      <w:proofErr w:type="spellStart"/>
      <w:r w:rsidRPr="007A183B">
        <w:rPr>
          <w:rFonts w:ascii="Times New Roman" w:eastAsia="Times New Roman" w:hAnsi="Times New Roman" w:cs="Times New Roman"/>
          <w:sz w:val="20"/>
          <w:szCs w:val="20"/>
          <w:lang w:val="uk-UA" w:eastAsia="ru-RU"/>
        </w:rPr>
        <w:t>вебпорталі</w:t>
      </w:r>
      <w:proofErr w:type="spellEnd"/>
      <w:r w:rsidRPr="007A183B">
        <w:rPr>
          <w:rFonts w:ascii="Times New Roman" w:eastAsia="Times New Roman" w:hAnsi="Times New Roman" w:cs="Times New Roman"/>
          <w:sz w:val="20"/>
          <w:szCs w:val="20"/>
          <w:lang w:val="uk-UA" w:eastAsia="ru-RU"/>
        </w:rPr>
        <w:t xml:space="preserve"> за посиланням </w:t>
      </w:r>
      <w:hyperlink r:id="rId19" w:history="1">
        <w:r w:rsidRPr="006846D6">
          <w:rPr>
            <w:rFonts w:ascii="Times New Roman" w:eastAsia="Times New Roman" w:hAnsi="Times New Roman" w:cs="Times New Roman"/>
            <w:color w:val="0000FF"/>
            <w:sz w:val="20"/>
            <w:szCs w:val="20"/>
            <w:u w:val="single"/>
            <w:lang w:val="uk-UA" w:eastAsia="ru-RU"/>
          </w:rPr>
          <w:t>https://tax.gov.ua/media-tsentr/novini/437199.html</w:t>
        </w:r>
      </w:hyperlink>
      <w:r w:rsidRPr="007A183B">
        <w:rPr>
          <w:rFonts w:ascii="Times New Roman" w:eastAsia="Times New Roman" w:hAnsi="Times New Roman" w:cs="Times New Roman"/>
          <w:sz w:val="20"/>
          <w:szCs w:val="20"/>
          <w:lang w:val="uk-UA" w:eastAsia="ru-RU"/>
        </w:rPr>
        <w:t xml:space="preserve"> повідомила.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Громадяни, які не є суб’єктами господарювання та які протягом минулого року отримували заробітну плату, з якої утримувався податок на доходи фізичних осіб (ПДФО), мають право на отримання податкової знижки за умови наявності підстав, передбачених Податковим кодексом України.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Податкова знижка надається, якщо у фізичної особи протягом звітного року були втрати на: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навчання,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отримання доступного житла за державними програмами,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оплату допоміжних репродуктивних технологій,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відсотки за іпотечним кредитом,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внески на благодійність,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страхові платежі (внесків, премій) за договорами довгострокового страхування життя,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пенсійні внески в рамках недержавного пенсійного забезпечення тощо.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Для отримання знижки необхідно: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1 – заповнити та по 31 грудня включно подати за місцем реєстрації декларацію про майновий стан та доходи (далі – декларація);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2 – у декларації вказати суму одержаного за рік доходу у вигляді зарплати, вид понесених витрат, їх розмір і розраховану суму податку на доходи фізичних осіб до повернення.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Після отримання декларації визначається сума, що підлягає поверненню, яка громадянам перераховується протягом 60 днів поштовим переказом або на банківський рахунок.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Звертаємо увагу, що право на отримання податкової знижки не переноситься на наступні роки, тобто для отримання знижки за 2019 рік, необхідно подати декларацію до 31 грудня 2020 року включно.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Загальна сума податкової знижки, нарахована платнику ПДФО у звітному році, не може перевищувати суму річного загального оподатковуваного доходу платника ПДФО, нарахованого у вигляді заробітної плати.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До заробітної плати належать основна та додаткова винагороди, інші заохочувальні та компенсаційні кошти, які виплачують платнику податку на підставі відносин трудового найму. </w:t>
      </w:r>
    </w:p>
    <w:p w:rsidR="009D4B03" w:rsidRPr="007A183B"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Детальніше про право на отримання податкової знижки громадянами за посиланням </w:t>
      </w:r>
      <w:hyperlink r:id="rId20" w:tgtFrame="_blank" w:history="1">
        <w:r w:rsidRPr="006846D6">
          <w:rPr>
            <w:rFonts w:ascii="Times New Roman" w:eastAsia="Times New Roman" w:hAnsi="Times New Roman" w:cs="Times New Roman"/>
            <w:color w:val="0000FF"/>
            <w:sz w:val="20"/>
            <w:szCs w:val="20"/>
            <w:u w:val="single"/>
            <w:lang w:val="uk-UA" w:eastAsia="ru-RU"/>
          </w:rPr>
          <w:t>https://tax.gov.ua/deklaruvannya-dohodiv-gromadyan-/podatkova-znijka-dlya-fizichnih-osib/</w:t>
        </w:r>
      </w:hyperlink>
      <w:r w:rsidRPr="007A183B">
        <w:rPr>
          <w:rFonts w:ascii="Times New Roman" w:eastAsia="Times New Roman" w:hAnsi="Times New Roman" w:cs="Times New Roman"/>
          <w:sz w:val="20"/>
          <w:szCs w:val="20"/>
          <w:lang w:val="uk-UA" w:eastAsia="ru-RU"/>
        </w:rPr>
        <w:t xml:space="preserve">. </w:t>
      </w:r>
    </w:p>
    <w:p w:rsidR="009D4B03" w:rsidRPr="006846D6" w:rsidRDefault="009D4B03"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Переглянути тематичний </w:t>
      </w:r>
      <w:proofErr w:type="spellStart"/>
      <w:r w:rsidRPr="007A183B">
        <w:rPr>
          <w:rFonts w:ascii="Times New Roman" w:eastAsia="Times New Roman" w:hAnsi="Times New Roman" w:cs="Times New Roman"/>
          <w:sz w:val="20"/>
          <w:szCs w:val="20"/>
          <w:lang w:val="uk-UA" w:eastAsia="ru-RU"/>
        </w:rPr>
        <w:t>відеоурок</w:t>
      </w:r>
      <w:proofErr w:type="spellEnd"/>
      <w:r w:rsidRPr="007A183B">
        <w:rPr>
          <w:rFonts w:ascii="Times New Roman" w:eastAsia="Times New Roman" w:hAnsi="Times New Roman" w:cs="Times New Roman"/>
          <w:sz w:val="20"/>
          <w:szCs w:val="20"/>
          <w:lang w:val="uk-UA" w:eastAsia="ru-RU"/>
        </w:rPr>
        <w:t xml:space="preserve"> про те, як правильно заповнити і подати річну податкову декларацію через Електронний кабінет, можна за посиланням: </w:t>
      </w:r>
      <w:hyperlink r:id="rId21" w:tgtFrame="_blank" w:history="1">
        <w:r w:rsidRPr="006846D6">
          <w:rPr>
            <w:rFonts w:ascii="Times New Roman" w:eastAsia="Times New Roman" w:hAnsi="Times New Roman" w:cs="Times New Roman"/>
            <w:color w:val="0000FF"/>
            <w:sz w:val="20"/>
            <w:szCs w:val="20"/>
            <w:u w:val="single"/>
            <w:lang w:val="uk-UA" w:eastAsia="ru-RU"/>
          </w:rPr>
          <w:t>https://tax.gov.ua/media-tsentr/videogalereya/videouroki/5977.html</w:t>
        </w:r>
      </w:hyperlink>
      <w:r w:rsidRPr="007A183B">
        <w:rPr>
          <w:rFonts w:ascii="Times New Roman" w:eastAsia="Times New Roman" w:hAnsi="Times New Roman" w:cs="Times New Roman"/>
          <w:sz w:val="20"/>
          <w:szCs w:val="20"/>
          <w:lang w:val="uk-UA" w:eastAsia="ru-RU"/>
        </w:rPr>
        <w:t xml:space="preserve">. </w:t>
      </w:r>
    </w:p>
    <w:p w:rsidR="009D4B03" w:rsidRPr="007A183B" w:rsidRDefault="009D4B03"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Інтерфейс Електронного кабінету удосконалено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ДПС України на офіційному </w:t>
      </w:r>
      <w:proofErr w:type="spellStart"/>
      <w:r w:rsidRPr="007A183B">
        <w:rPr>
          <w:rFonts w:ascii="Times New Roman" w:eastAsia="Times New Roman" w:hAnsi="Times New Roman" w:cs="Times New Roman"/>
          <w:sz w:val="20"/>
          <w:szCs w:val="20"/>
          <w:lang w:val="uk-UA" w:eastAsia="ru-RU"/>
        </w:rPr>
        <w:t>вебпорталі</w:t>
      </w:r>
      <w:proofErr w:type="spellEnd"/>
      <w:r w:rsidRPr="007A183B">
        <w:rPr>
          <w:rFonts w:ascii="Times New Roman" w:eastAsia="Times New Roman" w:hAnsi="Times New Roman" w:cs="Times New Roman"/>
          <w:sz w:val="20"/>
          <w:szCs w:val="20"/>
          <w:lang w:val="uk-UA" w:eastAsia="ru-RU"/>
        </w:rPr>
        <w:t xml:space="preserve"> за посиланням </w:t>
      </w:r>
      <w:hyperlink r:id="rId22" w:history="1">
        <w:r w:rsidRPr="006846D6">
          <w:rPr>
            <w:rFonts w:ascii="Times New Roman" w:eastAsia="Times New Roman" w:hAnsi="Times New Roman" w:cs="Times New Roman"/>
            <w:color w:val="0000FF"/>
            <w:sz w:val="20"/>
            <w:szCs w:val="20"/>
            <w:u w:val="single"/>
            <w:lang w:val="uk-UA" w:eastAsia="ru-RU"/>
          </w:rPr>
          <w:t>https://tax.gov.ua/media-tsentr/novini/437386.html</w:t>
        </w:r>
      </w:hyperlink>
      <w:r w:rsidRPr="007A183B">
        <w:rPr>
          <w:rFonts w:ascii="Times New Roman" w:eastAsia="Times New Roman" w:hAnsi="Times New Roman" w:cs="Times New Roman"/>
          <w:sz w:val="20"/>
          <w:szCs w:val="20"/>
          <w:lang w:val="uk-UA" w:eastAsia="ru-RU"/>
        </w:rPr>
        <w:t xml:space="preserve"> повідомила наступне.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Державною податковою службою України з метою забезпечення широкого доступу платників податків до отримання електронних сервісів та поліпшення умов щодо реалізації платниками податків прав та обов’язків удосконалено інтерфейс Електронного кабінету.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Оновлений інтерфейс Електронного кабінету відповідає вимогам створення офіційних </w:t>
      </w:r>
      <w:proofErr w:type="spellStart"/>
      <w:r w:rsidRPr="007A183B">
        <w:rPr>
          <w:rFonts w:ascii="Times New Roman" w:eastAsia="Times New Roman" w:hAnsi="Times New Roman" w:cs="Times New Roman"/>
          <w:sz w:val="20"/>
          <w:szCs w:val="20"/>
          <w:lang w:val="uk-UA" w:eastAsia="ru-RU"/>
        </w:rPr>
        <w:t>вебсайтів</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вебпорталів</w:t>
      </w:r>
      <w:proofErr w:type="spellEnd"/>
      <w:r w:rsidRPr="007A183B">
        <w:rPr>
          <w:rFonts w:ascii="Times New Roman" w:eastAsia="Times New Roman" w:hAnsi="Times New Roman" w:cs="Times New Roman"/>
          <w:sz w:val="20"/>
          <w:szCs w:val="20"/>
          <w:lang w:val="uk-UA" w:eastAsia="ru-RU"/>
        </w:rPr>
        <w:t xml:space="preserve">) органів виконавчої влади, є доступним користувачам з порушенням зору, слуху, опорно-рухового апарату, мовлення та інтелектуального розвитку, а також з різними комбінаціями порушень.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Нагадуємо, що вхід до Електронного кабінету здійснюється за адресою: </w:t>
      </w:r>
      <w:hyperlink r:id="rId23" w:history="1">
        <w:r w:rsidRPr="006846D6">
          <w:rPr>
            <w:rFonts w:ascii="Times New Roman" w:eastAsia="Times New Roman" w:hAnsi="Times New Roman" w:cs="Times New Roman"/>
            <w:color w:val="0000FF"/>
            <w:sz w:val="20"/>
            <w:szCs w:val="20"/>
            <w:u w:val="single"/>
            <w:lang w:val="uk-UA" w:eastAsia="ru-RU"/>
          </w:rPr>
          <w:t>https://cabinet.tax.gov.ua</w:t>
        </w:r>
      </w:hyperlink>
      <w:r w:rsidRPr="007A183B">
        <w:rPr>
          <w:rFonts w:ascii="Times New Roman" w:eastAsia="Times New Roman" w:hAnsi="Times New Roman" w:cs="Times New Roman"/>
          <w:sz w:val="20"/>
          <w:szCs w:val="20"/>
          <w:lang w:val="uk-UA" w:eastAsia="ru-RU"/>
        </w:rPr>
        <w:t xml:space="preserve">, а також через офіційний </w:t>
      </w:r>
      <w:proofErr w:type="spellStart"/>
      <w:r w:rsidRPr="007A183B">
        <w:rPr>
          <w:rFonts w:ascii="Times New Roman" w:eastAsia="Times New Roman" w:hAnsi="Times New Roman" w:cs="Times New Roman"/>
          <w:sz w:val="20"/>
          <w:szCs w:val="20"/>
          <w:lang w:val="uk-UA" w:eastAsia="ru-RU"/>
        </w:rPr>
        <w:t>вебпортал</w:t>
      </w:r>
      <w:proofErr w:type="spellEnd"/>
      <w:r w:rsidRPr="007A183B">
        <w:rPr>
          <w:rFonts w:ascii="Times New Roman" w:eastAsia="Times New Roman" w:hAnsi="Times New Roman" w:cs="Times New Roman"/>
          <w:sz w:val="20"/>
          <w:szCs w:val="20"/>
          <w:lang w:val="uk-UA" w:eastAsia="ru-RU"/>
        </w:rPr>
        <w:t xml:space="preserve"> ДПС. Доступ до відкритої (загальнодоступної) частини Електронного кабінету, яка відповідно до законодавства є відкритою, надається без використання кваліфікованого електронного підпису, до приватної частини – після проходження користувачем електронної ідентифікації </w:t>
      </w:r>
      <w:proofErr w:type="spellStart"/>
      <w:r w:rsidRPr="007A183B">
        <w:rPr>
          <w:rFonts w:ascii="Times New Roman" w:eastAsia="Times New Roman" w:hAnsi="Times New Roman" w:cs="Times New Roman"/>
          <w:sz w:val="20"/>
          <w:szCs w:val="20"/>
          <w:lang w:val="uk-UA" w:eastAsia="ru-RU"/>
        </w:rPr>
        <w:t>онлайн</w:t>
      </w:r>
      <w:proofErr w:type="spellEnd"/>
      <w:r w:rsidRPr="007A183B">
        <w:rPr>
          <w:rFonts w:ascii="Times New Roman" w:eastAsia="Times New Roman" w:hAnsi="Times New Roman" w:cs="Times New Roman"/>
          <w:sz w:val="20"/>
          <w:szCs w:val="20"/>
          <w:lang w:val="uk-UA" w:eastAsia="ru-RU"/>
        </w:rPr>
        <w:t xml:space="preserve"> з використанням кваліфікованого електронного </w:t>
      </w:r>
      <w:r w:rsidRPr="007A183B">
        <w:rPr>
          <w:rFonts w:ascii="Times New Roman" w:eastAsia="Times New Roman" w:hAnsi="Times New Roman" w:cs="Times New Roman"/>
          <w:sz w:val="20"/>
          <w:szCs w:val="20"/>
          <w:lang w:val="uk-UA" w:eastAsia="ru-RU"/>
        </w:rPr>
        <w:lastRenderedPageBreak/>
        <w:t xml:space="preserve">підпису будь-якого Кваліфікованого надавача електронних довірчих послуг або через Інтегровану систему електронної ідентифікації – </w:t>
      </w:r>
      <w:proofErr w:type="spellStart"/>
      <w:r w:rsidRPr="007A183B">
        <w:rPr>
          <w:rFonts w:ascii="Times New Roman" w:eastAsia="Times New Roman" w:hAnsi="Times New Roman" w:cs="Times New Roman"/>
          <w:sz w:val="20"/>
          <w:szCs w:val="20"/>
          <w:lang w:val="uk-UA" w:eastAsia="ru-RU"/>
        </w:rPr>
        <w:t>id.gov.ua</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MobileID</w:t>
      </w:r>
      <w:proofErr w:type="spellEnd"/>
      <w:r w:rsidRPr="007A183B">
        <w:rPr>
          <w:rFonts w:ascii="Times New Roman" w:eastAsia="Times New Roman" w:hAnsi="Times New Roman" w:cs="Times New Roman"/>
          <w:sz w:val="20"/>
          <w:szCs w:val="20"/>
          <w:lang w:val="uk-UA" w:eastAsia="ru-RU"/>
        </w:rPr>
        <w:t xml:space="preserve"> та </w:t>
      </w:r>
      <w:proofErr w:type="spellStart"/>
      <w:r w:rsidRPr="007A183B">
        <w:rPr>
          <w:rFonts w:ascii="Times New Roman" w:eastAsia="Times New Roman" w:hAnsi="Times New Roman" w:cs="Times New Roman"/>
          <w:sz w:val="20"/>
          <w:szCs w:val="20"/>
          <w:lang w:val="uk-UA" w:eastAsia="ru-RU"/>
        </w:rPr>
        <w:t>BankID</w:t>
      </w:r>
      <w:proofErr w:type="spellEnd"/>
      <w:r w:rsidRPr="007A183B">
        <w:rPr>
          <w:rFonts w:ascii="Times New Roman" w:eastAsia="Times New Roman" w:hAnsi="Times New Roman" w:cs="Times New Roman"/>
          <w:sz w:val="20"/>
          <w:szCs w:val="20"/>
          <w:lang w:val="uk-UA" w:eastAsia="ru-RU"/>
        </w:rPr>
        <w:t xml:space="preserve">).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разі виникнення питань з приводу користування Електронним кабінетом, платники податків мають можливість звернутися до служби підтримки за телефоном </w:t>
      </w:r>
      <w:r w:rsidRPr="006846D6">
        <w:rPr>
          <w:rFonts w:ascii="Times New Roman" w:eastAsia="Times New Roman" w:hAnsi="Times New Roman" w:cs="Times New Roman"/>
          <w:b/>
          <w:bCs/>
          <w:sz w:val="20"/>
          <w:szCs w:val="20"/>
          <w:lang w:val="uk-UA" w:eastAsia="ru-RU"/>
        </w:rPr>
        <w:t>0 800 501 007 (напрямок 0)</w:t>
      </w:r>
      <w:r w:rsidRPr="007A183B">
        <w:rPr>
          <w:rFonts w:ascii="Times New Roman" w:eastAsia="Times New Roman" w:hAnsi="Times New Roman" w:cs="Times New Roman"/>
          <w:sz w:val="20"/>
          <w:szCs w:val="20"/>
          <w:lang w:val="uk-UA" w:eastAsia="ru-RU"/>
        </w:rPr>
        <w:t xml:space="preserve"> або за посиланням </w:t>
      </w:r>
      <w:hyperlink r:id="rId24" w:history="1">
        <w:r w:rsidRPr="006846D6">
          <w:rPr>
            <w:rFonts w:ascii="Times New Roman" w:eastAsia="Times New Roman" w:hAnsi="Times New Roman" w:cs="Times New Roman"/>
            <w:color w:val="0000FF"/>
            <w:sz w:val="20"/>
            <w:szCs w:val="20"/>
            <w:u w:val="single"/>
            <w:lang w:val="uk-UA" w:eastAsia="ru-RU"/>
          </w:rPr>
          <w:t>https://cabinet.tax.gov.ua/help/</w:t>
        </w:r>
      </w:hyperlink>
      <w:r w:rsidRPr="007A183B">
        <w:rPr>
          <w:rFonts w:ascii="Times New Roman" w:eastAsia="Times New Roman" w:hAnsi="Times New Roman" w:cs="Times New Roman"/>
          <w:sz w:val="20"/>
          <w:szCs w:val="20"/>
          <w:lang w:val="uk-UA" w:eastAsia="ru-RU"/>
        </w:rPr>
        <w:t xml:space="preserve">.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Закон України № 786: щодо штрафів за порушення граничних строків реєстрації податкових накладних </w:t>
      </w:r>
    </w:p>
    <w:p w:rsidR="007A183B" w:rsidRPr="007A183B" w:rsidRDefault="007C426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З</w:t>
      </w:r>
      <w:r w:rsidR="007A183B" w:rsidRPr="007A183B">
        <w:rPr>
          <w:rFonts w:ascii="Times New Roman" w:eastAsia="Times New Roman" w:hAnsi="Times New Roman" w:cs="Times New Roman"/>
          <w:sz w:val="20"/>
          <w:szCs w:val="20"/>
          <w:lang w:val="uk-UA" w:eastAsia="ru-RU"/>
        </w:rPr>
        <w:t>вертає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увагу платників ПДВ, що відповідно до п. 73 підрозділу 2 розділу ХХ «Перехідні положення» Податкового кодексу України (далі – ПКУ) підлягають перегляду неузгоджені та несплачені станом на 23 травня 2020 року штрафні санкції, нараховані з 01 січня 2017 по 31 грудня 2019 року, за порушення платниками ПДВ граничного строку для реєстрації податкових накладних (далі – ПН) та/або розрахунків коригування до таких податкових накладних (далі – РК) в ЄРПН, складених за: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операціями, що звільняються від оподаткування ПДВ;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операціями, що оподатковуються ПДВ за нульовою ставкою;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операціями, що не передбачають надання ПН </w:t>
      </w:r>
      <w:proofErr w:type="spellStart"/>
      <w:r w:rsidRPr="007A183B">
        <w:rPr>
          <w:rFonts w:ascii="Times New Roman" w:eastAsia="Times New Roman" w:hAnsi="Times New Roman" w:cs="Times New Roman"/>
          <w:sz w:val="20"/>
          <w:szCs w:val="20"/>
          <w:lang w:val="uk-UA" w:eastAsia="ru-RU"/>
        </w:rPr>
        <w:t>отримувачу</w:t>
      </w:r>
      <w:proofErr w:type="spellEnd"/>
      <w:r w:rsidRPr="007A183B">
        <w:rPr>
          <w:rFonts w:ascii="Times New Roman" w:eastAsia="Times New Roman" w:hAnsi="Times New Roman" w:cs="Times New Roman"/>
          <w:sz w:val="20"/>
          <w:szCs w:val="20"/>
          <w:lang w:val="uk-UA" w:eastAsia="ru-RU"/>
        </w:rPr>
        <w:t xml:space="preserve"> (покупцю), а також ПН, складеної відповідно до п. 198.5 ст. 198 ПКУ у разі здійснення операцій, визначених підпунктами «а» – «г» п. 198.5 ст. 198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відповідно до ст. 199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відповідно до абзацу одинадцятого п. 201.4 ст. 201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Ця норма поширюється на випадки, коли грошові зобов’язання неузгоджені (відповідні податкові повідомлення-рішення знаходяться в процедурі адміністративного або судового оскарження). У такому разі, контролюючий орган за місцем реєстрації платника ПДВ має здійснити перерахунок суми штрафу і надіслати (вручити) такому платнику нове податкове повідомлення-рішення із зазначенням нових розмірів штрафів.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Закон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(далі – Закон № 786) вніс дві суттєві зміни у цю процедуру.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По-перше, зазначені правила щодо перегляду штрафних санкцій були уточнені. Встановлено, що період, за який у платника ПДВ є право на перегляд, розпочинається з 01 січня 2017 року і закінчується 22 травня 2020 року (тобто датою набрання чинності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По-друге, розмір нарахованих і неузгоджених штрафів знижено вдвічі від попередніх розмірів.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Так, штрафи становлять: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у разі відсутності реєстрації ПН/РК– 2,5 % від обсягу постачання без ПДВ, але не більше 1 700 гривень;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 у разі несвоєчасної реєстрації ПН/РК – 1 % від обсягу постачання без ПДВ, але не більше 510 гривень.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Зміни, внесені Законом № 786 до пункту 73 підрозділу 2 розділу ХХ ПКУ набрали чинності з 08 серпня 2020 року.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До уваги платників ПДВ! </w:t>
      </w:r>
    </w:p>
    <w:p w:rsidR="007A183B" w:rsidRPr="007A183B" w:rsidRDefault="007C426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Н</w:t>
      </w:r>
      <w:r w:rsidR="007A183B" w:rsidRPr="007A183B">
        <w:rPr>
          <w:rFonts w:ascii="Times New Roman" w:eastAsia="Times New Roman" w:hAnsi="Times New Roman" w:cs="Times New Roman"/>
          <w:sz w:val="20"/>
          <w:szCs w:val="20"/>
          <w:lang w:val="uk-UA" w:eastAsia="ru-RU"/>
        </w:rPr>
        <w:t>агадує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затверджено Порядок зупинення реєстрації податкової накладної/розрахунку коригування в Єдиному реєстрі податкових накладних (далі – Порядок зупинення).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Відповідно до п. 6 Порядку зупинення питання відповідності/невідповідності платника ПДВ критеріям </w:t>
      </w:r>
      <w:proofErr w:type="spellStart"/>
      <w:r w:rsidRPr="007A183B">
        <w:rPr>
          <w:rFonts w:ascii="Times New Roman" w:eastAsia="Times New Roman" w:hAnsi="Times New Roman" w:cs="Times New Roman"/>
          <w:sz w:val="20"/>
          <w:szCs w:val="20"/>
          <w:lang w:val="uk-UA" w:eastAsia="ru-RU"/>
        </w:rPr>
        <w:t>ризиковості</w:t>
      </w:r>
      <w:proofErr w:type="spellEnd"/>
      <w:r w:rsidRPr="007A183B">
        <w:rPr>
          <w:rFonts w:ascii="Times New Roman" w:eastAsia="Times New Roman" w:hAnsi="Times New Roman" w:cs="Times New Roman"/>
          <w:sz w:val="20"/>
          <w:szCs w:val="20"/>
          <w:lang w:val="uk-UA" w:eastAsia="ru-RU"/>
        </w:rPr>
        <w:t xml:space="preserve"> платника ПДВ розглядається комісією регіонального рівня.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Комісією регіонального рівня розглядається питання виключення платника податку з переліку платників, які відповідають критеріям </w:t>
      </w:r>
      <w:proofErr w:type="spellStart"/>
      <w:r w:rsidRPr="007A183B">
        <w:rPr>
          <w:rFonts w:ascii="Times New Roman" w:eastAsia="Times New Roman" w:hAnsi="Times New Roman" w:cs="Times New Roman"/>
          <w:sz w:val="20"/>
          <w:szCs w:val="20"/>
          <w:lang w:val="uk-UA" w:eastAsia="ru-RU"/>
        </w:rPr>
        <w:t>ризиковості</w:t>
      </w:r>
      <w:proofErr w:type="spellEnd"/>
      <w:r w:rsidRPr="007A183B">
        <w:rPr>
          <w:rFonts w:ascii="Times New Roman" w:eastAsia="Times New Roman" w:hAnsi="Times New Roman" w:cs="Times New Roman"/>
          <w:sz w:val="20"/>
          <w:szCs w:val="20"/>
          <w:lang w:val="uk-UA" w:eastAsia="ru-RU"/>
        </w:rPr>
        <w:t xml:space="preserve"> платника податку, у разі виявлення обставин та/або отримання інформації, що свідчать про невідповідність платника податку критеріям </w:t>
      </w:r>
      <w:proofErr w:type="spellStart"/>
      <w:r w:rsidRPr="007A183B">
        <w:rPr>
          <w:rFonts w:ascii="Times New Roman" w:eastAsia="Times New Roman" w:hAnsi="Times New Roman" w:cs="Times New Roman"/>
          <w:sz w:val="20"/>
          <w:szCs w:val="20"/>
          <w:lang w:val="uk-UA" w:eastAsia="ru-RU"/>
        </w:rPr>
        <w:t>ризиковості</w:t>
      </w:r>
      <w:proofErr w:type="spellEnd"/>
      <w:r w:rsidRPr="007A183B">
        <w:rPr>
          <w:rFonts w:ascii="Times New Roman" w:eastAsia="Times New Roman" w:hAnsi="Times New Roman" w:cs="Times New Roman"/>
          <w:sz w:val="20"/>
          <w:szCs w:val="20"/>
          <w:lang w:val="uk-UA" w:eastAsia="ru-RU"/>
        </w:rPr>
        <w:t xml:space="preserve"> платника податку та/або отримання інформації та копій відповідних документів від платника податку, що свідчать про невідповідність платника податку критеріям </w:t>
      </w:r>
      <w:proofErr w:type="spellStart"/>
      <w:r w:rsidRPr="007A183B">
        <w:rPr>
          <w:rFonts w:ascii="Times New Roman" w:eastAsia="Times New Roman" w:hAnsi="Times New Roman" w:cs="Times New Roman"/>
          <w:sz w:val="20"/>
          <w:szCs w:val="20"/>
          <w:lang w:val="uk-UA" w:eastAsia="ru-RU"/>
        </w:rPr>
        <w:t>ризиковості</w:t>
      </w:r>
      <w:proofErr w:type="spellEnd"/>
      <w:r w:rsidRPr="007A183B">
        <w:rPr>
          <w:rFonts w:ascii="Times New Roman" w:eastAsia="Times New Roman" w:hAnsi="Times New Roman" w:cs="Times New Roman"/>
          <w:sz w:val="20"/>
          <w:szCs w:val="20"/>
          <w:lang w:val="uk-UA" w:eastAsia="ru-RU"/>
        </w:rPr>
        <w:t xml:space="preserve"> платника податку.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Інформація та копії документів подаються платником податку до ДПС в електронній формі засобами електронного зв’язку з урахуванням вимог законів України «Про електронні документи та електронний документообіг», «Про електронні довірчі послуги» та Порядку обміну електронними документами з контролюючими органами.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Інформацію та копії документів, подані платником ПДВ, комісія регіонального рівня розглядає протягом семи робочих днів, що настають за датою їх надходження, та приймає відповідне рішення.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 результатами розгляду інформації та копій документів комісією регіонального рівня приймається рішення про відповідність/невідповідність платника ПДВ критеріям </w:t>
      </w:r>
      <w:proofErr w:type="spellStart"/>
      <w:r w:rsidRPr="007A183B">
        <w:rPr>
          <w:rFonts w:ascii="Times New Roman" w:eastAsia="Times New Roman" w:hAnsi="Times New Roman" w:cs="Times New Roman"/>
          <w:sz w:val="20"/>
          <w:szCs w:val="20"/>
          <w:lang w:val="uk-UA" w:eastAsia="ru-RU"/>
        </w:rPr>
        <w:t>ризиковості</w:t>
      </w:r>
      <w:proofErr w:type="spellEnd"/>
      <w:r w:rsidRPr="007A183B">
        <w:rPr>
          <w:rFonts w:ascii="Times New Roman" w:eastAsia="Times New Roman" w:hAnsi="Times New Roman" w:cs="Times New Roman"/>
          <w:sz w:val="20"/>
          <w:szCs w:val="20"/>
          <w:lang w:val="uk-UA" w:eastAsia="ru-RU"/>
        </w:rPr>
        <w:t xml:space="preserve"> платника ПДВ, яке платник ПДВ отримує в електронному кабінеті у день його прийняття.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Враховуючи вищевикладене, для розгляду питання щодо виключення платника ПДВ з переліку платників, які відповідають критеріям </w:t>
      </w:r>
      <w:proofErr w:type="spellStart"/>
      <w:r w:rsidRPr="007A183B">
        <w:rPr>
          <w:rFonts w:ascii="Times New Roman" w:eastAsia="Times New Roman" w:hAnsi="Times New Roman" w:cs="Times New Roman"/>
          <w:sz w:val="20"/>
          <w:szCs w:val="20"/>
          <w:lang w:val="uk-UA" w:eastAsia="ru-RU"/>
        </w:rPr>
        <w:t>ризиковості</w:t>
      </w:r>
      <w:proofErr w:type="spellEnd"/>
      <w:r w:rsidRPr="007A183B">
        <w:rPr>
          <w:rFonts w:ascii="Times New Roman" w:eastAsia="Times New Roman" w:hAnsi="Times New Roman" w:cs="Times New Roman"/>
          <w:sz w:val="20"/>
          <w:szCs w:val="20"/>
          <w:lang w:val="uk-UA" w:eastAsia="ru-RU"/>
        </w:rPr>
        <w:t xml:space="preserve"> платника ПДВ, такому платнику необхідно подати документи, керуючись п. 6 Порядку зупинення.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Застосування податкової соціальної пільги </w:t>
      </w:r>
    </w:p>
    <w:p w:rsidR="007A183B" w:rsidRPr="007A183B" w:rsidRDefault="007C426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І</w:t>
      </w:r>
      <w:r w:rsidR="007A183B" w:rsidRPr="007A183B">
        <w:rPr>
          <w:rFonts w:ascii="Times New Roman" w:eastAsia="Times New Roman" w:hAnsi="Times New Roman" w:cs="Times New Roman"/>
          <w:sz w:val="20"/>
          <w:szCs w:val="20"/>
          <w:lang w:val="uk-UA" w:eastAsia="ru-RU"/>
        </w:rPr>
        <w:t>нформує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порядок оподаткування доходів фізичних осіб регулюється Податковим кодексу України (далі – ПКУ), згідно з </w:t>
      </w:r>
      <w:proofErr w:type="spellStart"/>
      <w:r w:rsidR="007A183B" w:rsidRPr="007A183B">
        <w:rPr>
          <w:rFonts w:ascii="Times New Roman" w:eastAsia="Times New Roman" w:hAnsi="Times New Roman" w:cs="Times New Roman"/>
          <w:sz w:val="20"/>
          <w:szCs w:val="20"/>
          <w:lang w:val="uk-UA" w:eastAsia="ru-RU"/>
        </w:rPr>
        <w:t>п.п</w:t>
      </w:r>
      <w:proofErr w:type="spellEnd"/>
      <w:r w:rsidR="007A183B" w:rsidRPr="007A183B">
        <w:rPr>
          <w:rFonts w:ascii="Times New Roman" w:eastAsia="Times New Roman" w:hAnsi="Times New Roman" w:cs="Times New Roman"/>
          <w:sz w:val="20"/>
          <w:szCs w:val="20"/>
          <w:lang w:val="uk-UA" w:eastAsia="ru-RU"/>
        </w:rPr>
        <w:t>. 169.2.1 п. 169.1 ст. 169 якого встановлено, що податкова соціальна пільга (далі – ПСП) застосовується до нарахованого платнику податку на доходи фізичних осіб (далі – ПДФО) місячного доходу у вигляді заробітної плати (</w:t>
      </w:r>
      <w:proofErr w:type="spellStart"/>
      <w:r w:rsidR="007A183B" w:rsidRPr="007A183B">
        <w:rPr>
          <w:rFonts w:ascii="Times New Roman" w:eastAsia="Times New Roman" w:hAnsi="Times New Roman" w:cs="Times New Roman"/>
          <w:sz w:val="20"/>
          <w:szCs w:val="20"/>
          <w:lang w:val="uk-UA" w:eastAsia="ru-RU"/>
        </w:rPr>
        <w:t>п.п</w:t>
      </w:r>
      <w:proofErr w:type="spellEnd"/>
      <w:r w:rsidR="007A183B" w:rsidRPr="007A183B">
        <w:rPr>
          <w:rFonts w:ascii="Times New Roman" w:eastAsia="Times New Roman" w:hAnsi="Times New Roman" w:cs="Times New Roman"/>
          <w:sz w:val="20"/>
          <w:szCs w:val="20"/>
          <w:lang w:val="uk-UA" w:eastAsia="ru-RU"/>
        </w:rPr>
        <w:t xml:space="preserve">. 14.1.48 п. 14.1 ст. 14 ПКУ) тільки за одним місцем його нарахування (виплати).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Підпунктом 169.2.3 пункту169.2 статті 169 ПКУ наведено кінцевий перелік доходів фізичних осіб, до яких ПСП не може бути застосована.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 xml:space="preserve">Так, до цього переліку відносяться доходи, інші ніж заробітна плата; заробітної плати, яку платник ПДФО протягом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 та доходу </w:t>
      </w:r>
      <w:proofErr w:type="spellStart"/>
      <w:r w:rsidRPr="007A183B">
        <w:rPr>
          <w:rFonts w:ascii="Times New Roman" w:eastAsia="Times New Roman" w:hAnsi="Times New Roman" w:cs="Times New Roman"/>
          <w:sz w:val="20"/>
          <w:szCs w:val="20"/>
          <w:lang w:val="uk-UA" w:eastAsia="ru-RU"/>
        </w:rPr>
        <w:t>самозайнятої</w:t>
      </w:r>
      <w:proofErr w:type="spellEnd"/>
      <w:r w:rsidRPr="007A183B">
        <w:rPr>
          <w:rFonts w:ascii="Times New Roman" w:eastAsia="Times New Roman" w:hAnsi="Times New Roman" w:cs="Times New Roman"/>
          <w:sz w:val="20"/>
          <w:szCs w:val="20"/>
          <w:lang w:val="uk-UA" w:eastAsia="ru-RU"/>
        </w:rPr>
        <w:t xml:space="preserve"> особи від провадження підприємницької діяльності, а також іншої незалежної професійної діяльності.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Фізичні особи податкову декларацію з плати за землю до контролюючих органів не подають </w:t>
      </w:r>
    </w:p>
    <w:p w:rsidR="007A183B" w:rsidRPr="007A183B" w:rsidRDefault="007C426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П</w:t>
      </w:r>
      <w:r w:rsidR="007A183B" w:rsidRPr="007A183B">
        <w:rPr>
          <w:rFonts w:ascii="Times New Roman" w:eastAsia="Times New Roman" w:hAnsi="Times New Roman" w:cs="Times New Roman"/>
          <w:sz w:val="20"/>
          <w:szCs w:val="20"/>
          <w:lang w:val="uk-UA" w:eastAsia="ru-RU"/>
        </w:rPr>
        <w:t>овідомляє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плата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Норми визначені </w:t>
      </w:r>
      <w:proofErr w:type="spellStart"/>
      <w:r w:rsidRPr="007A183B">
        <w:rPr>
          <w:rFonts w:ascii="Times New Roman" w:eastAsia="Times New Roman" w:hAnsi="Times New Roman" w:cs="Times New Roman"/>
          <w:sz w:val="20"/>
          <w:szCs w:val="20"/>
          <w:lang w:val="uk-UA" w:eastAsia="ru-RU"/>
        </w:rPr>
        <w:t>п.п</w:t>
      </w:r>
      <w:proofErr w:type="spellEnd"/>
      <w:r w:rsidRPr="007A183B">
        <w:rPr>
          <w:rFonts w:ascii="Times New Roman" w:eastAsia="Times New Roman" w:hAnsi="Times New Roman" w:cs="Times New Roman"/>
          <w:sz w:val="20"/>
          <w:szCs w:val="20"/>
          <w:lang w:val="uk-UA" w:eastAsia="ru-RU"/>
        </w:rPr>
        <w:t xml:space="preserve">. 14.1.147 п. 14.1 ст. 14 Податкового кодексу України (далі –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Пунктом 286.2 ст. 286 ПКУ встановлено, що платники плати за землю </w:t>
      </w:r>
      <w:r w:rsidRPr="006846D6">
        <w:rPr>
          <w:rFonts w:ascii="Times New Roman" w:eastAsia="Times New Roman" w:hAnsi="Times New Roman" w:cs="Times New Roman"/>
          <w:i/>
          <w:iCs/>
          <w:sz w:val="20"/>
          <w:szCs w:val="20"/>
          <w:lang w:val="uk-UA" w:eastAsia="ru-RU"/>
        </w:rPr>
        <w:t>(крім фізичних осіб)</w:t>
      </w:r>
      <w:r w:rsidRPr="007A183B">
        <w:rPr>
          <w:rFonts w:ascii="Times New Roman" w:eastAsia="Times New Roman" w:hAnsi="Times New Roman" w:cs="Times New Roman"/>
          <w:sz w:val="20"/>
          <w:szCs w:val="20"/>
          <w:lang w:val="uk-UA" w:eastAsia="ru-RU"/>
        </w:rPr>
        <w:t xml:space="preserve">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Нарахування фізичним особам сум плати за землю проводиться контролюючими органами (за місцем знаходження земельної ділянки),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(абзац перший п. 286.5 ст. 286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аналогічному порядку контролюючі органи здійснюють нарахування сум орендної плати за земельні ділянки державної та комунальної власності.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Отже, фізичні особи (громадяни), які оформили правовстановлюючі документи на земельну ділянку (свідоцтво про право власності або користування земельної ділянки) або договори оренди земельної ділянки державної та комунальної власності, не подають до контролюючих органів податкові декларації з плати за землю.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Нарахування фізичним особам сум плати за землю проводиться контролюючими органами (за місцем знаходження земельної ділянки), які надсилають платнику у порядку, визначеному ст. 42 ПКУ, до 01 липня поточного року податкове повідомлення-рішення про внесення земельного податку та/або орендної плати за земельні ділянки державної та комунальної власності.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Реєстрація ліцензії на роздрібну торгівлю алкоголем в органі ДПС не за місцем проведення торгівлі: наслідки </w:t>
      </w:r>
    </w:p>
    <w:p w:rsidR="007A183B" w:rsidRPr="007A183B" w:rsidRDefault="007C426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Д</w:t>
      </w:r>
      <w:r w:rsidR="007A183B" w:rsidRPr="007A183B">
        <w:rPr>
          <w:rFonts w:ascii="Times New Roman" w:eastAsia="Times New Roman" w:hAnsi="Times New Roman" w:cs="Times New Roman"/>
          <w:sz w:val="20"/>
          <w:szCs w:val="20"/>
          <w:lang w:val="uk-UA" w:eastAsia="ru-RU"/>
        </w:rPr>
        <w:t>оводи</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до відома, що  роздрібна торгівля алкогольними напоями </w:t>
      </w:r>
      <w:r w:rsidR="007A183B" w:rsidRPr="006846D6">
        <w:rPr>
          <w:rFonts w:ascii="Times New Roman" w:eastAsia="Times New Roman" w:hAnsi="Times New Roman" w:cs="Times New Roman"/>
          <w:i/>
          <w:iCs/>
          <w:sz w:val="20"/>
          <w:szCs w:val="20"/>
          <w:lang w:val="uk-UA" w:eastAsia="ru-RU"/>
        </w:rPr>
        <w:t>(крім столових вин)</w:t>
      </w:r>
      <w:r w:rsidR="007A183B" w:rsidRPr="007A183B">
        <w:rPr>
          <w:rFonts w:ascii="Times New Roman" w:eastAsia="Times New Roman" w:hAnsi="Times New Roman" w:cs="Times New Roman"/>
          <w:sz w:val="20"/>
          <w:szCs w:val="20"/>
          <w:lang w:val="uk-UA" w:eastAsia="ru-RU"/>
        </w:rPr>
        <w:t xml:space="preserve"> або тютюновими виробами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Норми встановлені 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зі змінами та доповненнями (далі – Закон № 481).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Ліцензії на право роздрібної торгівлі алкогольними напоями і тютюновими виробами видаються уповноваженими Кабінетом Міністрів України органами виконавчої влади в містах, районах, районах у містах Києві та Севастополі </w:t>
      </w:r>
      <w:r w:rsidRPr="006846D6">
        <w:rPr>
          <w:rFonts w:ascii="Times New Roman" w:eastAsia="Times New Roman" w:hAnsi="Times New Roman" w:cs="Times New Roman"/>
          <w:b/>
          <w:bCs/>
          <w:sz w:val="20"/>
          <w:szCs w:val="20"/>
          <w:lang w:val="uk-UA" w:eastAsia="ru-RU"/>
        </w:rPr>
        <w:t>за місцем торгівлі</w:t>
      </w:r>
      <w:r w:rsidRPr="007A183B">
        <w:rPr>
          <w:rFonts w:ascii="Times New Roman" w:eastAsia="Times New Roman" w:hAnsi="Times New Roman" w:cs="Times New Roman"/>
          <w:sz w:val="20"/>
          <w:szCs w:val="20"/>
          <w:lang w:val="uk-UA" w:eastAsia="ru-RU"/>
        </w:rPr>
        <w:t xml:space="preserve"> суб’єкта господарювання (у тому числі іноземного суб’єкта господарювання, який діє через своє зареєстроване постійне представництво) терміном на один рік і підлягають обов’язковій реєстрації в органі ДПС, а у сільській місцевості – і в органах місцевого самоврядування за місцем торгівлі суб’єкта господарювання .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разі реєстрації суб’єктом господарювання ліцензії на роздрібну торгівлю алкогольними виробами (тютюновими виробами) в органі ДПС за місцем реєстрації своєї реєстрації, а не за місцем торгівлі, то ст. 17 Закону № 481 не передбачено застосування штрафів за таке порушення.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Водночас такому суб’єкту господарювання необхідно здійснити реєстрацію ліцензії на роздрібну торгівлю алкогольними напоями (тютюновими виробами) у загальному порядку в органі ДПС за місцем проведення торгівлі.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Відчуження земельної ділянки із свердловиною: що з декларуванням рентної плати за спеціальне використання води? </w:t>
      </w:r>
    </w:p>
    <w:p w:rsidR="007A183B" w:rsidRPr="007A183B" w:rsidRDefault="007C4269" w:rsidP="009D4B03">
      <w:pPr>
        <w:rPr>
          <w:rFonts w:ascii="Times New Roman" w:eastAsia="Times New Roman" w:hAnsi="Times New Roman" w:cs="Times New Roman"/>
          <w:sz w:val="20"/>
          <w:szCs w:val="20"/>
          <w:lang w:val="uk-UA" w:eastAsia="ru-RU"/>
        </w:rPr>
      </w:pPr>
      <w:r w:rsidRPr="006846D6">
        <w:rPr>
          <w:rFonts w:ascii="Times New Roman" w:eastAsia="Times New Roman" w:hAnsi="Times New Roman" w:cs="Times New Roman"/>
          <w:sz w:val="20"/>
          <w:szCs w:val="20"/>
          <w:lang w:val="uk-UA" w:eastAsia="ru-RU"/>
        </w:rPr>
        <w:t>П</w:t>
      </w:r>
      <w:r w:rsidR="007A183B" w:rsidRPr="007A183B">
        <w:rPr>
          <w:rFonts w:ascii="Times New Roman" w:eastAsia="Times New Roman" w:hAnsi="Times New Roman" w:cs="Times New Roman"/>
          <w:sz w:val="20"/>
          <w:szCs w:val="20"/>
          <w:lang w:val="uk-UA" w:eastAsia="ru-RU"/>
        </w:rPr>
        <w:t>овідомляє</w:t>
      </w:r>
      <w:r w:rsidRPr="006846D6">
        <w:rPr>
          <w:rFonts w:ascii="Times New Roman" w:eastAsia="Times New Roman" w:hAnsi="Times New Roman" w:cs="Times New Roman"/>
          <w:sz w:val="20"/>
          <w:szCs w:val="20"/>
          <w:lang w:val="uk-UA" w:eastAsia="ru-RU"/>
        </w:rPr>
        <w:t>мо</w:t>
      </w:r>
      <w:r w:rsidR="007A183B" w:rsidRPr="007A183B">
        <w:rPr>
          <w:rFonts w:ascii="Times New Roman" w:eastAsia="Times New Roman" w:hAnsi="Times New Roman" w:cs="Times New Roman"/>
          <w:sz w:val="20"/>
          <w:szCs w:val="20"/>
          <w:lang w:val="uk-UA" w:eastAsia="ru-RU"/>
        </w:rPr>
        <w:t xml:space="preserve">, що платниками рентної плати за спеціальне використання води (далі – Рентна плата), зокрема визначено первинних водокористувачі – суб’єктів господарювання, а також фізичних осіб – підприємців, які використовують та/або передають вторинним водокористувачам воду, отриману шляхом забору води з водних об’єктів.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Норми встановлені п. 255.1 ст. 255 Податкового кодексу України (далі –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Об’єктом оподаткування Рентною платою є фактичний обсяг води, який використовують водокористувачі (п. 255.3 ст. 255 ПКУ).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Статтею 49 Водного кодексу України від 06 червня 1995 року № 213/95-ВР визначено, що спеціальне водокористування є платним та здійснюється на підставі дозволу на спеціальне водокористування (далі – Дозвіл), який видається територіальними органами центрального органу виконавчої влади, що реалізує державну політику у сфері розвитку водного господарства.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Видача (відмова у видачі, переоформлення, видача дубліката, анулювання) Дозволу здійснюється відповідно до Закону України від 06 вересня 2005 року      № 2806-IV «Про дозвільну систему у сфері господарської діяльності» в установленому Кабінетом Міністрів України порядку.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разі відчуження земельної ділянки з свердловиною, у тому числі прав на свердловину та припинення дії дозволу на спеціальне водокористування, суб’єкт господарювання припиняє подання податкової декларації з Рентної плати.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lastRenderedPageBreak/>
        <w:t xml:space="preserve">При цьому останнім звітним (податковим) періодом для подання податкової декларації з Рентної плати за таких умов, є звітний період, у якому було припинено дію Дозволу.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 інших умов власник діючого Дозволу є платником Рентної плати до закінчення/ анулювання строку його дії. </w:t>
      </w:r>
    </w:p>
    <w:p w:rsidR="007C4269" w:rsidRPr="007A183B" w:rsidRDefault="007C4269" w:rsidP="009D4B03">
      <w:pPr>
        <w:rPr>
          <w:rFonts w:ascii="Times New Roman" w:eastAsia="Times New Roman" w:hAnsi="Times New Roman" w:cs="Times New Roman"/>
          <w:sz w:val="20"/>
          <w:szCs w:val="20"/>
          <w:lang w:val="uk-UA" w:eastAsia="ru-RU"/>
        </w:rPr>
      </w:pPr>
    </w:p>
    <w:p w:rsidR="007A183B" w:rsidRPr="007A183B" w:rsidRDefault="007A183B" w:rsidP="009D4B03">
      <w:pPr>
        <w:jc w:val="left"/>
        <w:outlineLvl w:val="0"/>
        <w:rPr>
          <w:rFonts w:ascii="Times New Roman" w:eastAsia="Times New Roman" w:hAnsi="Times New Roman" w:cs="Times New Roman"/>
          <w:b/>
          <w:bCs/>
          <w:kern w:val="36"/>
          <w:sz w:val="20"/>
          <w:szCs w:val="20"/>
          <w:lang w:val="uk-UA" w:eastAsia="ru-RU"/>
        </w:rPr>
      </w:pPr>
      <w:r w:rsidRPr="007A183B">
        <w:rPr>
          <w:rFonts w:ascii="Times New Roman" w:eastAsia="Times New Roman" w:hAnsi="Times New Roman" w:cs="Times New Roman"/>
          <w:b/>
          <w:bCs/>
          <w:kern w:val="36"/>
          <w:sz w:val="20"/>
          <w:szCs w:val="20"/>
          <w:lang w:val="uk-UA" w:eastAsia="ru-RU"/>
        </w:rPr>
        <w:t xml:space="preserve">Олексій Любченко: При заявці в 96 </w:t>
      </w:r>
      <w:proofErr w:type="spellStart"/>
      <w:r w:rsidRPr="007A183B">
        <w:rPr>
          <w:rFonts w:ascii="Times New Roman" w:eastAsia="Times New Roman" w:hAnsi="Times New Roman" w:cs="Times New Roman"/>
          <w:b/>
          <w:bCs/>
          <w:kern w:val="36"/>
          <w:sz w:val="20"/>
          <w:szCs w:val="20"/>
          <w:lang w:val="uk-UA" w:eastAsia="ru-RU"/>
        </w:rPr>
        <w:t>млрд</w:t>
      </w:r>
      <w:proofErr w:type="spellEnd"/>
      <w:r w:rsidRPr="007A183B">
        <w:rPr>
          <w:rFonts w:ascii="Times New Roman" w:eastAsia="Times New Roman" w:hAnsi="Times New Roman" w:cs="Times New Roman"/>
          <w:b/>
          <w:bCs/>
          <w:kern w:val="36"/>
          <w:sz w:val="20"/>
          <w:szCs w:val="20"/>
          <w:lang w:val="uk-UA" w:eastAsia="ru-RU"/>
        </w:rPr>
        <w:t xml:space="preserve"> </w:t>
      </w:r>
      <w:proofErr w:type="spellStart"/>
      <w:r w:rsidRPr="007A183B">
        <w:rPr>
          <w:rFonts w:ascii="Times New Roman" w:eastAsia="Times New Roman" w:hAnsi="Times New Roman" w:cs="Times New Roman"/>
          <w:b/>
          <w:bCs/>
          <w:kern w:val="36"/>
          <w:sz w:val="20"/>
          <w:szCs w:val="20"/>
          <w:lang w:val="uk-UA" w:eastAsia="ru-RU"/>
        </w:rPr>
        <w:t>грн</w:t>
      </w:r>
      <w:proofErr w:type="spellEnd"/>
      <w:r w:rsidRPr="007A183B">
        <w:rPr>
          <w:rFonts w:ascii="Times New Roman" w:eastAsia="Times New Roman" w:hAnsi="Times New Roman" w:cs="Times New Roman"/>
          <w:b/>
          <w:bCs/>
          <w:kern w:val="36"/>
          <w:sz w:val="20"/>
          <w:szCs w:val="20"/>
          <w:lang w:val="uk-UA" w:eastAsia="ru-RU"/>
        </w:rPr>
        <w:t xml:space="preserve"> відшкодовано 104,3 </w:t>
      </w:r>
      <w:proofErr w:type="spellStart"/>
      <w:r w:rsidRPr="007A183B">
        <w:rPr>
          <w:rFonts w:ascii="Times New Roman" w:eastAsia="Times New Roman" w:hAnsi="Times New Roman" w:cs="Times New Roman"/>
          <w:b/>
          <w:bCs/>
          <w:kern w:val="36"/>
          <w:sz w:val="20"/>
          <w:szCs w:val="20"/>
          <w:lang w:val="uk-UA" w:eastAsia="ru-RU"/>
        </w:rPr>
        <w:t>млрд</w:t>
      </w:r>
      <w:proofErr w:type="spellEnd"/>
      <w:r w:rsidRPr="007A183B">
        <w:rPr>
          <w:rFonts w:ascii="Times New Roman" w:eastAsia="Times New Roman" w:hAnsi="Times New Roman" w:cs="Times New Roman"/>
          <w:b/>
          <w:bCs/>
          <w:kern w:val="36"/>
          <w:sz w:val="20"/>
          <w:szCs w:val="20"/>
          <w:lang w:val="uk-UA" w:eastAsia="ru-RU"/>
        </w:rPr>
        <w:t xml:space="preserve"> гривень. Такого не було ніколи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 підсумками січня-вересня цього року при заявці 96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було відшкодовано 104,3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ПДВ. Тобто ДПС почала скорочувати накопичені на 1 січня 2020 року залишки невідшкодованого ПДВ. Таких результатів ще не було. Про це заявив Голова Державної податкової служби України Олексій Любченко в </w:t>
      </w:r>
      <w:r w:rsidRPr="006846D6">
        <w:rPr>
          <w:rFonts w:ascii="Times New Roman" w:eastAsia="Times New Roman" w:hAnsi="Times New Roman" w:cs="Times New Roman"/>
          <w:bCs/>
          <w:sz w:val="20"/>
          <w:szCs w:val="20"/>
          <w:lang w:val="uk-UA" w:eastAsia="ru-RU"/>
        </w:rPr>
        <w:t>інтерв’ю інформаційному агентству «Інтерфакс-Україна»</w:t>
      </w:r>
      <w:r w:rsidRPr="007A183B">
        <w:rPr>
          <w:rFonts w:ascii="Times New Roman" w:eastAsia="Times New Roman" w:hAnsi="Times New Roman" w:cs="Times New Roman"/>
          <w:sz w:val="20"/>
          <w:szCs w:val="20"/>
          <w:lang w:val="uk-UA" w:eastAsia="ru-RU"/>
        </w:rPr>
        <w:t xml:space="preserve">.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«У вересні було заявлено та відшкодовано по 11,5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грн. У липні-серпні цього року заявлено на 0,2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та 0,4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більше, ніж відшкодовано. А з квітня по червень відшкодування перевищувало заявки: у квітні – на 2,2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(відшкодовано 12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грн.), у травні – на 1,2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(12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у червні – на 0,8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(11,6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Тобто ми ще й віддаємо борги», – наголосив Олексій Любченко.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Він також розповів, що у вересні середньомісячна ефективність була на рівні 3,2 %, у квітні – 2,67 %, а за минулий рік – 2,68%.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«Ми побачили парадоксальну ситуацію. По суті обсяг декларацій з ПДВ </w:t>
      </w:r>
      <w:r w:rsidRPr="007A183B">
        <w:rPr>
          <w:rFonts w:ascii="Times New Roman" w:eastAsia="Times New Roman" w:hAnsi="Times New Roman" w:cs="Times New Roman"/>
          <w:sz w:val="20"/>
          <w:szCs w:val="20"/>
          <w:lang w:val="uk-UA" w:eastAsia="ru-RU"/>
        </w:rPr>
        <w:softHyphen/>
        <w:t xml:space="preserve">– це </w:t>
      </w:r>
      <w:proofErr w:type="spellStart"/>
      <w:r w:rsidRPr="007A183B">
        <w:rPr>
          <w:rFonts w:ascii="Times New Roman" w:eastAsia="Times New Roman" w:hAnsi="Times New Roman" w:cs="Times New Roman"/>
          <w:sz w:val="20"/>
          <w:szCs w:val="20"/>
          <w:lang w:val="uk-UA" w:eastAsia="ru-RU"/>
        </w:rPr>
        <w:t>мікромодель</w:t>
      </w:r>
      <w:proofErr w:type="spellEnd"/>
      <w:r w:rsidRPr="007A183B">
        <w:rPr>
          <w:rFonts w:ascii="Times New Roman" w:eastAsia="Times New Roman" w:hAnsi="Times New Roman" w:cs="Times New Roman"/>
          <w:sz w:val="20"/>
          <w:szCs w:val="20"/>
          <w:lang w:val="uk-UA" w:eastAsia="ru-RU"/>
        </w:rPr>
        <w:t xml:space="preserve"> ВВП – з лютого по квітень йшов спад, але в липні-серпні повернувся до зростання. Причому зростання гарне: було близько 550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в місяць, а зараз вже перевищило 700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гривень»,– зазначив Олексій Любченко. </w:t>
      </w:r>
    </w:p>
    <w:p w:rsidR="007A183B" w:rsidRPr="007A183B"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За його словами, починають оживати окремі «вічні» галузі – торгова, харчова та легка промисловість. Показники зростають ще й тому, що порушникам не вдається легалізувати контрабанду, а отже у білого бізнесу нечесної конкуренції та тиску менше. </w:t>
      </w:r>
    </w:p>
    <w:p w:rsidR="007A183B" w:rsidRPr="006846D6" w:rsidRDefault="007A183B" w:rsidP="009D4B03">
      <w:pPr>
        <w:rPr>
          <w:rFonts w:ascii="Times New Roman" w:eastAsia="Times New Roman" w:hAnsi="Times New Roman" w:cs="Times New Roman"/>
          <w:sz w:val="20"/>
          <w:szCs w:val="20"/>
          <w:lang w:val="uk-UA" w:eastAsia="ru-RU"/>
        </w:rPr>
      </w:pPr>
      <w:r w:rsidRPr="007A183B">
        <w:rPr>
          <w:rFonts w:ascii="Times New Roman" w:eastAsia="Times New Roman" w:hAnsi="Times New Roman" w:cs="Times New Roman"/>
          <w:sz w:val="20"/>
          <w:szCs w:val="20"/>
          <w:lang w:val="uk-UA" w:eastAsia="ru-RU"/>
        </w:rPr>
        <w:t xml:space="preserve">«Коли ми перший раз з журналістами зустрічалися весною, я чітко зафіксував: «мінус» 44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вся країна не виконувала загальний фонд держбюджету. А на 1 жовтня вже залишалося «мінус» 10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грн. У жовтні ми перекриємо ще 5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w:t>
      </w:r>
      <w:proofErr w:type="spellStart"/>
      <w:r w:rsidRPr="007A183B">
        <w:rPr>
          <w:rFonts w:ascii="Times New Roman" w:eastAsia="Times New Roman" w:hAnsi="Times New Roman" w:cs="Times New Roman"/>
          <w:sz w:val="20"/>
          <w:szCs w:val="20"/>
          <w:lang w:val="uk-UA" w:eastAsia="ru-RU"/>
        </w:rPr>
        <w:t>грн</w:t>
      </w:r>
      <w:proofErr w:type="spellEnd"/>
      <w:r w:rsidRPr="007A183B">
        <w:rPr>
          <w:rFonts w:ascii="Times New Roman" w:eastAsia="Times New Roman" w:hAnsi="Times New Roman" w:cs="Times New Roman"/>
          <w:sz w:val="20"/>
          <w:szCs w:val="20"/>
          <w:lang w:val="uk-UA" w:eastAsia="ru-RU"/>
        </w:rPr>
        <w:t xml:space="preserve"> мінімум, і за січень-жовтень 2020 року виконання загального фонду держбюджету очікується на рівні 108,5 відсотка, або плюс майже 33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грн. І якщо всі інші адміністратори доходів бюджету вийдуть на «нуль», то залишиться на дві місяці перекрити 5 </w:t>
      </w:r>
      <w:proofErr w:type="spellStart"/>
      <w:r w:rsidRPr="007A183B">
        <w:rPr>
          <w:rFonts w:ascii="Times New Roman" w:eastAsia="Times New Roman" w:hAnsi="Times New Roman" w:cs="Times New Roman"/>
          <w:sz w:val="20"/>
          <w:szCs w:val="20"/>
          <w:lang w:val="uk-UA" w:eastAsia="ru-RU"/>
        </w:rPr>
        <w:t>млрд</w:t>
      </w:r>
      <w:proofErr w:type="spellEnd"/>
      <w:r w:rsidRPr="007A183B">
        <w:rPr>
          <w:rFonts w:ascii="Times New Roman" w:eastAsia="Times New Roman" w:hAnsi="Times New Roman" w:cs="Times New Roman"/>
          <w:sz w:val="20"/>
          <w:szCs w:val="20"/>
          <w:lang w:val="uk-UA" w:eastAsia="ru-RU"/>
        </w:rPr>
        <w:t xml:space="preserve"> грн. Це цілком реально, і Уряду доведеться думати не про адміністрування внутрішніх податків, а виключно про керування </w:t>
      </w:r>
      <w:proofErr w:type="spellStart"/>
      <w:r w:rsidRPr="007A183B">
        <w:rPr>
          <w:rFonts w:ascii="Times New Roman" w:eastAsia="Times New Roman" w:hAnsi="Times New Roman" w:cs="Times New Roman"/>
          <w:sz w:val="20"/>
          <w:szCs w:val="20"/>
          <w:lang w:val="uk-UA" w:eastAsia="ru-RU"/>
        </w:rPr>
        <w:t>держборгом</w:t>
      </w:r>
      <w:proofErr w:type="spellEnd"/>
      <w:r w:rsidRPr="007A183B">
        <w:rPr>
          <w:rFonts w:ascii="Times New Roman" w:eastAsia="Times New Roman" w:hAnsi="Times New Roman" w:cs="Times New Roman"/>
          <w:sz w:val="20"/>
          <w:szCs w:val="20"/>
          <w:lang w:val="uk-UA" w:eastAsia="ru-RU"/>
        </w:rPr>
        <w:t xml:space="preserve">», – впевнений Олексій Любченко. </w:t>
      </w:r>
    </w:p>
    <w:p w:rsidR="007C4269" w:rsidRPr="007A183B" w:rsidRDefault="007C4269" w:rsidP="009D4B03">
      <w:pPr>
        <w:rPr>
          <w:rFonts w:ascii="Times New Roman" w:eastAsia="Times New Roman" w:hAnsi="Times New Roman" w:cs="Times New Roman"/>
          <w:sz w:val="20"/>
          <w:szCs w:val="20"/>
          <w:lang w:val="uk-UA" w:eastAsia="ru-RU"/>
        </w:rPr>
      </w:pPr>
    </w:p>
    <w:sectPr w:rsidR="007C4269" w:rsidRPr="007A183B" w:rsidSect="009D4B03">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D3A09"/>
    <w:rsid w:val="000060B1"/>
    <w:rsid w:val="000A6064"/>
    <w:rsid w:val="0028701C"/>
    <w:rsid w:val="00314BE1"/>
    <w:rsid w:val="003F691E"/>
    <w:rsid w:val="0065176B"/>
    <w:rsid w:val="006846D6"/>
    <w:rsid w:val="007A183B"/>
    <w:rsid w:val="007C291B"/>
    <w:rsid w:val="007C4269"/>
    <w:rsid w:val="008C0104"/>
    <w:rsid w:val="00962545"/>
    <w:rsid w:val="009D4B03"/>
    <w:rsid w:val="00A80E6B"/>
    <w:rsid w:val="00CD3A09"/>
    <w:rsid w:val="00E60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CD3A09"/>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3A0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D3A0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Emphasis"/>
    <w:basedOn w:val="a0"/>
    <w:uiPriority w:val="20"/>
    <w:qFormat/>
    <w:rsid w:val="00CD3A09"/>
    <w:rPr>
      <w:i/>
      <w:iCs/>
    </w:rPr>
  </w:style>
  <w:style w:type="paragraph" w:styleId="a5">
    <w:name w:val="Balloon Text"/>
    <w:basedOn w:val="a"/>
    <w:link w:val="a6"/>
    <w:uiPriority w:val="99"/>
    <w:semiHidden/>
    <w:unhideWhenUsed/>
    <w:rsid w:val="00CD3A09"/>
    <w:rPr>
      <w:rFonts w:ascii="Tahoma" w:hAnsi="Tahoma" w:cs="Tahoma"/>
      <w:sz w:val="16"/>
      <w:szCs w:val="16"/>
    </w:rPr>
  </w:style>
  <w:style w:type="character" w:customStyle="1" w:styleId="a6">
    <w:name w:val="Текст выноски Знак"/>
    <w:basedOn w:val="a0"/>
    <w:link w:val="a5"/>
    <w:uiPriority w:val="99"/>
    <w:semiHidden/>
    <w:rsid w:val="00CD3A09"/>
    <w:rPr>
      <w:rFonts w:ascii="Tahoma" w:hAnsi="Tahoma" w:cs="Tahoma"/>
      <w:sz w:val="16"/>
      <w:szCs w:val="16"/>
    </w:rPr>
  </w:style>
  <w:style w:type="character" w:styleId="a7">
    <w:name w:val="Strong"/>
    <w:basedOn w:val="a0"/>
    <w:uiPriority w:val="22"/>
    <w:qFormat/>
    <w:rsid w:val="00CD3A09"/>
    <w:rPr>
      <w:b/>
      <w:bCs/>
    </w:rPr>
  </w:style>
  <w:style w:type="character" w:styleId="a8">
    <w:name w:val="Hyperlink"/>
    <w:basedOn w:val="a0"/>
    <w:uiPriority w:val="99"/>
    <w:unhideWhenUsed/>
    <w:rsid w:val="007A183B"/>
    <w:rPr>
      <w:color w:val="0000FF"/>
      <w:u w:val="single"/>
    </w:rPr>
  </w:style>
  <w:style w:type="paragraph" w:customStyle="1" w:styleId="20">
    <w:name w:val="20"/>
    <w:basedOn w:val="a"/>
    <w:rsid w:val="007A183B"/>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rvps6">
    <w:name w:val="rvps6"/>
    <w:basedOn w:val="a"/>
    <w:rsid w:val="007A183B"/>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rvps2">
    <w:name w:val="rvps2"/>
    <w:basedOn w:val="a"/>
    <w:rsid w:val="007A183B"/>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60">
    <w:name w:val="60"/>
    <w:basedOn w:val="a"/>
    <w:rsid w:val="007A183B"/>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497898">
      <w:bodyDiv w:val="1"/>
      <w:marLeft w:val="0"/>
      <w:marRight w:val="0"/>
      <w:marTop w:val="0"/>
      <w:marBottom w:val="0"/>
      <w:divBdr>
        <w:top w:val="none" w:sz="0" w:space="0" w:color="auto"/>
        <w:left w:val="none" w:sz="0" w:space="0" w:color="auto"/>
        <w:bottom w:val="none" w:sz="0" w:space="0" w:color="auto"/>
        <w:right w:val="none" w:sz="0" w:space="0" w:color="auto"/>
      </w:divBdr>
      <w:divsChild>
        <w:div w:id="261307923">
          <w:marLeft w:val="0"/>
          <w:marRight w:val="0"/>
          <w:marTop w:val="0"/>
          <w:marBottom w:val="0"/>
          <w:divBdr>
            <w:top w:val="none" w:sz="0" w:space="0" w:color="auto"/>
            <w:left w:val="none" w:sz="0" w:space="0" w:color="auto"/>
            <w:bottom w:val="none" w:sz="0" w:space="0" w:color="auto"/>
            <w:right w:val="none" w:sz="0" w:space="0" w:color="auto"/>
          </w:divBdr>
          <w:divsChild>
            <w:div w:id="208588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7771">
      <w:bodyDiv w:val="1"/>
      <w:marLeft w:val="0"/>
      <w:marRight w:val="0"/>
      <w:marTop w:val="0"/>
      <w:marBottom w:val="0"/>
      <w:divBdr>
        <w:top w:val="none" w:sz="0" w:space="0" w:color="auto"/>
        <w:left w:val="none" w:sz="0" w:space="0" w:color="auto"/>
        <w:bottom w:val="none" w:sz="0" w:space="0" w:color="auto"/>
        <w:right w:val="none" w:sz="0" w:space="0" w:color="auto"/>
      </w:divBdr>
      <w:divsChild>
        <w:div w:id="1342126117">
          <w:marLeft w:val="0"/>
          <w:marRight w:val="0"/>
          <w:marTop w:val="0"/>
          <w:marBottom w:val="0"/>
          <w:divBdr>
            <w:top w:val="none" w:sz="0" w:space="0" w:color="auto"/>
            <w:left w:val="none" w:sz="0" w:space="0" w:color="auto"/>
            <w:bottom w:val="none" w:sz="0" w:space="0" w:color="auto"/>
            <w:right w:val="none" w:sz="0" w:space="0" w:color="auto"/>
          </w:divBdr>
          <w:divsChild>
            <w:div w:id="199690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13513">
      <w:bodyDiv w:val="1"/>
      <w:marLeft w:val="0"/>
      <w:marRight w:val="0"/>
      <w:marTop w:val="0"/>
      <w:marBottom w:val="0"/>
      <w:divBdr>
        <w:top w:val="none" w:sz="0" w:space="0" w:color="auto"/>
        <w:left w:val="none" w:sz="0" w:space="0" w:color="auto"/>
        <w:bottom w:val="none" w:sz="0" w:space="0" w:color="auto"/>
        <w:right w:val="none" w:sz="0" w:space="0" w:color="auto"/>
      </w:divBdr>
      <w:divsChild>
        <w:div w:id="2018656131">
          <w:marLeft w:val="0"/>
          <w:marRight w:val="0"/>
          <w:marTop w:val="0"/>
          <w:marBottom w:val="0"/>
          <w:divBdr>
            <w:top w:val="none" w:sz="0" w:space="0" w:color="auto"/>
            <w:left w:val="none" w:sz="0" w:space="0" w:color="auto"/>
            <w:bottom w:val="none" w:sz="0" w:space="0" w:color="auto"/>
            <w:right w:val="none" w:sz="0" w:space="0" w:color="auto"/>
          </w:divBdr>
          <w:divsChild>
            <w:div w:id="978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97336">
      <w:bodyDiv w:val="1"/>
      <w:marLeft w:val="0"/>
      <w:marRight w:val="0"/>
      <w:marTop w:val="0"/>
      <w:marBottom w:val="0"/>
      <w:divBdr>
        <w:top w:val="none" w:sz="0" w:space="0" w:color="auto"/>
        <w:left w:val="none" w:sz="0" w:space="0" w:color="auto"/>
        <w:bottom w:val="none" w:sz="0" w:space="0" w:color="auto"/>
        <w:right w:val="none" w:sz="0" w:space="0" w:color="auto"/>
      </w:divBdr>
      <w:divsChild>
        <w:div w:id="1597132789">
          <w:marLeft w:val="0"/>
          <w:marRight w:val="0"/>
          <w:marTop w:val="0"/>
          <w:marBottom w:val="0"/>
          <w:divBdr>
            <w:top w:val="none" w:sz="0" w:space="0" w:color="auto"/>
            <w:left w:val="none" w:sz="0" w:space="0" w:color="auto"/>
            <w:bottom w:val="none" w:sz="0" w:space="0" w:color="auto"/>
            <w:right w:val="none" w:sz="0" w:space="0" w:color="auto"/>
          </w:divBdr>
          <w:divsChild>
            <w:div w:id="138617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6685">
      <w:bodyDiv w:val="1"/>
      <w:marLeft w:val="0"/>
      <w:marRight w:val="0"/>
      <w:marTop w:val="0"/>
      <w:marBottom w:val="0"/>
      <w:divBdr>
        <w:top w:val="none" w:sz="0" w:space="0" w:color="auto"/>
        <w:left w:val="none" w:sz="0" w:space="0" w:color="auto"/>
        <w:bottom w:val="none" w:sz="0" w:space="0" w:color="auto"/>
        <w:right w:val="none" w:sz="0" w:space="0" w:color="auto"/>
      </w:divBdr>
      <w:divsChild>
        <w:div w:id="1223758613">
          <w:marLeft w:val="0"/>
          <w:marRight w:val="0"/>
          <w:marTop w:val="0"/>
          <w:marBottom w:val="0"/>
          <w:divBdr>
            <w:top w:val="none" w:sz="0" w:space="0" w:color="auto"/>
            <w:left w:val="none" w:sz="0" w:space="0" w:color="auto"/>
            <w:bottom w:val="none" w:sz="0" w:space="0" w:color="auto"/>
            <w:right w:val="none" w:sz="0" w:space="0" w:color="auto"/>
          </w:divBdr>
          <w:divsChild>
            <w:div w:id="14570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71526">
      <w:bodyDiv w:val="1"/>
      <w:marLeft w:val="0"/>
      <w:marRight w:val="0"/>
      <w:marTop w:val="0"/>
      <w:marBottom w:val="0"/>
      <w:divBdr>
        <w:top w:val="none" w:sz="0" w:space="0" w:color="auto"/>
        <w:left w:val="none" w:sz="0" w:space="0" w:color="auto"/>
        <w:bottom w:val="none" w:sz="0" w:space="0" w:color="auto"/>
        <w:right w:val="none" w:sz="0" w:space="0" w:color="auto"/>
      </w:divBdr>
      <w:divsChild>
        <w:div w:id="1021399306">
          <w:marLeft w:val="0"/>
          <w:marRight w:val="0"/>
          <w:marTop w:val="0"/>
          <w:marBottom w:val="0"/>
          <w:divBdr>
            <w:top w:val="none" w:sz="0" w:space="0" w:color="auto"/>
            <w:left w:val="none" w:sz="0" w:space="0" w:color="auto"/>
            <w:bottom w:val="none" w:sz="0" w:space="0" w:color="auto"/>
            <w:right w:val="none" w:sz="0" w:space="0" w:color="auto"/>
          </w:divBdr>
          <w:divsChild>
            <w:div w:id="54305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7285">
      <w:bodyDiv w:val="1"/>
      <w:marLeft w:val="0"/>
      <w:marRight w:val="0"/>
      <w:marTop w:val="0"/>
      <w:marBottom w:val="0"/>
      <w:divBdr>
        <w:top w:val="none" w:sz="0" w:space="0" w:color="auto"/>
        <w:left w:val="none" w:sz="0" w:space="0" w:color="auto"/>
        <w:bottom w:val="none" w:sz="0" w:space="0" w:color="auto"/>
        <w:right w:val="none" w:sz="0" w:space="0" w:color="auto"/>
      </w:divBdr>
      <w:divsChild>
        <w:div w:id="1945115904">
          <w:marLeft w:val="0"/>
          <w:marRight w:val="0"/>
          <w:marTop w:val="0"/>
          <w:marBottom w:val="0"/>
          <w:divBdr>
            <w:top w:val="none" w:sz="0" w:space="0" w:color="auto"/>
            <w:left w:val="none" w:sz="0" w:space="0" w:color="auto"/>
            <w:bottom w:val="none" w:sz="0" w:space="0" w:color="auto"/>
            <w:right w:val="none" w:sz="0" w:space="0" w:color="auto"/>
          </w:divBdr>
          <w:divsChild>
            <w:div w:id="127783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4269">
      <w:bodyDiv w:val="1"/>
      <w:marLeft w:val="0"/>
      <w:marRight w:val="0"/>
      <w:marTop w:val="0"/>
      <w:marBottom w:val="0"/>
      <w:divBdr>
        <w:top w:val="none" w:sz="0" w:space="0" w:color="auto"/>
        <w:left w:val="none" w:sz="0" w:space="0" w:color="auto"/>
        <w:bottom w:val="none" w:sz="0" w:space="0" w:color="auto"/>
        <w:right w:val="none" w:sz="0" w:space="0" w:color="auto"/>
      </w:divBdr>
      <w:divsChild>
        <w:div w:id="674185354">
          <w:marLeft w:val="0"/>
          <w:marRight w:val="0"/>
          <w:marTop w:val="0"/>
          <w:marBottom w:val="0"/>
          <w:divBdr>
            <w:top w:val="none" w:sz="0" w:space="0" w:color="auto"/>
            <w:left w:val="none" w:sz="0" w:space="0" w:color="auto"/>
            <w:bottom w:val="none" w:sz="0" w:space="0" w:color="auto"/>
            <w:right w:val="none" w:sz="0" w:space="0" w:color="auto"/>
          </w:divBdr>
          <w:divsChild>
            <w:div w:id="9035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98224">
      <w:bodyDiv w:val="1"/>
      <w:marLeft w:val="0"/>
      <w:marRight w:val="0"/>
      <w:marTop w:val="0"/>
      <w:marBottom w:val="0"/>
      <w:divBdr>
        <w:top w:val="none" w:sz="0" w:space="0" w:color="auto"/>
        <w:left w:val="none" w:sz="0" w:space="0" w:color="auto"/>
        <w:bottom w:val="none" w:sz="0" w:space="0" w:color="auto"/>
        <w:right w:val="none" w:sz="0" w:space="0" w:color="auto"/>
      </w:divBdr>
      <w:divsChild>
        <w:div w:id="1782609522">
          <w:marLeft w:val="0"/>
          <w:marRight w:val="0"/>
          <w:marTop w:val="0"/>
          <w:marBottom w:val="0"/>
          <w:divBdr>
            <w:top w:val="none" w:sz="0" w:space="0" w:color="auto"/>
            <w:left w:val="none" w:sz="0" w:space="0" w:color="auto"/>
            <w:bottom w:val="none" w:sz="0" w:space="0" w:color="auto"/>
            <w:right w:val="none" w:sz="0" w:space="0" w:color="auto"/>
          </w:divBdr>
          <w:divsChild>
            <w:div w:id="103796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3376">
      <w:bodyDiv w:val="1"/>
      <w:marLeft w:val="0"/>
      <w:marRight w:val="0"/>
      <w:marTop w:val="0"/>
      <w:marBottom w:val="0"/>
      <w:divBdr>
        <w:top w:val="none" w:sz="0" w:space="0" w:color="auto"/>
        <w:left w:val="none" w:sz="0" w:space="0" w:color="auto"/>
        <w:bottom w:val="none" w:sz="0" w:space="0" w:color="auto"/>
        <w:right w:val="none" w:sz="0" w:space="0" w:color="auto"/>
      </w:divBdr>
      <w:divsChild>
        <w:div w:id="1576937429">
          <w:marLeft w:val="0"/>
          <w:marRight w:val="0"/>
          <w:marTop w:val="0"/>
          <w:marBottom w:val="0"/>
          <w:divBdr>
            <w:top w:val="none" w:sz="0" w:space="0" w:color="auto"/>
            <w:left w:val="none" w:sz="0" w:space="0" w:color="auto"/>
            <w:bottom w:val="none" w:sz="0" w:space="0" w:color="auto"/>
            <w:right w:val="none" w:sz="0" w:space="0" w:color="auto"/>
          </w:divBdr>
          <w:divsChild>
            <w:div w:id="26681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5557">
      <w:bodyDiv w:val="1"/>
      <w:marLeft w:val="0"/>
      <w:marRight w:val="0"/>
      <w:marTop w:val="0"/>
      <w:marBottom w:val="0"/>
      <w:divBdr>
        <w:top w:val="none" w:sz="0" w:space="0" w:color="auto"/>
        <w:left w:val="none" w:sz="0" w:space="0" w:color="auto"/>
        <w:bottom w:val="none" w:sz="0" w:space="0" w:color="auto"/>
        <w:right w:val="none" w:sz="0" w:space="0" w:color="auto"/>
      </w:divBdr>
      <w:divsChild>
        <w:div w:id="103427062">
          <w:marLeft w:val="0"/>
          <w:marRight w:val="0"/>
          <w:marTop w:val="0"/>
          <w:marBottom w:val="0"/>
          <w:divBdr>
            <w:top w:val="none" w:sz="0" w:space="0" w:color="auto"/>
            <w:left w:val="none" w:sz="0" w:space="0" w:color="auto"/>
            <w:bottom w:val="none" w:sz="0" w:space="0" w:color="auto"/>
            <w:right w:val="none" w:sz="0" w:space="0" w:color="auto"/>
          </w:divBdr>
          <w:divsChild>
            <w:div w:id="16238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23038">
      <w:bodyDiv w:val="1"/>
      <w:marLeft w:val="0"/>
      <w:marRight w:val="0"/>
      <w:marTop w:val="0"/>
      <w:marBottom w:val="0"/>
      <w:divBdr>
        <w:top w:val="none" w:sz="0" w:space="0" w:color="auto"/>
        <w:left w:val="none" w:sz="0" w:space="0" w:color="auto"/>
        <w:bottom w:val="none" w:sz="0" w:space="0" w:color="auto"/>
        <w:right w:val="none" w:sz="0" w:space="0" w:color="auto"/>
      </w:divBdr>
      <w:divsChild>
        <w:div w:id="1639260353">
          <w:marLeft w:val="0"/>
          <w:marRight w:val="0"/>
          <w:marTop w:val="0"/>
          <w:marBottom w:val="0"/>
          <w:divBdr>
            <w:top w:val="none" w:sz="0" w:space="0" w:color="auto"/>
            <w:left w:val="none" w:sz="0" w:space="0" w:color="auto"/>
            <w:bottom w:val="none" w:sz="0" w:space="0" w:color="auto"/>
            <w:right w:val="none" w:sz="0" w:space="0" w:color="auto"/>
          </w:divBdr>
          <w:divsChild>
            <w:div w:id="51218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176958">
      <w:bodyDiv w:val="1"/>
      <w:marLeft w:val="0"/>
      <w:marRight w:val="0"/>
      <w:marTop w:val="0"/>
      <w:marBottom w:val="0"/>
      <w:divBdr>
        <w:top w:val="none" w:sz="0" w:space="0" w:color="auto"/>
        <w:left w:val="none" w:sz="0" w:space="0" w:color="auto"/>
        <w:bottom w:val="none" w:sz="0" w:space="0" w:color="auto"/>
        <w:right w:val="none" w:sz="0" w:space="0" w:color="auto"/>
      </w:divBdr>
      <w:divsChild>
        <w:div w:id="1524589743">
          <w:marLeft w:val="0"/>
          <w:marRight w:val="0"/>
          <w:marTop w:val="0"/>
          <w:marBottom w:val="0"/>
          <w:divBdr>
            <w:top w:val="none" w:sz="0" w:space="0" w:color="auto"/>
            <w:left w:val="none" w:sz="0" w:space="0" w:color="auto"/>
            <w:bottom w:val="none" w:sz="0" w:space="0" w:color="auto"/>
            <w:right w:val="none" w:sz="0" w:space="0" w:color="auto"/>
          </w:divBdr>
          <w:divsChild>
            <w:div w:id="18053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18887">
      <w:bodyDiv w:val="1"/>
      <w:marLeft w:val="0"/>
      <w:marRight w:val="0"/>
      <w:marTop w:val="0"/>
      <w:marBottom w:val="0"/>
      <w:divBdr>
        <w:top w:val="none" w:sz="0" w:space="0" w:color="auto"/>
        <w:left w:val="none" w:sz="0" w:space="0" w:color="auto"/>
        <w:bottom w:val="none" w:sz="0" w:space="0" w:color="auto"/>
        <w:right w:val="none" w:sz="0" w:space="0" w:color="auto"/>
      </w:divBdr>
      <w:divsChild>
        <w:div w:id="1037395152">
          <w:marLeft w:val="0"/>
          <w:marRight w:val="0"/>
          <w:marTop w:val="0"/>
          <w:marBottom w:val="0"/>
          <w:divBdr>
            <w:top w:val="none" w:sz="0" w:space="0" w:color="auto"/>
            <w:left w:val="none" w:sz="0" w:space="0" w:color="auto"/>
            <w:bottom w:val="none" w:sz="0" w:space="0" w:color="auto"/>
            <w:right w:val="none" w:sz="0" w:space="0" w:color="auto"/>
          </w:divBdr>
          <w:divsChild>
            <w:div w:id="1507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48353">
      <w:bodyDiv w:val="1"/>
      <w:marLeft w:val="0"/>
      <w:marRight w:val="0"/>
      <w:marTop w:val="0"/>
      <w:marBottom w:val="0"/>
      <w:divBdr>
        <w:top w:val="none" w:sz="0" w:space="0" w:color="auto"/>
        <w:left w:val="none" w:sz="0" w:space="0" w:color="auto"/>
        <w:bottom w:val="none" w:sz="0" w:space="0" w:color="auto"/>
        <w:right w:val="none" w:sz="0" w:space="0" w:color="auto"/>
      </w:divBdr>
      <w:divsChild>
        <w:div w:id="1093744795">
          <w:marLeft w:val="0"/>
          <w:marRight w:val="0"/>
          <w:marTop w:val="0"/>
          <w:marBottom w:val="0"/>
          <w:divBdr>
            <w:top w:val="none" w:sz="0" w:space="0" w:color="auto"/>
            <w:left w:val="none" w:sz="0" w:space="0" w:color="auto"/>
            <w:bottom w:val="none" w:sz="0" w:space="0" w:color="auto"/>
            <w:right w:val="none" w:sz="0" w:space="0" w:color="auto"/>
          </w:divBdr>
          <w:divsChild>
            <w:div w:id="10335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39782">
      <w:bodyDiv w:val="1"/>
      <w:marLeft w:val="0"/>
      <w:marRight w:val="0"/>
      <w:marTop w:val="0"/>
      <w:marBottom w:val="0"/>
      <w:divBdr>
        <w:top w:val="none" w:sz="0" w:space="0" w:color="auto"/>
        <w:left w:val="none" w:sz="0" w:space="0" w:color="auto"/>
        <w:bottom w:val="none" w:sz="0" w:space="0" w:color="auto"/>
        <w:right w:val="none" w:sz="0" w:space="0" w:color="auto"/>
      </w:divBdr>
      <w:divsChild>
        <w:div w:id="827743720">
          <w:marLeft w:val="0"/>
          <w:marRight w:val="0"/>
          <w:marTop w:val="0"/>
          <w:marBottom w:val="0"/>
          <w:divBdr>
            <w:top w:val="none" w:sz="0" w:space="0" w:color="auto"/>
            <w:left w:val="none" w:sz="0" w:space="0" w:color="auto"/>
            <w:bottom w:val="none" w:sz="0" w:space="0" w:color="auto"/>
            <w:right w:val="none" w:sz="0" w:space="0" w:color="auto"/>
          </w:divBdr>
          <w:divsChild>
            <w:div w:id="43787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8019">
      <w:bodyDiv w:val="1"/>
      <w:marLeft w:val="0"/>
      <w:marRight w:val="0"/>
      <w:marTop w:val="0"/>
      <w:marBottom w:val="0"/>
      <w:divBdr>
        <w:top w:val="none" w:sz="0" w:space="0" w:color="auto"/>
        <w:left w:val="none" w:sz="0" w:space="0" w:color="auto"/>
        <w:bottom w:val="none" w:sz="0" w:space="0" w:color="auto"/>
        <w:right w:val="none" w:sz="0" w:space="0" w:color="auto"/>
      </w:divBdr>
      <w:divsChild>
        <w:div w:id="1365054283">
          <w:marLeft w:val="0"/>
          <w:marRight w:val="0"/>
          <w:marTop w:val="0"/>
          <w:marBottom w:val="0"/>
          <w:divBdr>
            <w:top w:val="none" w:sz="0" w:space="0" w:color="auto"/>
            <w:left w:val="none" w:sz="0" w:space="0" w:color="auto"/>
            <w:bottom w:val="none" w:sz="0" w:space="0" w:color="auto"/>
            <w:right w:val="none" w:sz="0" w:space="0" w:color="auto"/>
          </w:divBdr>
          <w:divsChild>
            <w:div w:id="61343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9577">
      <w:bodyDiv w:val="1"/>
      <w:marLeft w:val="0"/>
      <w:marRight w:val="0"/>
      <w:marTop w:val="0"/>
      <w:marBottom w:val="0"/>
      <w:divBdr>
        <w:top w:val="none" w:sz="0" w:space="0" w:color="auto"/>
        <w:left w:val="none" w:sz="0" w:space="0" w:color="auto"/>
        <w:bottom w:val="none" w:sz="0" w:space="0" w:color="auto"/>
        <w:right w:val="none" w:sz="0" w:space="0" w:color="auto"/>
      </w:divBdr>
      <w:divsChild>
        <w:div w:id="1464271631">
          <w:marLeft w:val="0"/>
          <w:marRight w:val="0"/>
          <w:marTop w:val="0"/>
          <w:marBottom w:val="0"/>
          <w:divBdr>
            <w:top w:val="none" w:sz="0" w:space="0" w:color="auto"/>
            <w:left w:val="none" w:sz="0" w:space="0" w:color="auto"/>
            <w:bottom w:val="none" w:sz="0" w:space="0" w:color="auto"/>
            <w:right w:val="none" w:sz="0" w:space="0" w:color="auto"/>
          </w:divBdr>
          <w:divsChild>
            <w:div w:id="182754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87680">
      <w:bodyDiv w:val="1"/>
      <w:marLeft w:val="0"/>
      <w:marRight w:val="0"/>
      <w:marTop w:val="0"/>
      <w:marBottom w:val="0"/>
      <w:divBdr>
        <w:top w:val="none" w:sz="0" w:space="0" w:color="auto"/>
        <w:left w:val="none" w:sz="0" w:space="0" w:color="auto"/>
        <w:bottom w:val="none" w:sz="0" w:space="0" w:color="auto"/>
        <w:right w:val="none" w:sz="0" w:space="0" w:color="auto"/>
      </w:divBdr>
      <w:divsChild>
        <w:div w:id="1322731200">
          <w:marLeft w:val="0"/>
          <w:marRight w:val="0"/>
          <w:marTop w:val="0"/>
          <w:marBottom w:val="0"/>
          <w:divBdr>
            <w:top w:val="none" w:sz="0" w:space="0" w:color="auto"/>
            <w:left w:val="none" w:sz="0" w:space="0" w:color="auto"/>
            <w:bottom w:val="none" w:sz="0" w:space="0" w:color="auto"/>
            <w:right w:val="none" w:sz="0" w:space="0" w:color="auto"/>
          </w:divBdr>
          <w:divsChild>
            <w:div w:id="154798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72738">
      <w:bodyDiv w:val="1"/>
      <w:marLeft w:val="0"/>
      <w:marRight w:val="0"/>
      <w:marTop w:val="0"/>
      <w:marBottom w:val="0"/>
      <w:divBdr>
        <w:top w:val="none" w:sz="0" w:space="0" w:color="auto"/>
        <w:left w:val="none" w:sz="0" w:space="0" w:color="auto"/>
        <w:bottom w:val="none" w:sz="0" w:space="0" w:color="auto"/>
        <w:right w:val="none" w:sz="0" w:space="0" w:color="auto"/>
      </w:divBdr>
      <w:divsChild>
        <w:div w:id="1855534112">
          <w:marLeft w:val="0"/>
          <w:marRight w:val="0"/>
          <w:marTop w:val="0"/>
          <w:marBottom w:val="0"/>
          <w:divBdr>
            <w:top w:val="none" w:sz="0" w:space="0" w:color="auto"/>
            <w:left w:val="none" w:sz="0" w:space="0" w:color="auto"/>
            <w:bottom w:val="none" w:sz="0" w:space="0" w:color="auto"/>
            <w:right w:val="none" w:sz="0" w:space="0" w:color="auto"/>
          </w:divBdr>
          <w:divsChild>
            <w:div w:id="189111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8564">
      <w:bodyDiv w:val="1"/>
      <w:marLeft w:val="0"/>
      <w:marRight w:val="0"/>
      <w:marTop w:val="0"/>
      <w:marBottom w:val="0"/>
      <w:divBdr>
        <w:top w:val="none" w:sz="0" w:space="0" w:color="auto"/>
        <w:left w:val="none" w:sz="0" w:space="0" w:color="auto"/>
        <w:bottom w:val="none" w:sz="0" w:space="0" w:color="auto"/>
        <w:right w:val="none" w:sz="0" w:space="0" w:color="auto"/>
      </w:divBdr>
      <w:divsChild>
        <w:div w:id="607929111">
          <w:marLeft w:val="0"/>
          <w:marRight w:val="0"/>
          <w:marTop w:val="0"/>
          <w:marBottom w:val="0"/>
          <w:divBdr>
            <w:top w:val="none" w:sz="0" w:space="0" w:color="auto"/>
            <w:left w:val="none" w:sz="0" w:space="0" w:color="auto"/>
            <w:bottom w:val="none" w:sz="0" w:space="0" w:color="auto"/>
            <w:right w:val="none" w:sz="0" w:space="0" w:color="auto"/>
          </w:divBdr>
          <w:divsChild>
            <w:div w:id="201637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424732">
      <w:bodyDiv w:val="1"/>
      <w:marLeft w:val="0"/>
      <w:marRight w:val="0"/>
      <w:marTop w:val="0"/>
      <w:marBottom w:val="0"/>
      <w:divBdr>
        <w:top w:val="none" w:sz="0" w:space="0" w:color="auto"/>
        <w:left w:val="none" w:sz="0" w:space="0" w:color="auto"/>
        <w:bottom w:val="none" w:sz="0" w:space="0" w:color="auto"/>
        <w:right w:val="none" w:sz="0" w:space="0" w:color="auto"/>
      </w:divBdr>
      <w:divsChild>
        <w:div w:id="2060981345">
          <w:marLeft w:val="0"/>
          <w:marRight w:val="0"/>
          <w:marTop w:val="0"/>
          <w:marBottom w:val="0"/>
          <w:divBdr>
            <w:top w:val="none" w:sz="0" w:space="0" w:color="auto"/>
            <w:left w:val="none" w:sz="0" w:space="0" w:color="auto"/>
            <w:bottom w:val="none" w:sz="0" w:space="0" w:color="auto"/>
            <w:right w:val="none" w:sz="0" w:space="0" w:color="auto"/>
          </w:divBdr>
          <w:divsChild>
            <w:div w:id="5767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86126">
      <w:bodyDiv w:val="1"/>
      <w:marLeft w:val="0"/>
      <w:marRight w:val="0"/>
      <w:marTop w:val="0"/>
      <w:marBottom w:val="0"/>
      <w:divBdr>
        <w:top w:val="none" w:sz="0" w:space="0" w:color="auto"/>
        <w:left w:val="none" w:sz="0" w:space="0" w:color="auto"/>
        <w:bottom w:val="none" w:sz="0" w:space="0" w:color="auto"/>
        <w:right w:val="none" w:sz="0" w:space="0" w:color="auto"/>
      </w:divBdr>
      <w:divsChild>
        <w:div w:id="1955283808">
          <w:marLeft w:val="0"/>
          <w:marRight w:val="0"/>
          <w:marTop w:val="0"/>
          <w:marBottom w:val="0"/>
          <w:divBdr>
            <w:top w:val="none" w:sz="0" w:space="0" w:color="auto"/>
            <w:left w:val="none" w:sz="0" w:space="0" w:color="auto"/>
            <w:bottom w:val="none" w:sz="0" w:space="0" w:color="auto"/>
            <w:right w:val="none" w:sz="0" w:space="0" w:color="auto"/>
          </w:divBdr>
          <w:divsChild>
            <w:div w:id="16511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558911">
      <w:bodyDiv w:val="1"/>
      <w:marLeft w:val="0"/>
      <w:marRight w:val="0"/>
      <w:marTop w:val="0"/>
      <w:marBottom w:val="0"/>
      <w:divBdr>
        <w:top w:val="none" w:sz="0" w:space="0" w:color="auto"/>
        <w:left w:val="none" w:sz="0" w:space="0" w:color="auto"/>
        <w:bottom w:val="none" w:sz="0" w:space="0" w:color="auto"/>
        <w:right w:val="none" w:sz="0" w:space="0" w:color="auto"/>
      </w:divBdr>
      <w:divsChild>
        <w:div w:id="1261255396">
          <w:marLeft w:val="0"/>
          <w:marRight w:val="0"/>
          <w:marTop w:val="0"/>
          <w:marBottom w:val="0"/>
          <w:divBdr>
            <w:top w:val="none" w:sz="0" w:space="0" w:color="auto"/>
            <w:left w:val="none" w:sz="0" w:space="0" w:color="auto"/>
            <w:bottom w:val="none" w:sz="0" w:space="0" w:color="auto"/>
            <w:right w:val="none" w:sz="0" w:space="0" w:color="auto"/>
          </w:divBdr>
          <w:divsChild>
            <w:div w:id="8740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1686">
      <w:bodyDiv w:val="1"/>
      <w:marLeft w:val="0"/>
      <w:marRight w:val="0"/>
      <w:marTop w:val="0"/>
      <w:marBottom w:val="0"/>
      <w:divBdr>
        <w:top w:val="none" w:sz="0" w:space="0" w:color="auto"/>
        <w:left w:val="none" w:sz="0" w:space="0" w:color="auto"/>
        <w:bottom w:val="none" w:sz="0" w:space="0" w:color="auto"/>
        <w:right w:val="none" w:sz="0" w:space="0" w:color="auto"/>
      </w:divBdr>
      <w:divsChild>
        <w:div w:id="492718835">
          <w:marLeft w:val="0"/>
          <w:marRight w:val="0"/>
          <w:marTop w:val="0"/>
          <w:marBottom w:val="0"/>
          <w:divBdr>
            <w:top w:val="none" w:sz="0" w:space="0" w:color="auto"/>
            <w:left w:val="none" w:sz="0" w:space="0" w:color="auto"/>
            <w:bottom w:val="none" w:sz="0" w:space="0" w:color="auto"/>
            <w:right w:val="none" w:sz="0" w:space="0" w:color="auto"/>
          </w:divBdr>
          <w:divsChild>
            <w:div w:id="204636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12123">
      <w:bodyDiv w:val="1"/>
      <w:marLeft w:val="0"/>
      <w:marRight w:val="0"/>
      <w:marTop w:val="0"/>
      <w:marBottom w:val="0"/>
      <w:divBdr>
        <w:top w:val="none" w:sz="0" w:space="0" w:color="auto"/>
        <w:left w:val="none" w:sz="0" w:space="0" w:color="auto"/>
        <w:bottom w:val="none" w:sz="0" w:space="0" w:color="auto"/>
        <w:right w:val="none" w:sz="0" w:space="0" w:color="auto"/>
      </w:divBdr>
      <w:divsChild>
        <w:div w:id="1700428718">
          <w:marLeft w:val="0"/>
          <w:marRight w:val="0"/>
          <w:marTop w:val="0"/>
          <w:marBottom w:val="0"/>
          <w:divBdr>
            <w:top w:val="none" w:sz="0" w:space="0" w:color="auto"/>
            <w:left w:val="none" w:sz="0" w:space="0" w:color="auto"/>
            <w:bottom w:val="none" w:sz="0" w:space="0" w:color="auto"/>
            <w:right w:val="none" w:sz="0" w:space="0" w:color="auto"/>
          </w:divBdr>
          <w:divsChild>
            <w:div w:id="133583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69898">
      <w:bodyDiv w:val="1"/>
      <w:marLeft w:val="0"/>
      <w:marRight w:val="0"/>
      <w:marTop w:val="0"/>
      <w:marBottom w:val="0"/>
      <w:divBdr>
        <w:top w:val="none" w:sz="0" w:space="0" w:color="auto"/>
        <w:left w:val="none" w:sz="0" w:space="0" w:color="auto"/>
        <w:bottom w:val="none" w:sz="0" w:space="0" w:color="auto"/>
        <w:right w:val="none" w:sz="0" w:space="0" w:color="auto"/>
      </w:divBdr>
      <w:divsChild>
        <w:div w:id="8794715">
          <w:marLeft w:val="0"/>
          <w:marRight w:val="0"/>
          <w:marTop w:val="0"/>
          <w:marBottom w:val="0"/>
          <w:divBdr>
            <w:top w:val="none" w:sz="0" w:space="0" w:color="auto"/>
            <w:left w:val="none" w:sz="0" w:space="0" w:color="auto"/>
            <w:bottom w:val="none" w:sz="0" w:space="0" w:color="auto"/>
            <w:right w:val="none" w:sz="0" w:space="0" w:color="auto"/>
          </w:divBdr>
          <w:divsChild>
            <w:div w:id="169149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93291">
      <w:bodyDiv w:val="1"/>
      <w:marLeft w:val="0"/>
      <w:marRight w:val="0"/>
      <w:marTop w:val="0"/>
      <w:marBottom w:val="0"/>
      <w:divBdr>
        <w:top w:val="none" w:sz="0" w:space="0" w:color="auto"/>
        <w:left w:val="none" w:sz="0" w:space="0" w:color="auto"/>
        <w:bottom w:val="none" w:sz="0" w:space="0" w:color="auto"/>
        <w:right w:val="none" w:sz="0" w:space="0" w:color="auto"/>
      </w:divBdr>
      <w:divsChild>
        <w:div w:id="919607717">
          <w:marLeft w:val="0"/>
          <w:marRight w:val="0"/>
          <w:marTop w:val="0"/>
          <w:marBottom w:val="0"/>
          <w:divBdr>
            <w:top w:val="none" w:sz="0" w:space="0" w:color="auto"/>
            <w:left w:val="none" w:sz="0" w:space="0" w:color="auto"/>
            <w:bottom w:val="none" w:sz="0" w:space="0" w:color="auto"/>
            <w:right w:val="none" w:sz="0" w:space="0" w:color="auto"/>
          </w:divBdr>
          <w:divsChild>
            <w:div w:id="19090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8369">
      <w:bodyDiv w:val="1"/>
      <w:marLeft w:val="0"/>
      <w:marRight w:val="0"/>
      <w:marTop w:val="0"/>
      <w:marBottom w:val="0"/>
      <w:divBdr>
        <w:top w:val="none" w:sz="0" w:space="0" w:color="auto"/>
        <w:left w:val="none" w:sz="0" w:space="0" w:color="auto"/>
        <w:bottom w:val="none" w:sz="0" w:space="0" w:color="auto"/>
        <w:right w:val="none" w:sz="0" w:space="0" w:color="auto"/>
      </w:divBdr>
      <w:divsChild>
        <w:div w:id="870145714">
          <w:marLeft w:val="0"/>
          <w:marRight w:val="0"/>
          <w:marTop w:val="0"/>
          <w:marBottom w:val="0"/>
          <w:divBdr>
            <w:top w:val="none" w:sz="0" w:space="0" w:color="auto"/>
            <w:left w:val="none" w:sz="0" w:space="0" w:color="auto"/>
            <w:bottom w:val="none" w:sz="0" w:space="0" w:color="auto"/>
            <w:right w:val="none" w:sz="0" w:space="0" w:color="auto"/>
          </w:divBdr>
          <w:divsChild>
            <w:div w:id="178587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10787">
      <w:bodyDiv w:val="1"/>
      <w:marLeft w:val="0"/>
      <w:marRight w:val="0"/>
      <w:marTop w:val="0"/>
      <w:marBottom w:val="0"/>
      <w:divBdr>
        <w:top w:val="none" w:sz="0" w:space="0" w:color="auto"/>
        <w:left w:val="none" w:sz="0" w:space="0" w:color="auto"/>
        <w:bottom w:val="none" w:sz="0" w:space="0" w:color="auto"/>
        <w:right w:val="none" w:sz="0" w:space="0" w:color="auto"/>
      </w:divBdr>
      <w:divsChild>
        <w:div w:id="458112140">
          <w:marLeft w:val="0"/>
          <w:marRight w:val="0"/>
          <w:marTop w:val="0"/>
          <w:marBottom w:val="0"/>
          <w:divBdr>
            <w:top w:val="none" w:sz="0" w:space="0" w:color="auto"/>
            <w:left w:val="none" w:sz="0" w:space="0" w:color="auto"/>
            <w:bottom w:val="none" w:sz="0" w:space="0" w:color="auto"/>
            <w:right w:val="none" w:sz="0" w:space="0" w:color="auto"/>
          </w:divBdr>
          <w:divsChild>
            <w:div w:id="1910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32821">
      <w:bodyDiv w:val="1"/>
      <w:marLeft w:val="0"/>
      <w:marRight w:val="0"/>
      <w:marTop w:val="0"/>
      <w:marBottom w:val="0"/>
      <w:divBdr>
        <w:top w:val="none" w:sz="0" w:space="0" w:color="auto"/>
        <w:left w:val="none" w:sz="0" w:space="0" w:color="auto"/>
        <w:bottom w:val="none" w:sz="0" w:space="0" w:color="auto"/>
        <w:right w:val="none" w:sz="0" w:space="0" w:color="auto"/>
      </w:divBdr>
      <w:divsChild>
        <w:div w:id="174156660">
          <w:marLeft w:val="0"/>
          <w:marRight w:val="0"/>
          <w:marTop w:val="0"/>
          <w:marBottom w:val="0"/>
          <w:divBdr>
            <w:top w:val="none" w:sz="0" w:space="0" w:color="auto"/>
            <w:left w:val="none" w:sz="0" w:space="0" w:color="auto"/>
            <w:bottom w:val="none" w:sz="0" w:space="0" w:color="auto"/>
            <w:right w:val="none" w:sz="0" w:space="0" w:color="auto"/>
          </w:divBdr>
          <w:divsChild>
            <w:div w:id="10781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ta.gov.ua/dataset/4c65d66d-1923-4682-980a-9c11ce7ffdfe" TargetMode="External"/><Relationship Id="rId13" Type="http://schemas.openxmlformats.org/officeDocument/2006/relationships/hyperlink" Target="http://tax.gov.ua/datasets.php?d=DFS20190613183429" TargetMode="External"/><Relationship Id="rId18" Type="http://schemas.openxmlformats.org/officeDocument/2006/relationships/hyperlink" Target="https://dp.tax.gov.ua/data/files/253387.doc"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tax.gov.ua/media-tsentr/videogalereya/videouroki/5977.html" TargetMode="External"/><Relationship Id="rId7" Type="http://schemas.openxmlformats.org/officeDocument/2006/relationships/hyperlink" Target="https://cabinet.tax.gov.ua/" TargetMode="External"/><Relationship Id="rId12" Type="http://schemas.openxmlformats.org/officeDocument/2006/relationships/hyperlink" Target="https://data.gov.ua/dataset/2888f31a-9a0d-4c77-b570-0895753fa9cb" TargetMode="External"/><Relationship Id="rId17" Type="http://schemas.openxmlformats.org/officeDocument/2006/relationships/hyperlink" Target="http://tax.gov.ua/datasets.php?d=DFS2019061009394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ata.gov.ua/dataset/08607f4c-b3f1-4b2f-8dbc-cd5866e5e60c" TargetMode="External"/><Relationship Id="rId20" Type="http://schemas.openxmlformats.org/officeDocument/2006/relationships/hyperlink" Target="https://tax.gov.ua/deklaruvannya-dohodiv-gromadyan-/podatkova-znijka-dlya-fizichnih-osib/" TargetMode="External"/><Relationship Id="rId1" Type="http://schemas.openxmlformats.org/officeDocument/2006/relationships/styles" Target="styles.xml"/><Relationship Id="rId6" Type="http://schemas.openxmlformats.org/officeDocument/2006/relationships/hyperlink" Target="mailto:zvit@sta.gov.ua" TargetMode="External"/><Relationship Id="rId11" Type="http://schemas.openxmlformats.org/officeDocument/2006/relationships/hyperlink" Target="http://tax.gov.ua/datasets.php?d=DFS20160406125451" TargetMode="External"/><Relationship Id="rId24" Type="http://schemas.openxmlformats.org/officeDocument/2006/relationships/hyperlink" Target="https://cabinet.tax.gov.ua/help/" TargetMode="External"/><Relationship Id="rId5" Type="http://schemas.openxmlformats.org/officeDocument/2006/relationships/hyperlink" Target="https://www.tax.gov.ua/media-tsentr/videogalereya/videouroki/" TargetMode="External"/><Relationship Id="rId15" Type="http://schemas.openxmlformats.org/officeDocument/2006/relationships/hyperlink" Target="http://tax.gov.ua/datasets.php?d=DFS20190614132019" TargetMode="External"/><Relationship Id="rId23" Type="http://schemas.openxmlformats.org/officeDocument/2006/relationships/hyperlink" Target="https://cabinet.tax.gov.ua/" TargetMode="External"/><Relationship Id="rId10" Type="http://schemas.openxmlformats.org/officeDocument/2006/relationships/hyperlink" Target="https://data.gov.ua/dataset/46ec7001-f492-4af8-8cae-00ba5e5537ce" TargetMode="External"/><Relationship Id="rId19" Type="http://schemas.openxmlformats.org/officeDocument/2006/relationships/hyperlink" Target="https://tax.gov.ua/media-tsentr/novini/437199.html" TargetMode="External"/><Relationship Id="rId4" Type="http://schemas.openxmlformats.org/officeDocument/2006/relationships/hyperlink" Target="https://t.me/tax_gov_ua" TargetMode="External"/><Relationship Id="rId9" Type="http://schemas.openxmlformats.org/officeDocument/2006/relationships/hyperlink" Target="http://tax.gov.ua/datasets.php?d=DFS20160406124837" TargetMode="External"/><Relationship Id="rId14" Type="http://schemas.openxmlformats.org/officeDocument/2006/relationships/hyperlink" Target="https://data.gov.ua/dataset/198185ea-44d6-48f0-877c-44251c413f64" TargetMode="External"/><Relationship Id="rId22" Type="http://schemas.openxmlformats.org/officeDocument/2006/relationships/hyperlink" Target="https://tax.gov.ua/media-tsentr/novini/43738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10374</Words>
  <Characters>59135</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2020-10-30T08:21:00Z</dcterms:created>
  <dcterms:modified xsi:type="dcterms:W3CDTF">2020-10-30T08:22:00Z</dcterms:modified>
</cp:coreProperties>
</file>