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FAD" w:rsidRPr="005914D6" w:rsidRDefault="00726FAD" w:rsidP="005914D6">
      <w:pPr>
        <w:pStyle w:val="1"/>
        <w:spacing w:before="0" w:beforeAutospacing="0" w:after="0" w:afterAutospacing="0"/>
        <w:rPr>
          <w:sz w:val="20"/>
          <w:szCs w:val="20"/>
          <w:lang w:val="uk-UA"/>
        </w:rPr>
      </w:pPr>
      <w:r w:rsidRPr="005914D6">
        <w:rPr>
          <w:sz w:val="20"/>
          <w:szCs w:val="20"/>
          <w:lang w:val="uk-UA"/>
        </w:rPr>
        <w:t xml:space="preserve">На період дії карантину внесено зміни в режим роботи Державної податкової служби України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Головне управління ДПС у Дніпропетровській області нагадує, що на період дії карантину внесено зміни у режим роботи Державної податкової служби України.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Оновлений графік роботи: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робочий день починається о 08 год. 00 хв. і триває до 17 год. 00 хв.;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у п’ятницю: з 08 год. 00 хв. до 15 год. 45 хв.;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перерва на обід – з 12 год. до 12 год. 45 хв.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На території регіонів із сприятливою епідемічною ситуацією прийом відвідувачів у центрах обслуговування платників здійснюється за таким графіком роботи: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з 10 год. 00 хв. до 17 год. 00 хв. (у п’ятницю з 10 год. 00 хв. до 15 год. 45 хв.) з обідньою перервою з 12 год. 00 хв. до 12 год. 45 хв., та з технічними перервами для санітарної обробки та провітрювання кожні дві години на 10 – 15 хв.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Такі зміни внесені в регламент роботи ДПС відповідно до постанови Кабінету Міністрів України від 20 травня 2020 року № 392 «Про встановлення карантину з метою запобігання поширенню на території України гострої респіраторної хвороби COVID-19, спричиненої </w:t>
      </w:r>
      <w:proofErr w:type="spellStart"/>
      <w:r w:rsidRPr="005914D6">
        <w:rPr>
          <w:sz w:val="20"/>
          <w:szCs w:val="20"/>
          <w:lang w:val="uk-UA"/>
        </w:rPr>
        <w:t>коронавірусом</w:t>
      </w:r>
      <w:proofErr w:type="spellEnd"/>
      <w:r w:rsidRPr="005914D6">
        <w:rPr>
          <w:sz w:val="20"/>
          <w:szCs w:val="20"/>
          <w:lang w:val="uk-UA"/>
        </w:rPr>
        <w:t xml:space="preserve"> SARS-CoV-2, та етапів послаблення протиепідемічних заходів, з урахуванням змін, внесених постановою Кабінету Міністрів України від 17 червня 2020 року № 500 «Про внесення змін до деяких актів Кабінету Міністрів України».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Звертаємо увагу платників податків, що надіслати лист (запит, звернення тощо) до відповідного органу ДПС можна за допомогою меню </w:t>
      </w:r>
      <w:r w:rsidRPr="005914D6">
        <w:rPr>
          <w:rStyle w:val="a8"/>
          <w:sz w:val="20"/>
          <w:szCs w:val="20"/>
          <w:lang w:val="uk-UA"/>
        </w:rPr>
        <w:t>«Листування з ДПС»</w:t>
      </w:r>
      <w:r w:rsidRPr="005914D6">
        <w:rPr>
          <w:sz w:val="20"/>
          <w:szCs w:val="20"/>
          <w:lang w:val="uk-UA"/>
        </w:rPr>
        <w:t xml:space="preserve"> приватної частини Електронного кабінету. Лист має бути у форматі </w:t>
      </w:r>
      <w:proofErr w:type="spellStart"/>
      <w:r w:rsidRPr="005914D6">
        <w:rPr>
          <w:sz w:val="20"/>
          <w:szCs w:val="20"/>
          <w:lang w:val="uk-UA"/>
        </w:rPr>
        <w:t>pdf</w:t>
      </w:r>
      <w:proofErr w:type="spellEnd"/>
      <w:r w:rsidRPr="005914D6">
        <w:rPr>
          <w:sz w:val="20"/>
          <w:szCs w:val="20"/>
          <w:lang w:val="uk-UA"/>
        </w:rPr>
        <w:t xml:space="preserve"> (обмеження 2 МБ).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Нагадуємо, що вхід до Електронного кабінету здійснюється за адресою: </w:t>
      </w:r>
      <w:hyperlink r:id="rId4" w:history="1">
        <w:r w:rsidRPr="005914D6">
          <w:rPr>
            <w:rStyle w:val="a4"/>
            <w:sz w:val="20"/>
            <w:szCs w:val="20"/>
            <w:lang w:val="uk-UA"/>
          </w:rPr>
          <w:t>http://cabinet.tax.gov.ua</w:t>
        </w:r>
      </w:hyperlink>
      <w:r w:rsidRPr="005914D6">
        <w:rPr>
          <w:sz w:val="20"/>
          <w:szCs w:val="20"/>
          <w:lang w:val="uk-UA"/>
        </w:rPr>
        <w:t xml:space="preserve">, а також через офіційний </w:t>
      </w:r>
      <w:proofErr w:type="spellStart"/>
      <w:r w:rsidRPr="005914D6">
        <w:rPr>
          <w:sz w:val="20"/>
          <w:szCs w:val="20"/>
          <w:lang w:val="uk-UA"/>
        </w:rPr>
        <w:t>вебпортал</w:t>
      </w:r>
      <w:proofErr w:type="spellEnd"/>
      <w:r w:rsidRPr="005914D6">
        <w:rPr>
          <w:sz w:val="20"/>
          <w:szCs w:val="20"/>
          <w:lang w:val="uk-UA"/>
        </w:rPr>
        <w:t xml:space="preserve"> ДПС.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Звернення громадян також можна надіслати на електронну пошту </w:t>
      </w:r>
      <w:hyperlink r:id="rId5" w:history="1">
        <w:r w:rsidRPr="005914D6">
          <w:rPr>
            <w:rStyle w:val="a4"/>
            <w:sz w:val="20"/>
            <w:szCs w:val="20"/>
            <w:lang w:val="uk-UA"/>
          </w:rPr>
          <w:t>zvernennya_dps@tax.gov.ua</w:t>
        </w:r>
      </w:hyperlink>
      <w:r w:rsidRPr="005914D6">
        <w:rPr>
          <w:sz w:val="20"/>
          <w:szCs w:val="20"/>
          <w:lang w:val="uk-UA"/>
        </w:rPr>
        <w:t xml:space="preserve"> у вигляді </w:t>
      </w:r>
      <w:proofErr w:type="spellStart"/>
      <w:r w:rsidRPr="005914D6">
        <w:rPr>
          <w:sz w:val="20"/>
          <w:szCs w:val="20"/>
          <w:lang w:val="uk-UA"/>
        </w:rPr>
        <w:t>сканкопій</w:t>
      </w:r>
      <w:proofErr w:type="spellEnd"/>
      <w:r w:rsidRPr="005914D6">
        <w:rPr>
          <w:sz w:val="20"/>
          <w:szCs w:val="20"/>
          <w:lang w:val="uk-UA"/>
        </w:rPr>
        <w:t xml:space="preserve"> чи фотокопій письмових звернень з підписом заявника із зазначенням дати та місця проживання (реєстрації).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Отримати інформацію з питань оподаткування, стану обробки електронної звітності, роботи органів ДПС тощо можна за телефоном Контакт-центру ДПС  </w:t>
      </w:r>
      <w:r w:rsidRPr="005914D6">
        <w:rPr>
          <w:rStyle w:val="a5"/>
          <w:sz w:val="20"/>
          <w:szCs w:val="20"/>
          <w:lang w:val="uk-UA"/>
        </w:rPr>
        <w:t>0 800 501 007</w:t>
      </w:r>
      <w:r w:rsidRPr="005914D6">
        <w:rPr>
          <w:sz w:val="20"/>
          <w:szCs w:val="20"/>
          <w:lang w:val="uk-UA"/>
        </w:rPr>
        <w:t xml:space="preserve">, а також у чатах популярних </w:t>
      </w:r>
      <w:proofErr w:type="spellStart"/>
      <w:r w:rsidRPr="005914D6">
        <w:rPr>
          <w:sz w:val="20"/>
          <w:szCs w:val="20"/>
          <w:lang w:val="uk-UA"/>
        </w:rPr>
        <w:t>месенджерів</w:t>
      </w:r>
      <w:proofErr w:type="spellEnd"/>
      <w:r w:rsidRPr="005914D6">
        <w:rPr>
          <w:sz w:val="20"/>
          <w:szCs w:val="20"/>
          <w:lang w:val="uk-UA"/>
        </w:rPr>
        <w:t xml:space="preserve"> </w:t>
      </w:r>
      <w:proofErr w:type="spellStart"/>
      <w:r w:rsidRPr="005914D6">
        <w:rPr>
          <w:sz w:val="20"/>
          <w:szCs w:val="20"/>
          <w:lang w:val="uk-UA"/>
        </w:rPr>
        <w:t>Viber</w:t>
      </w:r>
      <w:proofErr w:type="spellEnd"/>
      <w:r w:rsidRPr="005914D6">
        <w:rPr>
          <w:sz w:val="20"/>
          <w:szCs w:val="20"/>
          <w:lang w:val="uk-UA"/>
        </w:rPr>
        <w:t xml:space="preserve"> та </w:t>
      </w:r>
      <w:proofErr w:type="spellStart"/>
      <w:r w:rsidRPr="005914D6">
        <w:rPr>
          <w:sz w:val="20"/>
          <w:szCs w:val="20"/>
          <w:lang w:val="uk-UA"/>
        </w:rPr>
        <w:t>Telegram</w:t>
      </w:r>
      <w:proofErr w:type="spellEnd"/>
      <w:r w:rsidRPr="005914D6">
        <w:rPr>
          <w:sz w:val="20"/>
          <w:szCs w:val="20"/>
          <w:lang w:val="uk-UA"/>
        </w:rPr>
        <w:t xml:space="preserve">.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Приєднатися до </w:t>
      </w:r>
      <w:proofErr w:type="spellStart"/>
      <w:r w:rsidRPr="005914D6">
        <w:rPr>
          <w:sz w:val="20"/>
          <w:szCs w:val="20"/>
          <w:lang w:val="uk-UA"/>
        </w:rPr>
        <w:t>чатів</w:t>
      </w:r>
      <w:proofErr w:type="spellEnd"/>
      <w:r w:rsidRPr="005914D6">
        <w:rPr>
          <w:sz w:val="20"/>
          <w:szCs w:val="20"/>
          <w:lang w:val="uk-UA"/>
        </w:rPr>
        <w:t xml:space="preserve"> ДПС можна: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з </w:t>
      </w:r>
      <w:proofErr w:type="spellStart"/>
      <w:r w:rsidRPr="005914D6">
        <w:rPr>
          <w:sz w:val="20"/>
          <w:szCs w:val="20"/>
          <w:lang w:val="uk-UA"/>
        </w:rPr>
        <w:t>вебпорталу</w:t>
      </w:r>
      <w:proofErr w:type="spellEnd"/>
      <w:r w:rsidRPr="005914D6">
        <w:rPr>
          <w:sz w:val="20"/>
          <w:szCs w:val="20"/>
          <w:lang w:val="uk-UA"/>
        </w:rPr>
        <w:t xml:space="preserve"> Державної податкової служби України, розділ «Загальнодоступний інформаційно-довідковий ресурс» </w:t>
      </w:r>
      <w:hyperlink r:id="rId6" w:history="1">
        <w:r w:rsidRPr="005914D6">
          <w:rPr>
            <w:rStyle w:val="a4"/>
            <w:sz w:val="20"/>
            <w:szCs w:val="20"/>
            <w:lang w:val="uk-UA"/>
          </w:rPr>
          <w:t>https://tax.gov.ua/</w:t>
        </w:r>
      </w:hyperlink>
      <w:r w:rsidRPr="005914D6">
        <w:rPr>
          <w:sz w:val="20"/>
          <w:szCs w:val="20"/>
          <w:lang w:val="uk-UA"/>
        </w:rPr>
        <w:t xml:space="preserve">;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з сайту Загальнодоступного інформаційно-довідкового ресурсу (ЗІР) </w:t>
      </w:r>
      <w:hyperlink r:id="rId7" w:history="1">
        <w:r w:rsidRPr="005914D6">
          <w:rPr>
            <w:rStyle w:val="a4"/>
            <w:sz w:val="20"/>
            <w:szCs w:val="20"/>
            <w:lang w:val="uk-UA"/>
          </w:rPr>
          <w:t>https://zir.tax.gov.ua/</w:t>
        </w:r>
      </w:hyperlink>
      <w:r w:rsidRPr="005914D6">
        <w:rPr>
          <w:sz w:val="20"/>
          <w:szCs w:val="20"/>
          <w:lang w:val="uk-UA"/>
        </w:rPr>
        <w:t xml:space="preserve">, або його мобільної версії.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726FAD" w:rsidRDefault="00726FAD" w:rsidP="005914D6">
      <w:pPr>
        <w:jc w:val="left"/>
        <w:outlineLvl w:val="0"/>
        <w:rPr>
          <w:rFonts w:ascii="Times New Roman" w:eastAsia="Times New Roman" w:hAnsi="Times New Roman" w:cs="Times New Roman"/>
          <w:b/>
          <w:bCs/>
          <w:kern w:val="36"/>
          <w:sz w:val="20"/>
          <w:szCs w:val="20"/>
          <w:lang w:val="uk-UA" w:eastAsia="ru-RU"/>
        </w:rPr>
      </w:pPr>
      <w:r w:rsidRPr="00726FAD">
        <w:rPr>
          <w:rFonts w:ascii="Times New Roman" w:eastAsia="Times New Roman" w:hAnsi="Times New Roman" w:cs="Times New Roman"/>
          <w:b/>
          <w:bCs/>
          <w:kern w:val="36"/>
          <w:sz w:val="20"/>
          <w:szCs w:val="20"/>
          <w:lang w:val="uk-UA" w:eastAsia="ru-RU"/>
        </w:rPr>
        <w:t xml:space="preserve">Компенсація втрати частини зарплати за порушення термінів її виплати, нарахована після звільнення працівника: що з єдиним внеском? </w:t>
      </w:r>
    </w:p>
    <w:p w:rsidR="00726FAD" w:rsidRPr="00726FAD" w:rsidRDefault="005914D6" w:rsidP="005914D6">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726FAD" w:rsidRPr="00726FAD">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726FAD" w:rsidRPr="00726FAD">
        <w:rPr>
          <w:rFonts w:ascii="Times New Roman" w:eastAsia="Times New Roman" w:hAnsi="Times New Roman" w:cs="Times New Roman"/>
          <w:sz w:val="20"/>
          <w:szCs w:val="20"/>
          <w:lang w:val="uk-UA" w:eastAsia="ru-RU"/>
        </w:rPr>
        <w:t xml:space="preserve">, що базою нарахування єдиного внеску на загальнообов’язкове державне соціальне страхування (далі – єдиний внесок) для роботодавців є суми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суми винагороди фізичним особам за виконання робіт (надання послуг) за цивільно-правовими договорами.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Норми встановлені п. 1 частини 1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Згідно з частиною 2 ст. 7 Закону № 2464 для осіб, які, зокрема, отримують заробітну плату (дохід) за виконану роботу (надані послуги), строк виконання яких перевищує календарний місяць, єдиний внесок нараховується на суму, що визначається шляхом ділення заробітної плати (доходу), виплаченої за результатами роботи, на кількість місяців, за які вона нарахована.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Зазначений порядок нарахування єдиного внеску поширюється також на осіб, яким після звільнення з роботи нараховано заробітну плату (дохід) за відпрацьований час.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Визначення видів виплат, що відносяться до основної, додаткової заробітної плати, інших заохочувальних та компенсаційних виплат, при нарахуванні єдиного внеску, передбачено Інструкцією зі статистики заробітної плати, затвердженою наказом Державного комітету статистики України від 13.01.2004 № 5, зареєстрованим в Міністерстві юстиції України 27.01.2004 за № 114/8713 (далі – Інструкція № 5).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До фонду додаткової заробітної плати входять, зокрема, суми компенсації працівникам втрати частини заробітної плати у зв’язку з порушенням термінів її виплати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2.2.8 п. 2.2 розділу ІІ Інструкції № 5).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Отже, суми компенсації втрати частини заробітної плати у зв’язку з порушенням термінів її виплати, що нараховується після звільнення працівника, є базою нарахування єдиного внеску.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726FAD" w:rsidRDefault="00726FAD" w:rsidP="005914D6">
      <w:pPr>
        <w:jc w:val="left"/>
        <w:outlineLvl w:val="0"/>
        <w:rPr>
          <w:rFonts w:ascii="Times New Roman" w:eastAsia="Times New Roman" w:hAnsi="Times New Roman" w:cs="Times New Roman"/>
          <w:b/>
          <w:bCs/>
          <w:kern w:val="36"/>
          <w:sz w:val="20"/>
          <w:szCs w:val="20"/>
          <w:lang w:val="uk-UA" w:eastAsia="ru-RU"/>
        </w:rPr>
      </w:pPr>
      <w:proofErr w:type="spellStart"/>
      <w:r w:rsidRPr="00726FAD">
        <w:rPr>
          <w:rFonts w:ascii="Times New Roman" w:eastAsia="Times New Roman" w:hAnsi="Times New Roman" w:cs="Times New Roman"/>
          <w:b/>
          <w:bCs/>
          <w:kern w:val="36"/>
          <w:sz w:val="20"/>
          <w:szCs w:val="20"/>
          <w:lang w:val="uk-UA" w:eastAsia="ru-RU"/>
        </w:rPr>
        <w:t>ФОП</w:t>
      </w:r>
      <w:proofErr w:type="spellEnd"/>
      <w:r w:rsidRPr="00726FAD">
        <w:rPr>
          <w:rFonts w:ascii="Times New Roman" w:eastAsia="Times New Roman" w:hAnsi="Times New Roman" w:cs="Times New Roman"/>
          <w:b/>
          <w:bCs/>
          <w:kern w:val="36"/>
          <w:sz w:val="20"/>
          <w:szCs w:val="20"/>
          <w:lang w:val="uk-UA" w:eastAsia="ru-RU"/>
        </w:rPr>
        <w:t xml:space="preserve"> на загальній системі оподаткування має право включити до складу витрат суму сплаченого єдиного внеску </w:t>
      </w:r>
    </w:p>
    <w:p w:rsidR="00726FAD" w:rsidRPr="00726FAD" w:rsidRDefault="005914D6" w:rsidP="005914D6">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726FAD" w:rsidRPr="00726FAD">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726FAD" w:rsidRPr="00726FAD">
        <w:rPr>
          <w:rFonts w:ascii="Times New Roman" w:eastAsia="Times New Roman" w:hAnsi="Times New Roman" w:cs="Times New Roman"/>
          <w:sz w:val="20"/>
          <w:szCs w:val="20"/>
          <w:lang w:val="uk-UA" w:eastAsia="ru-RU"/>
        </w:rPr>
        <w:t xml:space="preserve">, що до переліку витрат, безпосередньо пов’язаних з отриманням доходів фізичною особою – підприємцем (далі – </w:t>
      </w:r>
      <w:proofErr w:type="spellStart"/>
      <w:r w:rsidR="00726FAD" w:rsidRPr="00726FAD">
        <w:rPr>
          <w:rFonts w:ascii="Times New Roman" w:eastAsia="Times New Roman" w:hAnsi="Times New Roman" w:cs="Times New Roman"/>
          <w:sz w:val="20"/>
          <w:szCs w:val="20"/>
          <w:lang w:val="uk-UA" w:eastAsia="ru-RU"/>
        </w:rPr>
        <w:t>ФОП</w:t>
      </w:r>
      <w:proofErr w:type="spellEnd"/>
      <w:r w:rsidR="00726FAD" w:rsidRPr="00726FAD">
        <w:rPr>
          <w:rFonts w:ascii="Times New Roman" w:eastAsia="Times New Roman" w:hAnsi="Times New Roman" w:cs="Times New Roman"/>
          <w:sz w:val="20"/>
          <w:szCs w:val="20"/>
          <w:lang w:val="uk-UA" w:eastAsia="ru-RU"/>
        </w:rPr>
        <w:t xml:space="preserve">) від провадження господарської діяльності на загальній системі оподаткування належать зокрема, суми єдиного внеску на загальнообов’язкове державне соціальне страхування (далі – єдиний внесок) у розмірах і порядку, встановлених Закон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Норми визначені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177.4.3 п. 177.4 ст. 177 Податкового кодексу України .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Враховуючи вищевикладене, </w:t>
      </w:r>
      <w:proofErr w:type="spellStart"/>
      <w:r w:rsidRPr="00726FAD">
        <w:rPr>
          <w:rFonts w:ascii="Times New Roman" w:eastAsia="Times New Roman" w:hAnsi="Times New Roman" w:cs="Times New Roman"/>
          <w:sz w:val="20"/>
          <w:szCs w:val="20"/>
          <w:lang w:val="uk-UA" w:eastAsia="ru-RU"/>
        </w:rPr>
        <w:t>ФОП</w:t>
      </w:r>
      <w:proofErr w:type="spellEnd"/>
      <w:r w:rsidRPr="00726FAD">
        <w:rPr>
          <w:rFonts w:ascii="Times New Roman" w:eastAsia="Times New Roman" w:hAnsi="Times New Roman" w:cs="Times New Roman"/>
          <w:sz w:val="20"/>
          <w:szCs w:val="20"/>
          <w:lang w:val="uk-UA" w:eastAsia="ru-RU"/>
        </w:rPr>
        <w:t xml:space="preserve"> на загальній системі оподаткування мають право включити до складу витрат суму сплаченого єдиного внеску на загальнообов’язкове державне соціальне страхування.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726FAD" w:rsidRDefault="00726FAD" w:rsidP="005914D6">
      <w:pPr>
        <w:jc w:val="left"/>
        <w:outlineLvl w:val="0"/>
        <w:rPr>
          <w:rFonts w:ascii="Times New Roman" w:eastAsia="Times New Roman" w:hAnsi="Times New Roman" w:cs="Times New Roman"/>
          <w:b/>
          <w:bCs/>
          <w:kern w:val="36"/>
          <w:sz w:val="20"/>
          <w:szCs w:val="20"/>
          <w:lang w:val="uk-UA" w:eastAsia="ru-RU"/>
        </w:rPr>
      </w:pPr>
      <w:r w:rsidRPr="00726FAD">
        <w:rPr>
          <w:rFonts w:ascii="Times New Roman" w:eastAsia="Times New Roman" w:hAnsi="Times New Roman" w:cs="Times New Roman"/>
          <w:b/>
          <w:bCs/>
          <w:kern w:val="36"/>
          <w:sz w:val="20"/>
          <w:szCs w:val="20"/>
          <w:lang w:val="uk-UA" w:eastAsia="ru-RU"/>
        </w:rPr>
        <w:t xml:space="preserve">Закон України № 466: </w:t>
      </w:r>
      <w:proofErr w:type="spellStart"/>
      <w:r w:rsidRPr="00726FAD">
        <w:rPr>
          <w:rFonts w:ascii="Times New Roman" w:eastAsia="Times New Roman" w:hAnsi="Times New Roman" w:cs="Times New Roman"/>
          <w:b/>
          <w:bCs/>
          <w:kern w:val="36"/>
          <w:sz w:val="20"/>
          <w:szCs w:val="20"/>
          <w:lang w:val="uk-UA" w:eastAsia="ru-RU"/>
        </w:rPr>
        <w:t>рієлтери</w:t>
      </w:r>
      <w:proofErr w:type="spellEnd"/>
      <w:r w:rsidRPr="00726FAD">
        <w:rPr>
          <w:rFonts w:ascii="Times New Roman" w:eastAsia="Times New Roman" w:hAnsi="Times New Roman" w:cs="Times New Roman"/>
          <w:b/>
          <w:bCs/>
          <w:kern w:val="36"/>
          <w:sz w:val="20"/>
          <w:szCs w:val="20"/>
          <w:lang w:val="uk-UA" w:eastAsia="ru-RU"/>
        </w:rPr>
        <w:t xml:space="preserve"> зобов’язані повідомляти контролюючі органи про угоди щодо оренди об’єктів нерухомості </w:t>
      </w:r>
    </w:p>
    <w:p w:rsidR="00726FAD" w:rsidRPr="00726FAD" w:rsidRDefault="005914D6" w:rsidP="005914D6">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726FAD" w:rsidRPr="00726FAD">
        <w:rPr>
          <w:rFonts w:ascii="Times New Roman" w:eastAsia="Times New Roman" w:hAnsi="Times New Roman" w:cs="Times New Roman"/>
          <w:sz w:val="20"/>
          <w:szCs w:val="20"/>
          <w:lang w:val="uk-UA" w:eastAsia="ru-RU"/>
        </w:rPr>
        <w:t xml:space="preserve">ідповідно до </w:t>
      </w:r>
      <w:proofErr w:type="spellStart"/>
      <w:r w:rsidR="00726FAD" w:rsidRPr="00726FAD">
        <w:rPr>
          <w:rFonts w:ascii="Times New Roman" w:eastAsia="Times New Roman" w:hAnsi="Times New Roman" w:cs="Times New Roman"/>
          <w:sz w:val="20"/>
          <w:szCs w:val="20"/>
          <w:lang w:val="uk-UA" w:eastAsia="ru-RU"/>
        </w:rPr>
        <w:t>п.п</w:t>
      </w:r>
      <w:proofErr w:type="spellEnd"/>
      <w:r w:rsidR="00726FAD" w:rsidRPr="00726FAD">
        <w:rPr>
          <w:rFonts w:ascii="Times New Roman" w:eastAsia="Times New Roman" w:hAnsi="Times New Roman" w:cs="Times New Roman"/>
          <w:sz w:val="20"/>
          <w:szCs w:val="20"/>
          <w:lang w:val="uk-UA" w:eastAsia="ru-RU"/>
        </w:rPr>
        <w:t>. 170.1.6 п. 170.1 ст. 170 Податкового кодексу України (далі – ПКУ) суб’єкти господарювання, які провадять посередницьку діяльність, пов’язану з наданням послуг з оренди нерухомості (</w:t>
      </w:r>
      <w:proofErr w:type="spellStart"/>
      <w:r w:rsidR="00726FAD" w:rsidRPr="00726FAD">
        <w:rPr>
          <w:rFonts w:ascii="Times New Roman" w:eastAsia="Times New Roman" w:hAnsi="Times New Roman" w:cs="Times New Roman"/>
          <w:sz w:val="20"/>
          <w:szCs w:val="20"/>
          <w:lang w:val="uk-UA" w:eastAsia="ru-RU"/>
        </w:rPr>
        <w:t>рієлтери</w:t>
      </w:r>
      <w:proofErr w:type="spellEnd"/>
      <w:r w:rsidR="00726FAD" w:rsidRPr="00726FAD">
        <w:rPr>
          <w:rFonts w:ascii="Times New Roman" w:eastAsia="Times New Roman" w:hAnsi="Times New Roman" w:cs="Times New Roman"/>
          <w:sz w:val="20"/>
          <w:szCs w:val="20"/>
          <w:lang w:val="uk-UA" w:eastAsia="ru-RU"/>
        </w:rPr>
        <w:t xml:space="preserve">), зобов’язані надіслати </w:t>
      </w:r>
      <w:r w:rsidR="00726FAD" w:rsidRPr="00726FAD">
        <w:rPr>
          <w:rFonts w:ascii="Times New Roman" w:eastAsia="Times New Roman" w:hAnsi="Times New Roman" w:cs="Times New Roman"/>
          <w:sz w:val="20"/>
          <w:szCs w:val="20"/>
          <w:lang w:val="uk-UA" w:eastAsia="ru-RU"/>
        </w:rPr>
        <w:lastRenderedPageBreak/>
        <w:t xml:space="preserve">інформацію про укладені за їх посередництвом цивільно-правові договори (угоди) про оренду нерухомості до контролюючого органу за місцем своєї реєстрації в строки, передбачені для подання податкового розрахунку, за формою, встановленою центральним органом виконавчої влади, що забезпечує формування та реалізує державну фінансову політику.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Відповідно до внесених змін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до ПКУ, за порушення порядку та/або строків подання зазначеної інформації </w:t>
      </w:r>
      <w:proofErr w:type="spellStart"/>
      <w:r w:rsidRPr="00726FAD">
        <w:rPr>
          <w:rFonts w:ascii="Times New Roman" w:eastAsia="Times New Roman" w:hAnsi="Times New Roman" w:cs="Times New Roman"/>
          <w:sz w:val="20"/>
          <w:szCs w:val="20"/>
          <w:lang w:val="uk-UA" w:eastAsia="ru-RU"/>
        </w:rPr>
        <w:t>рієлтери</w:t>
      </w:r>
      <w:proofErr w:type="spellEnd"/>
      <w:r w:rsidRPr="00726FAD">
        <w:rPr>
          <w:rFonts w:ascii="Times New Roman" w:eastAsia="Times New Roman" w:hAnsi="Times New Roman" w:cs="Times New Roman"/>
          <w:sz w:val="20"/>
          <w:szCs w:val="20"/>
          <w:lang w:val="uk-UA" w:eastAsia="ru-RU"/>
        </w:rPr>
        <w:t xml:space="preserve"> несе відповідальність, передбачену ст. 119</w:t>
      </w:r>
      <w:r w:rsidRPr="00726FAD">
        <w:rPr>
          <w:rFonts w:ascii="Times New Roman" w:eastAsia="Times New Roman" w:hAnsi="Times New Roman" w:cs="Times New Roman"/>
          <w:sz w:val="20"/>
          <w:szCs w:val="20"/>
          <w:vertAlign w:val="superscript"/>
          <w:lang w:val="uk-UA" w:eastAsia="ru-RU"/>
        </w:rPr>
        <w:t>1</w:t>
      </w:r>
      <w:r w:rsidRPr="00726FAD">
        <w:rPr>
          <w:rFonts w:ascii="Times New Roman" w:eastAsia="Times New Roman" w:hAnsi="Times New Roman" w:cs="Times New Roman"/>
          <w:sz w:val="20"/>
          <w:szCs w:val="20"/>
          <w:lang w:val="uk-UA" w:eastAsia="ru-RU"/>
        </w:rPr>
        <w:t xml:space="preserve"> ПКУ, а саме: порушення суб’єктом господарювання, який провадить посередницьку діяльність, пов’язану з наданням послуг з оренди нерухомості (</w:t>
      </w:r>
      <w:proofErr w:type="spellStart"/>
      <w:r w:rsidRPr="00726FAD">
        <w:rPr>
          <w:rFonts w:ascii="Times New Roman" w:eastAsia="Times New Roman" w:hAnsi="Times New Roman" w:cs="Times New Roman"/>
          <w:sz w:val="20"/>
          <w:szCs w:val="20"/>
          <w:lang w:val="uk-UA" w:eastAsia="ru-RU"/>
        </w:rPr>
        <w:t>рієлтером</w:t>
      </w:r>
      <w:proofErr w:type="spellEnd"/>
      <w:r w:rsidRPr="00726FAD">
        <w:rPr>
          <w:rFonts w:ascii="Times New Roman" w:eastAsia="Times New Roman" w:hAnsi="Times New Roman" w:cs="Times New Roman"/>
          <w:sz w:val="20"/>
          <w:szCs w:val="20"/>
          <w:lang w:val="uk-UA" w:eastAsia="ru-RU"/>
        </w:rPr>
        <w:t>), порядку та/або строків подання інформації про укладені за його посередництвом цивільно-правові договори (угоди) про оренду нерухомості тягне за собою накладення штрафу в розмірі 680 гривень за кожне таке порушення (п. 119</w:t>
      </w:r>
      <w:r w:rsidRPr="00726FAD">
        <w:rPr>
          <w:rFonts w:ascii="Times New Roman" w:eastAsia="Times New Roman" w:hAnsi="Times New Roman" w:cs="Times New Roman"/>
          <w:sz w:val="20"/>
          <w:szCs w:val="20"/>
          <w:vertAlign w:val="superscript"/>
          <w:lang w:val="uk-UA" w:eastAsia="ru-RU"/>
        </w:rPr>
        <w:t>1</w:t>
      </w:r>
      <w:r w:rsidRPr="00726FAD">
        <w:rPr>
          <w:rFonts w:ascii="Times New Roman" w:eastAsia="Times New Roman" w:hAnsi="Times New Roman" w:cs="Times New Roman"/>
          <w:sz w:val="20"/>
          <w:szCs w:val="20"/>
          <w:lang w:val="uk-UA" w:eastAsia="ru-RU"/>
        </w:rPr>
        <w:t xml:space="preserve">.2 ст. 119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Дії, передбачені п. 119</w:t>
      </w:r>
      <w:r w:rsidRPr="00726FAD">
        <w:rPr>
          <w:rFonts w:ascii="Times New Roman" w:eastAsia="Times New Roman" w:hAnsi="Times New Roman" w:cs="Times New Roman"/>
          <w:sz w:val="20"/>
          <w:szCs w:val="20"/>
          <w:vertAlign w:val="superscript"/>
          <w:lang w:val="uk-UA" w:eastAsia="ru-RU"/>
        </w:rPr>
        <w:t>1</w:t>
      </w:r>
      <w:r w:rsidRPr="00726FAD">
        <w:rPr>
          <w:rFonts w:ascii="Times New Roman" w:eastAsia="Times New Roman" w:hAnsi="Times New Roman" w:cs="Times New Roman"/>
          <w:sz w:val="20"/>
          <w:szCs w:val="20"/>
          <w:lang w:val="uk-UA" w:eastAsia="ru-RU"/>
        </w:rPr>
        <w:t>.2 ст. 119</w:t>
      </w:r>
      <w:r w:rsidRPr="00726FAD">
        <w:rPr>
          <w:rFonts w:ascii="Times New Roman" w:eastAsia="Times New Roman" w:hAnsi="Times New Roman" w:cs="Times New Roman"/>
          <w:sz w:val="20"/>
          <w:szCs w:val="20"/>
          <w:vertAlign w:val="superscript"/>
          <w:lang w:val="uk-UA" w:eastAsia="ru-RU"/>
        </w:rPr>
        <w:t>1</w:t>
      </w:r>
      <w:r w:rsidRPr="00726FAD">
        <w:rPr>
          <w:rFonts w:ascii="Times New Roman" w:eastAsia="Times New Roman" w:hAnsi="Times New Roman" w:cs="Times New Roman"/>
          <w:sz w:val="20"/>
          <w:szCs w:val="20"/>
          <w:lang w:val="uk-UA" w:eastAsia="ru-RU"/>
        </w:rPr>
        <w:t xml:space="preserve"> ПКУ, вчинені суб’єктом, до якого протягом року було застосовано штраф за таке порушення тягнуть за собою накладення штрафу в розмірі 1 360 гривень за кожне таке порушення (п. 119</w:t>
      </w:r>
      <w:r w:rsidRPr="00726FAD">
        <w:rPr>
          <w:rFonts w:ascii="Times New Roman" w:eastAsia="Times New Roman" w:hAnsi="Times New Roman" w:cs="Times New Roman"/>
          <w:sz w:val="20"/>
          <w:szCs w:val="20"/>
          <w:vertAlign w:val="superscript"/>
          <w:lang w:val="uk-UA" w:eastAsia="ru-RU"/>
        </w:rPr>
        <w:t>1</w:t>
      </w:r>
      <w:r w:rsidRPr="00726FAD">
        <w:rPr>
          <w:rFonts w:ascii="Times New Roman" w:eastAsia="Times New Roman" w:hAnsi="Times New Roman" w:cs="Times New Roman"/>
          <w:sz w:val="20"/>
          <w:szCs w:val="20"/>
          <w:lang w:val="uk-UA" w:eastAsia="ru-RU"/>
        </w:rPr>
        <w:t>.3 ст. 119</w:t>
      </w:r>
      <w:r w:rsidRPr="00726FAD">
        <w:rPr>
          <w:rFonts w:ascii="Times New Roman" w:eastAsia="Times New Roman" w:hAnsi="Times New Roman" w:cs="Times New Roman"/>
          <w:sz w:val="20"/>
          <w:szCs w:val="20"/>
          <w:vertAlign w:val="superscript"/>
          <w:lang w:val="uk-UA" w:eastAsia="ru-RU"/>
        </w:rPr>
        <w:t>1</w:t>
      </w:r>
      <w:r w:rsidRPr="00726FAD">
        <w:rPr>
          <w:rFonts w:ascii="Times New Roman" w:eastAsia="Times New Roman" w:hAnsi="Times New Roman" w:cs="Times New Roman"/>
          <w:sz w:val="20"/>
          <w:szCs w:val="20"/>
          <w:lang w:val="uk-UA" w:eastAsia="ru-RU"/>
        </w:rPr>
        <w:t xml:space="preserve"> ПКУ).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726FAD" w:rsidRDefault="00726FAD" w:rsidP="005914D6">
      <w:pPr>
        <w:jc w:val="left"/>
        <w:outlineLvl w:val="0"/>
        <w:rPr>
          <w:rFonts w:ascii="Times New Roman" w:eastAsia="Times New Roman" w:hAnsi="Times New Roman" w:cs="Times New Roman"/>
          <w:b/>
          <w:bCs/>
          <w:kern w:val="36"/>
          <w:sz w:val="20"/>
          <w:szCs w:val="20"/>
          <w:lang w:val="uk-UA" w:eastAsia="ru-RU"/>
        </w:rPr>
      </w:pPr>
      <w:r w:rsidRPr="00726FAD">
        <w:rPr>
          <w:rFonts w:ascii="Times New Roman" w:eastAsia="Times New Roman" w:hAnsi="Times New Roman" w:cs="Times New Roman"/>
          <w:b/>
          <w:bCs/>
          <w:kern w:val="36"/>
          <w:sz w:val="20"/>
          <w:szCs w:val="20"/>
          <w:lang w:val="uk-UA" w:eastAsia="ru-RU"/>
        </w:rPr>
        <w:t xml:space="preserve">За обсяги води, за які не справляється рентна плата за воду первинними водокористувачами, податкова декларація з рентної плати подається </w:t>
      </w:r>
    </w:p>
    <w:p w:rsidR="00726FAD" w:rsidRPr="00726FAD" w:rsidRDefault="005914D6" w:rsidP="005914D6">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726FAD" w:rsidRPr="00726FAD">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00726FAD" w:rsidRPr="00726FAD">
        <w:rPr>
          <w:rFonts w:ascii="Times New Roman" w:eastAsia="Times New Roman" w:hAnsi="Times New Roman" w:cs="Times New Roman"/>
          <w:sz w:val="20"/>
          <w:szCs w:val="20"/>
          <w:lang w:val="uk-UA" w:eastAsia="ru-RU"/>
        </w:rPr>
        <w:t xml:space="preserve"> увагу платників рентної плати за спеціальне використання води, що об’єктом оподаткування рентною платою за спеціальне використання води є фактичний обсяг води, який використовують водокористувачі.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Норми встановлені п. 255.3 ст. 255 Податкового кодексу України (далі –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Відповідно до п. 255.4 ст. 255 ПКУ рентна плата за спеціальне використання води не справляється: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255.4.1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використовується для протипожежних потреб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255.4.2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використовується для потреб зовнішнього благоустрою територій міст та інших населених пунктів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255.4.3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 за воду, що використовується для </w:t>
      </w:r>
      <w:proofErr w:type="spellStart"/>
      <w:r w:rsidRPr="00726FAD">
        <w:rPr>
          <w:rFonts w:ascii="Times New Roman" w:eastAsia="Times New Roman" w:hAnsi="Times New Roman" w:cs="Times New Roman"/>
          <w:sz w:val="20"/>
          <w:szCs w:val="20"/>
          <w:lang w:val="uk-UA" w:eastAsia="ru-RU"/>
        </w:rPr>
        <w:t>пилозаглушення</w:t>
      </w:r>
      <w:proofErr w:type="spellEnd"/>
      <w:r w:rsidRPr="00726FAD">
        <w:rPr>
          <w:rFonts w:ascii="Times New Roman" w:eastAsia="Times New Roman" w:hAnsi="Times New Roman" w:cs="Times New Roman"/>
          <w:sz w:val="20"/>
          <w:szCs w:val="20"/>
          <w:lang w:val="uk-UA" w:eastAsia="ru-RU"/>
        </w:rPr>
        <w:t xml:space="preserve"> у шахтах і кар’єрах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255.4.4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забирається науково-дослідними установами, перелік яких затверджується Кабінетом Міністрів України, для проведення наукових досліджень у галузі рисосіяння та для виробництва елітного насіння рису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255.4.5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підземну воду, що вилучається з надр для усунення шкідливої дії вод (підтоплення, засолення, заболочення, зсуву, забруднення тощо), крім кар’єрної, шахтної та дренажної води, що використовується у господарській діяльності після вилучення та/або отримується для використання іншими користувачами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255.4.7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забирається для забезпечення випуску молоді цінних промислових видів риби та інших водних живих ресурсів у водні об’єкти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255.4.8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морську воду, крім води з лиманів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255.4.9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використовується садівницькими та городницькими товариствами (кооперативами)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255.4.10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за воду, що забирається для реабілітації, лікування та оздоровлення реабілітаційними установами для осіб з інвалідністю та дітей з інвалідністю, підприємствами, установами та організаціями фізкультури та спорту для осіб з інвалідністю та дітей з інвалідністю, які засновані всеукраїнськими громадськими об’єднаннями осіб з інвалідністю відповідно до закону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255.4.11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 для потреб гідроенергетики – з </w:t>
      </w:r>
      <w:proofErr w:type="spellStart"/>
      <w:r w:rsidRPr="00726FAD">
        <w:rPr>
          <w:rFonts w:ascii="Times New Roman" w:eastAsia="Times New Roman" w:hAnsi="Times New Roman" w:cs="Times New Roman"/>
          <w:sz w:val="20"/>
          <w:szCs w:val="20"/>
          <w:lang w:val="uk-UA" w:eastAsia="ru-RU"/>
        </w:rPr>
        <w:t>гідроакумулюючих</w:t>
      </w:r>
      <w:proofErr w:type="spellEnd"/>
      <w:r w:rsidRPr="00726FAD">
        <w:rPr>
          <w:rFonts w:ascii="Times New Roman" w:eastAsia="Times New Roman" w:hAnsi="Times New Roman" w:cs="Times New Roman"/>
          <w:sz w:val="20"/>
          <w:szCs w:val="20"/>
          <w:lang w:val="uk-UA" w:eastAsia="ru-RU"/>
        </w:rPr>
        <w:t xml:space="preserve"> електростанцій, які функціонують у комплексі з гідроелектростанціями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255.4.12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 для потреб водного транспорту: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 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під час експлуатації водних шляхів стоянковими (</w:t>
      </w:r>
      <w:proofErr w:type="spellStart"/>
      <w:r w:rsidRPr="00726FAD">
        <w:rPr>
          <w:rFonts w:ascii="Times New Roman" w:eastAsia="Times New Roman" w:hAnsi="Times New Roman" w:cs="Times New Roman"/>
          <w:sz w:val="20"/>
          <w:szCs w:val="20"/>
          <w:lang w:val="uk-UA" w:eastAsia="ru-RU"/>
        </w:rPr>
        <w:t>нафтоперекачувальні</w:t>
      </w:r>
      <w:proofErr w:type="spellEnd"/>
      <w:r w:rsidRPr="00726FAD">
        <w:rPr>
          <w:rFonts w:ascii="Times New Roman" w:eastAsia="Times New Roman" w:hAnsi="Times New Roman" w:cs="Times New Roman"/>
          <w:sz w:val="20"/>
          <w:szCs w:val="20"/>
          <w:lang w:val="uk-UA" w:eastAsia="ru-RU"/>
        </w:rPr>
        <w:t xml:space="preserve"> станції, </w:t>
      </w:r>
      <w:proofErr w:type="spellStart"/>
      <w:r w:rsidRPr="00726FAD">
        <w:rPr>
          <w:rFonts w:ascii="Times New Roman" w:eastAsia="Times New Roman" w:hAnsi="Times New Roman" w:cs="Times New Roman"/>
          <w:sz w:val="20"/>
          <w:szCs w:val="20"/>
          <w:lang w:val="uk-UA" w:eastAsia="ru-RU"/>
        </w:rPr>
        <w:t>плавнафтобази</w:t>
      </w:r>
      <w:proofErr w:type="spellEnd"/>
      <w:r w:rsidRPr="00726FAD">
        <w:rPr>
          <w:rFonts w:ascii="Times New Roman" w:eastAsia="Times New Roman" w:hAnsi="Times New Roman" w:cs="Times New Roman"/>
          <w:sz w:val="20"/>
          <w:szCs w:val="20"/>
          <w:lang w:val="uk-UA" w:eastAsia="ru-RU"/>
        </w:rPr>
        <w:t>,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 (</w:t>
      </w:r>
      <w:proofErr w:type="spellStart"/>
      <w:r w:rsidRPr="00726FAD">
        <w:rPr>
          <w:rFonts w:ascii="Times New Roman" w:eastAsia="Times New Roman" w:hAnsi="Times New Roman" w:cs="Times New Roman"/>
          <w:sz w:val="20"/>
          <w:szCs w:val="20"/>
          <w:lang w:val="uk-UA" w:eastAsia="ru-RU"/>
        </w:rPr>
        <w:t>п.п</w:t>
      </w:r>
      <w:proofErr w:type="spellEnd"/>
      <w:r w:rsidRPr="00726FAD">
        <w:rPr>
          <w:rFonts w:ascii="Times New Roman" w:eastAsia="Times New Roman" w:hAnsi="Times New Roman" w:cs="Times New Roman"/>
          <w:sz w:val="20"/>
          <w:szCs w:val="20"/>
          <w:lang w:val="uk-UA" w:eastAsia="ru-RU"/>
        </w:rPr>
        <w:t xml:space="preserve">. 255.4.13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Отже, обсяги води, за які не справляється рентна плата за спеціальне використання води, визначені п. 255.4 ст. 255 ПКУ. </w:t>
      </w:r>
    </w:p>
    <w:p w:rsidR="00726FAD" w:rsidRPr="00726FAD" w:rsidRDefault="00726FAD" w:rsidP="005914D6">
      <w:pPr>
        <w:rPr>
          <w:rFonts w:ascii="Times New Roman" w:eastAsia="Times New Roman" w:hAnsi="Times New Roman" w:cs="Times New Roman"/>
          <w:sz w:val="20"/>
          <w:szCs w:val="20"/>
          <w:lang w:val="uk-UA" w:eastAsia="ru-RU"/>
        </w:rPr>
      </w:pPr>
      <w:r w:rsidRPr="00726FAD">
        <w:rPr>
          <w:rFonts w:ascii="Times New Roman" w:eastAsia="Times New Roman" w:hAnsi="Times New Roman" w:cs="Times New Roman"/>
          <w:sz w:val="20"/>
          <w:szCs w:val="20"/>
          <w:lang w:val="uk-UA" w:eastAsia="ru-RU"/>
        </w:rPr>
        <w:t xml:space="preserve">При цьому первинні водокористувачі декларують такі обсяги води в окремому розрахунку з рентної плати за спеціальне використання води до податкової декларації з рентної плати (далі – Додаток 5) із зазначенням у р. 10.2 Додатка 5 коефіцієнта у розмірі 0 (нуль).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5914D6" w:rsidRDefault="00726FAD" w:rsidP="005914D6">
      <w:pPr>
        <w:pStyle w:val="1"/>
        <w:spacing w:before="0" w:beforeAutospacing="0" w:after="0" w:afterAutospacing="0"/>
        <w:rPr>
          <w:sz w:val="20"/>
          <w:szCs w:val="20"/>
          <w:lang w:val="uk-UA"/>
        </w:rPr>
      </w:pPr>
      <w:r w:rsidRPr="005914D6">
        <w:rPr>
          <w:sz w:val="20"/>
          <w:szCs w:val="20"/>
          <w:lang w:val="uk-UA"/>
        </w:rPr>
        <w:t xml:space="preserve">Змінено порядок електронного адміністрування ПДВ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Кабінет Міністрів України постановою від 28 жовтня 2020 року № 1024 (далі – Постанова 3 1024) вніс зміни до Порядку електронного адміністрування податку на додану вартість (далі – Порядок).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Порядок зокрема доповнено нормами, відповідно до яких ДПС протягом трьох робочих днів, що настають за днем внесення контролюючим органом до реєстру платників ПДВ змін щодо скасування (відміни) анулювання реєстрації платника ПДВ за рішенням контролюючого органу або рішенням суду, яке набрало законної сили, здійснює перерахунок суми (∑ </w:t>
      </w:r>
      <w:proofErr w:type="spellStart"/>
      <w:r w:rsidRPr="005914D6">
        <w:rPr>
          <w:sz w:val="20"/>
          <w:szCs w:val="20"/>
          <w:lang w:val="uk-UA"/>
        </w:rPr>
        <w:t>Накл</w:t>
      </w:r>
      <w:proofErr w:type="spellEnd"/>
      <w:r w:rsidRPr="005914D6">
        <w:rPr>
          <w:sz w:val="20"/>
          <w:szCs w:val="20"/>
          <w:lang w:val="uk-UA"/>
        </w:rPr>
        <w:t xml:space="preserve">) такого платника за звітний (податковий) період, у якому відбулося анулювання реєстрації платника ПДВ, яке скасоване (відмінене).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Такий перерахунок здійснюється ДПС шляхом перерахунку суми (∑ </w:t>
      </w:r>
      <w:proofErr w:type="spellStart"/>
      <w:r w:rsidRPr="005914D6">
        <w:rPr>
          <w:sz w:val="20"/>
          <w:szCs w:val="20"/>
          <w:lang w:val="uk-UA"/>
        </w:rPr>
        <w:t>Накл</w:t>
      </w:r>
      <w:proofErr w:type="spellEnd"/>
      <w:r w:rsidRPr="005914D6">
        <w:rPr>
          <w:sz w:val="20"/>
          <w:szCs w:val="20"/>
          <w:lang w:val="uk-UA"/>
        </w:rPr>
        <w:t xml:space="preserve">) окремо за кожним її показником.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lastRenderedPageBreak/>
        <w:t xml:space="preserve">При цьому перерахунок суми (∑ </w:t>
      </w:r>
      <w:proofErr w:type="spellStart"/>
      <w:r w:rsidRPr="005914D6">
        <w:rPr>
          <w:sz w:val="20"/>
          <w:szCs w:val="20"/>
          <w:lang w:val="uk-UA"/>
        </w:rPr>
        <w:t>Накл</w:t>
      </w:r>
      <w:proofErr w:type="spellEnd"/>
      <w:r w:rsidRPr="005914D6">
        <w:rPr>
          <w:sz w:val="20"/>
          <w:szCs w:val="20"/>
          <w:lang w:val="uk-UA"/>
        </w:rPr>
        <w:t xml:space="preserve">) такого платника не здійснюється контролюючим органом у разі, коли: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на момент скасування рішення про анулювання реєстрації особа застосовує спрощену систему оподаткування, яка не передбачає сплату ПДВ;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повторна реєстрація (наступна за відміненою) платником ПДВ такої особи є анульованою з підстав, передбачених п. 184.1 ст. 184 Податкового кодексу України (далі – ПКУ).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Також відповідно до оновленого п. 9 цього Порядку, який передбачає, що під час розрахунку показника (∑ </w:t>
      </w:r>
      <w:proofErr w:type="spellStart"/>
      <w:r w:rsidRPr="005914D6">
        <w:rPr>
          <w:sz w:val="20"/>
          <w:szCs w:val="20"/>
          <w:lang w:val="uk-UA"/>
        </w:rPr>
        <w:t>ПопРах</w:t>
      </w:r>
      <w:proofErr w:type="spellEnd"/>
      <w:r w:rsidRPr="005914D6">
        <w:rPr>
          <w:sz w:val="20"/>
          <w:szCs w:val="20"/>
          <w:lang w:val="uk-UA"/>
        </w:rPr>
        <w:t xml:space="preserve">) також враховується сума коштів: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вилучених контролюючим органом відповідно до статті 95 Кодексу в рахунок погашення податкового боргу з податку за задекларованими до сплати податковими зобов'язаннями за періоди, починаючи з 01 липня 2015 року, визначеними платником податків у податковій декларації з податку або уточнюючому розрахунку;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 у разі проведення органами Державної казначейської служби України (далі </w:t>
      </w:r>
      <w:proofErr w:type="spellStart"/>
      <w:r w:rsidRPr="005914D6">
        <w:rPr>
          <w:sz w:val="20"/>
          <w:szCs w:val="20"/>
          <w:lang w:val="uk-UA"/>
        </w:rPr>
        <w:t>–Казначейство</w:t>
      </w:r>
      <w:proofErr w:type="spellEnd"/>
      <w:r w:rsidRPr="005914D6">
        <w:rPr>
          <w:sz w:val="20"/>
          <w:szCs w:val="20"/>
          <w:lang w:val="uk-UA"/>
        </w:rPr>
        <w:t xml:space="preserve">) розрахунків платника ПДВ з погашення заборгованості з різниці в тарифах на теплову енергію, опалення та постачання гарячої води, послуги з централізованого водопостачання, водовідведення, що вироблялися, транспортувалися та постачалися населенню та/або іншим підприємствам централізованого питного водопостачання та водовідведення, які надають населенню послуги з централізованого водопостачання та водовідведення, яка виникла у зв'язку з невідповідністю фактичної вартості теплової енергії та послуг з централізованого водопостачання, водовідведення, опалення та постачання гарячої води тарифам, що затверджувалися та/або погоджувалися органами державної влади чи органами місцевого самоврядування, за рахунок субвенції з державного бюджету місцевим бюджетам із спрямуванням коштів відповідно до закону про Державний бюджет України в рахунок погашення заборгованості з ПДВ. При цьому для поповнення електронного рахунка враховується в межах проведених розрахунків з податку сума зменшення залишку узгоджених податкових зобов'язань такого платника ПДВ, не сплачених до бюджету, строк сплати яких настав, що обліковується Казначейством до виконання в повному обсязі за </w:t>
      </w:r>
      <w:proofErr w:type="spellStart"/>
      <w:r w:rsidRPr="005914D6">
        <w:rPr>
          <w:sz w:val="20"/>
          <w:szCs w:val="20"/>
          <w:lang w:val="uk-UA"/>
        </w:rPr>
        <w:t>коригуючими</w:t>
      </w:r>
      <w:proofErr w:type="spellEnd"/>
      <w:r w:rsidRPr="005914D6">
        <w:rPr>
          <w:sz w:val="20"/>
          <w:szCs w:val="20"/>
          <w:lang w:val="uk-UA"/>
        </w:rPr>
        <w:t xml:space="preserve"> реєстрами.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Постанова № 1024 опублікована в офіційному виданні «Урядовий кур’єр» від 04.11.2020 № 214 та розміщена на Урядовому порталі «Єдиний </w:t>
      </w:r>
      <w:proofErr w:type="spellStart"/>
      <w:r w:rsidRPr="005914D6">
        <w:rPr>
          <w:sz w:val="20"/>
          <w:szCs w:val="20"/>
          <w:lang w:val="uk-UA"/>
        </w:rPr>
        <w:t>вебпортал</w:t>
      </w:r>
      <w:proofErr w:type="spellEnd"/>
      <w:r w:rsidRPr="005914D6">
        <w:rPr>
          <w:sz w:val="20"/>
          <w:szCs w:val="20"/>
          <w:lang w:val="uk-UA"/>
        </w:rPr>
        <w:t xml:space="preserve"> органів виконавчої влади України» за посиланням </w:t>
      </w:r>
    </w:p>
    <w:p w:rsidR="00726FAD" w:rsidRPr="005914D6" w:rsidRDefault="008013D6" w:rsidP="005914D6">
      <w:pPr>
        <w:pStyle w:val="a3"/>
        <w:spacing w:before="0" w:beforeAutospacing="0" w:after="0" w:afterAutospacing="0"/>
        <w:jc w:val="both"/>
        <w:rPr>
          <w:sz w:val="20"/>
          <w:szCs w:val="20"/>
          <w:lang w:val="uk-UA"/>
        </w:rPr>
      </w:pPr>
      <w:hyperlink r:id="rId8" w:history="1">
        <w:r w:rsidR="00726FAD" w:rsidRPr="005914D6">
          <w:rPr>
            <w:rStyle w:val="a4"/>
            <w:b/>
            <w:bCs/>
            <w:sz w:val="20"/>
            <w:szCs w:val="20"/>
            <w:lang w:val="uk-UA"/>
          </w:rPr>
          <w:t>https://www.kmu.gov.ua/npas/pro-vnesennya-zmin-do-poryadku-elektronnogo-administruvannya-podatku-na-dodanu-vartist-1024</w:t>
        </w:r>
      </w:hyperlink>
      <w:r w:rsidR="00726FAD" w:rsidRPr="005914D6">
        <w:rPr>
          <w:sz w:val="20"/>
          <w:szCs w:val="20"/>
          <w:lang w:val="uk-UA"/>
        </w:rPr>
        <w:t xml:space="preserve">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5914D6" w:rsidRDefault="00726FAD" w:rsidP="005914D6">
      <w:pPr>
        <w:pStyle w:val="1"/>
        <w:spacing w:before="0" w:beforeAutospacing="0" w:after="0" w:afterAutospacing="0"/>
        <w:rPr>
          <w:sz w:val="20"/>
          <w:szCs w:val="20"/>
          <w:lang w:val="uk-UA"/>
        </w:rPr>
      </w:pPr>
      <w:r w:rsidRPr="005914D6">
        <w:rPr>
          <w:sz w:val="20"/>
          <w:szCs w:val="20"/>
          <w:lang w:val="uk-UA"/>
        </w:rPr>
        <w:t xml:space="preserve">Внесено зміни до переліку товарів, операції з ввезення (постачання) яких на митну територію України звільняються від оподаткування ПДВ </w:t>
      </w:r>
    </w:p>
    <w:p w:rsidR="00726FAD" w:rsidRPr="005914D6" w:rsidRDefault="005914D6" w:rsidP="005914D6">
      <w:pPr>
        <w:pStyle w:val="a3"/>
        <w:spacing w:before="0" w:beforeAutospacing="0" w:after="0" w:afterAutospacing="0"/>
        <w:jc w:val="both"/>
        <w:rPr>
          <w:sz w:val="20"/>
          <w:szCs w:val="20"/>
          <w:lang w:val="uk-UA"/>
        </w:rPr>
      </w:pPr>
      <w:r>
        <w:rPr>
          <w:sz w:val="20"/>
          <w:szCs w:val="20"/>
          <w:lang w:val="uk-UA"/>
        </w:rPr>
        <w:t>П</w:t>
      </w:r>
      <w:r w:rsidR="00726FAD" w:rsidRPr="005914D6">
        <w:rPr>
          <w:sz w:val="20"/>
          <w:szCs w:val="20"/>
          <w:lang w:val="uk-UA"/>
        </w:rPr>
        <w:t>овідомляє</w:t>
      </w:r>
      <w:r>
        <w:rPr>
          <w:sz w:val="20"/>
          <w:szCs w:val="20"/>
          <w:lang w:val="uk-UA"/>
        </w:rPr>
        <w:t>мо</w:t>
      </w:r>
      <w:r w:rsidR="00726FAD" w:rsidRPr="005914D6">
        <w:rPr>
          <w:sz w:val="20"/>
          <w:szCs w:val="20"/>
          <w:lang w:val="uk-UA"/>
        </w:rPr>
        <w:t xml:space="preserve">, що 31.10.2020 набрала чинності постанова Кабінету Міністрів України від 28 жовтня 2020 року № 1033 «Про внесення змін до переліків, затверджених постановами Кабінету Міністрів України від 20 березня 2020 р. № 224 і 225» (далі – Постанова № 1033)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Постановою № 1033 внесено зміни до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5914D6">
        <w:rPr>
          <w:sz w:val="20"/>
          <w:szCs w:val="20"/>
          <w:lang w:val="uk-UA"/>
        </w:rPr>
        <w:t>пандемій</w:t>
      </w:r>
      <w:proofErr w:type="spellEnd"/>
      <w:r w:rsidRPr="005914D6">
        <w:rPr>
          <w:sz w:val="20"/>
          <w:szCs w:val="20"/>
          <w:lang w:val="uk-UA"/>
        </w:rPr>
        <w:t xml:space="preserve"> гострої респіраторної хвороби COVID-19, спричиненої </w:t>
      </w:r>
      <w:proofErr w:type="spellStart"/>
      <w:r w:rsidRPr="005914D6">
        <w:rPr>
          <w:sz w:val="20"/>
          <w:szCs w:val="20"/>
          <w:lang w:val="uk-UA"/>
        </w:rPr>
        <w:t>коронавірусом</w:t>
      </w:r>
      <w:proofErr w:type="spellEnd"/>
      <w:r w:rsidRPr="005914D6">
        <w:rPr>
          <w:sz w:val="20"/>
          <w:szCs w:val="20"/>
          <w:lang w:val="uk-UA"/>
        </w:rPr>
        <w:t xml:space="preserve"> SARS-CoV-2,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 затвердженого постановою Кабінету Міністрів України від 20 березня 2020 року № 224, та переліку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w:t>
      </w:r>
      <w:proofErr w:type="spellStart"/>
      <w:r w:rsidRPr="005914D6">
        <w:rPr>
          <w:sz w:val="20"/>
          <w:szCs w:val="20"/>
          <w:lang w:val="uk-UA"/>
        </w:rPr>
        <w:t>пандемій</w:t>
      </w:r>
      <w:proofErr w:type="spellEnd"/>
      <w:r w:rsidRPr="005914D6">
        <w:rPr>
          <w:sz w:val="20"/>
          <w:szCs w:val="20"/>
          <w:lang w:val="uk-UA"/>
        </w:rPr>
        <w:t xml:space="preserve"> гострої респіраторної хвороби COVID-19, спричиненої </w:t>
      </w:r>
      <w:proofErr w:type="spellStart"/>
      <w:r w:rsidRPr="005914D6">
        <w:rPr>
          <w:sz w:val="20"/>
          <w:szCs w:val="20"/>
          <w:lang w:val="uk-UA"/>
        </w:rPr>
        <w:t>коронавірусом</w:t>
      </w:r>
      <w:proofErr w:type="spellEnd"/>
      <w:r w:rsidRPr="005914D6">
        <w:rPr>
          <w:sz w:val="20"/>
          <w:szCs w:val="20"/>
          <w:lang w:val="uk-UA"/>
        </w:rPr>
        <w:t xml:space="preserve"> SARS-CoV-2, на території України, затвердженого постановою Кабінету Міністрів України від 20 березня 2020 року № 225 «Деякі питання закупівлі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w:t>
      </w:r>
      <w:proofErr w:type="spellStart"/>
      <w:r w:rsidRPr="005914D6">
        <w:rPr>
          <w:sz w:val="20"/>
          <w:szCs w:val="20"/>
          <w:lang w:val="uk-UA"/>
        </w:rPr>
        <w:t>пандемій</w:t>
      </w:r>
      <w:proofErr w:type="spellEnd"/>
      <w:r w:rsidRPr="005914D6">
        <w:rPr>
          <w:sz w:val="20"/>
          <w:szCs w:val="20"/>
          <w:lang w:val="uk-UA"/>
        </w:rPr>
        <w:t xml:space="preserve"> гострої респіраторної хвороби COVID-19, спричиненої </w:t>
      </w:r>
      <w:proofErr w:type="spellStart"/>
      <w:r w:rsidRPr="005914D6">
        <w:rPr>
          <w:sz w:val="20"/>
          <w:szCs w:val="20"/>
          <w:lang w:val="uk-UA"/>
        </w:rPr>
        <w:t>коронавірусом</w:t>
      </w:r>
      <w:proofErr w:type="spellEnd"/>
      <w:r w:rsidRPr="005914D6">
        <w:rPr>
          <w:sz w:val="20"/>
          <w:szCs w:val="20"/>
          <w:lang w:val="uk-UA"/>
        </w:rPr>
        <w:t xml:space="preserve"> SARS-CoV-2, на території України».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Постанова № 1033 опублікована в офіційному виданні «Урядовий кур’єр» від 31.10.2020 № 212 та розміщена на Урядовому порталі «Єдиний </w:t>
      </w:r>
      <w:proofErr w:type="spellStart"/>
      <w:r w:rsidRPr="005914D6">
        <w:rPr>
          <w:sz w:val="20"/>
          <w:szCs w:val="20"/>
          <w:lang w:val="uk-UA"/>
        </w:rPr>
        <w:t>вебпортал</w:t>
      </w:r>
      <w:proofErr w:type="spellEnd"/>
      <w:r w:rsidRPr="005914D6">
        <w:rPr>
          <w:sz w:val="20"/>
          <w:szCs w:val="20"/>
          <w:lang w:val="uk-UA"/>
        </w:rPr>
        <w:t xml:space="preserve"> органів виконавчої влади України» за посиланням </w:t>
      </w:r>
    </w:p>
    <w:p w:rsidR="00726FAD" w:rsidRDefault="008013D6" w:rsidP="005914D6">
      <w:pPr>
        <w:pStyle w:val="a3"/>
        <w:spacing w:before="0" w:beforeAutospacing="0" w:after="0" w:afterAutospacing="0"/>
        <w:jc w:val="both"/>
        <w:rPr>
          <w:sz w:val="20"/>
          <w:szCs w:val="20"/>
          <w:lang w:val="uk-UA"/>
        </w:rPr>
      </w:pPr>
      <w:hyperlink r:id="rId9" w:history="1">
        <w:r w:rsidR="00726FAD" w:rsidRPr="005914D6">
          <w:rPr>
            <w:rStyle w:val="a4"/>
            <w:b/>
            <w:bCs/>
            <w:sz w:val="20"/>
            <w:szCs w:val="20"/>
            <w:lang w:val="uk-UA"/>
          </w:rPr>
          <w:t>https://www.kmu.gov.ua/npas/pro-vnesennya-zmin-do-perelikiv-zatverdzhenih-postanovami-kabinetu-ministriv-ukrayini-vid-20-bereznya-2020-r-224-i-225-i281020-1033</w:t>
        </w:r>
      </w:hyperlink>
      <w:r w:rsidR="00726FAD" w:rsidRPr="005914D6">
        <w:rPr>
          <w:sz w:val="20"/>
          <w:szCs w:val="20"/>
          <w:lang w:val="uk-UA"/>
        </w:rPr>
        <w:t xml:space="preserve"> </w:t>
      </w:r>
    </w:p>
    <w:p w:rsidR="005914D6" w:rsidRPr="005914D6" w:rsidRDefault="005914D6" w:rsidP="005914D6">
      <w:pPr>
        <w:rPr>
          <w:rFonts w:ascii="Times New Roman" w:eastAsia="Times New Roman" w:hAnsi="Times New Roman" w:cs="Times New Roman"/>
          <w:sz w:val="20"/>
          <w:szCs w:val="20"/>
          <w:lang w:val="uk-UA" w:eastAsia="ru-RU"/>
        </w:rPr>
      </w:pPr>
    </w:p>
    <w:p w:rsidR="00726FAD" w:rsidRPr="005914D6" w:rsidRDefault="00726FAD" w:rsidP="005914D6">
      <w:pPr>
        <w:rPr>
          <w:rFonts w:ascii="Times New Roman" w:hAnsi="Times New Roman" w:cs="Times New Roman"/>
          <w:b/>
          <w:sz w:val="20"/>
          <w:szCs w:val="20"/>
          <w:lang w:val="uk-UA"/>
        </w:rPr>
      </w:pPr>
      <w:r w:rsidRPr="005914D6">
        <w:rPr>
          <w:rFonts w:ascii="Times New Roman" w:hAnsi="Times New Roman" w:cs="Times New Roman"/>
          <w:b/>
          <w:sz w:val="20"/>
          <w:szCs w:val="20"/>
          <w:lang w:val="uk-UA"/>
        </w:rPr>
        <w:t xml:space="preserve">Затверджено процедуру направлення повідомлення нерезидентам про взяття на облік як платників податків </w:t>
      </w:r>
    </w:p>
    <w:p w:rsidR="00726FAD" w:rsidRPr="005914D6" w:rsidRDefault="00F8138E" w:rsidP="005914D6">
      <w:pPr>
        <w:pStyle w:val="a3"/>
        <w:spacing w:before="0" w:beforeAutospacing="0" w:after="0" w:afterAutospacing="0"/>
        <w:jc w:val="both"/>
        <w:rPr>
          <w:sz w:val="20"/>
          <w:szCs w:val="20"/>
          <w:lang w:val="uk-UA"/>
        </w:rPr>
      </w:pPr>
      <w:r>
        <w:rPr>
          <w:sz w:val="20"/>
          <w:szCs w:val="20"/>
          <w:lang w:val="uk-UA"/>
        </w:rPr>
        <w:t>Д</w:t>
      </w:r>
      <w:r w:rsidR="00726FAD" w:rsidRPr="005914D6">
        <w:rPr>
          <w:sz w:val="20"/>
          <w:szCs w:val="20"/>
          <w:lang w:val="uk-UA"/>
        </w:rPr>
        <w:t>оводи</w:t>
      </w:r>
      <w:r>
        <w:rPr>
          <w:sz w:val="20"/>
          <w:szCs w:val="20"/>
          <w:lang w:val="uk-UA"/>
        </w:rPr>
        <w:t>мо</w:t>
      </w:r>
      <w:r w:rsidR="00726FAD" w:rsidRPr="005914D6">
        <w:rPr>
          <w:sz w:val="20"/>
          <w:szCs w:val="20"/>
          <w:lang w:val="uk-UA"/>
        </w:rPr>
        <w:t xml:space="preserve"> до відома платників, що на Урядовому порталі «Єдиний </w:t>
      </w:r>
      <w:proofErr w:type="spellStart"/>
      <w:r w:rsidR="00726FAD" w:rsidRPr="005914D6">
        <w:rPr>
          <w:sz w:val="20"/>
          <w:szCs w:val="20"/>
          <w:lang w:val="uk-UA"/>
        </w:rPr>
        <w:t>вебпортал</w:t>
      </w:r>
      <w:proofErr w:type="spellEnd"/>
      <w:r w:rsidR="00726FAD" w:rsidRPr="005914D6">
        <w:rPr>
          <w:sz w:val="20"/>
          <w:szCs w:val="20"/>
          <w:lang w:val="uk-UA"/>
        </w:rPr>
        <w:t xml:space="preserve"> органів виконавчої влади України» за посиланням </w:t>
      </w:r>
      <w:hyperlink r:id="rId10" w:history="1">
        <w:r w:rsidR="00726FAD" w:rsidRPr="005914D6">
          <w:rPr>
            <w:rStyle w:val="a4"/>
            <w:sz w:val="20"/>
            <w:szCs w:val="20"/>
            <w:lang w:val="uk-UA"/>
          </w:rPr>
          <w:t>https://www.kmu.gov.ua/news/zatverdzheno-proceduru-napravlennya-povidomlennya-nerezidentam-pro-vzyattya-na-oblik-yak-platnikiv-podatkiv</w:t>
        </w:r>
      </w:hyperlink>
      <w:r w:rsidR="00726FAD" w:rsidRPr="005914D6">
        <w:rPr>
          <w:sz w:val="20"/>
          <w:szCs w:val="20"/>
          <w:lang w:val="uk-UA"/>
        </w:rPr>
        <w:t xml:space="preserve"> розміщено інформацію про наступне.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встановлено, що нерезиденти (іноземні юридичні компанії, організації), які здійснюють в Україні діяльність через відокремлені підрозділи, у тому числі постійні представництва, або придбавають нерухоме майно чи отримують майнові права на таке майно в Україні, або відкривають рахунки в банках України, зобов’язані стати на облік у контролюючих органах.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На виконання цієї норми Міністерством фінансів України розроблено порядок повідомлення нерезидентів про взяття на облік як платників податків. Відповідний документ затверджено рішенням Кабінету Міністрів України 4 листопада.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Порядок визначає механізм повідомлення контролюючими органами нерезидентів про взяття їх на облік як платників податків.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Зокрема, у разі взяття на облік цих осіб у контролюючих органах відповідно до поданої ними заяви та документів, цим нерезидентам не пізніше наступного робочого дня з дня взяття на облік за основним місцем обліку надсилається (видається) довідка.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lastRenderedPageBreak/>
        <w:t xml:space="preserve">Якщо взяття на облік нерезидента здійснено за рішенням контролюючого органу на підставі акту перевірки, без заяви про взяття на облік та отримання заперечення до акту перевірки, цим нерезидентам надсилається (видається) Повідомлення нерезидентів про взяття на облік як платників податків.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Документом також встановлено форму Повідомлення та процедуру його направлення нерезиденту. </w:t>
      </w:r>
    </w:p>
    <w:p w:rsidR="00726FAD" w:rsidRPr="005914D6" w:rsidRDefault="00726FAD"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1"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Закон України № 786: проведення документальних перевірок на період дії карантину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Законом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який набрав чинності 08.08.2020, внесено зміни до п. 52.2 ст. 52 підрозділу 10 розділу ХХ Податкового кодексу України (далі – ПКУ), а саме: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 08 серпня 2020 року на період дії карантину контролюючим органам надано право проводити документальні позапланові перевірки: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за зверненнями платника податків;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документальні позапланові перевірки проводяться також і з підстав, визначених </w:t>
      </w:r>
      <w:proofErr w:type="spellStart"/>
      <w:r w:rsidRPr="005914D6">
        <w:rPr>
          <w:sz w:val="20"/>
          <w:szCs w:val="20"/>
          <w:lang w:val="uk-UA"/>
        </w:rPr>
        <w:t>п.п</w:t>
      </w:r>
      <w:proofErr w:type="spellEnd"/>
      <w:r w:rsidRPr="005914D6">
        <w:rPr>
          <w:sz w:val="20"/>
          <w:szCs w:val="20"/>
          <w:lang w:val="uk-UA"/>
        </w:rPr>
        <w:t xml:space="preserve">. 78.1.7 ст. 78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якщо розпочато процедуру реорганізації юридичної особи (крім перетворення), припинення юридичної особи або підприємницької діяльності фізичної особи - підприємця,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у разі закриття постійного представництва чи відокремленого підрозділу юридичної особи, в тому числі іноземної компанії, організації,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якщо порушено провадження у справі про визнання банкрутом платника податків,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коли подано заяву про зняття з обліку платника податків.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Нагадаємо, що з 18.03.2020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sidRPr="005914D6">
        <w:rPr>
          <w:sz w:val="20"/>
          <w:szCs w:val="20"/>
          <w:lang w:val="uk-UA"/>
        </w:rPr>
        <w:t>коронавірусної</w:t>
      </w:r>
      <w:proofErr w:type="spellEnd"/>
      <w:r w:rsidRPr="005914D6">
        <w:rPr>
          <w:sz w:val="20"/>
          <w:szCs w:val="20"/>
          <w:lang w:val="uk-UA"/>
        </w:rPr>
        <w:t xml:space="preserve"> хвороби, діє мораторій на проведення документальних та фактичних перевірок, </w:t>
      </w:r>
      <w:r w:rsidRPr="005914D6">
        <w:rPr>
          <w:rStyle w:val="a8"/>
          <w:sz w:val="20"/>
          <w:szCs w:val="20"/>
          <w:lang w:val="uk-UA"/>
        </w:rPr>
        <w:t>крім:</w:t>
      </w:r>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документальних позапланових перевірок, що проводяться на звернення платника податків;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документальних позапланових перевірок з підстав, визначених </w:t>
      </w:r>
      <w:proofErr w:type="spellStart"/>
      <w:r w:rsidRPr="005914D6">
        <w:rPr>
          <w:sz w:val="20"/>
          <w:szCs w:val="20"/>
          <w:lang w:val="uk-UA"/>
        </w:rPr>
        <w:t>п.п</w:t>
      </w:r>
      <w:proofErr w:type="spellEnd"/>
      <w:r w:rsidRPr="005914D6">
        <w:rPr>
          <w:sz w:val="20"/>
          <w:szCs w:val="20"/>
          <w:lang w:val="uk-UA"/>
        </w:rPr>
        <w:t xml:space="preserve">. 78.1.7 та 78.1.8 ст. 78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фактичних перевірок порушення вимог законодавства в частині: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обліку, ліцензування, виробництва, зберігання, транспортування та обігу пального, спирту етилового, алкогольних напоїв та тютюнових виробів;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цільового використання пального та спирту етилового платниками податків;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обладнання акцизних складів витратомірами-лічильниками та/або рівномірами-лічильниками;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здійснення функцій, визначених законодавством у сфері виробництва і обігу спирту етилового, алкогольних напоїв та тютюнових виробів, пального, з підстав, визначених </w:t>
      </w:r>
      <w:proofErr w:type="spellStart"/>
      <w:r w:rsidRPr="005914D6">
        <w:rPr>
          <w:sz w:val="20"/>
          <w:szCs w:val="20"/>
          <w:lang w:val="uk-UA"/>
        </w:rPr>
        <w:t>п.п</w:t>
      </w:r>
      <w:proofErr w:type="spellEnd"/>
      <w:r w:rsidRPr="005914D6">
        <w:rPr>
          <w:sz w:val="20"/>
          <w:szCs w:val="20"/>
          <w:lang w:val="uk-UA"/>
        </w:rPr>
        <w:t xml:space="preserve">. 80.2.2, 80.2.3 та 80.2.5 ст. 80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2"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Реагуйте, якщо роботодавець порушує ваші трудові права! </w:t>
      </w:r>
    </w:p>
    <w:p w:rsidR="005914D6" w:rsidRPr="005914D6" w:rsidRDefault="00F8138E" w:rsidP="005914D6">
      <w:pPr>
        <w:pStyle w:val="a3"/>
        <w:spacing w:before="0" w:beforeAutospacing="0" w:after="0" w:afterAutospacing="0"/>
        <w:jc w:val="both"/>
        <w:rPr>
          <w:sz w:val="20"/>
          <w:szCs w:val="20"/>
          <w:lang w:val="uk-UA"/>
        </w:rPr>
      </w:pPr>
      <w:r>
        <w:rPr>
          <w:sz w:val="20"/>
          <w:szCs w:val="20"/>
          <w:lang w:val="uk-UA"/>
        </w:rPr>
        <w:t>П</w:t>
      </w:r>
      <w:r w:rsidR="005914D6" w:rsidRPr="005914D6">
        <w:rPr>
          <w:sz w:val="20"/>
          <w:szCs w:val="20"/>
          <w:lang w:val="uk-UA"/>
        </w:rPr>
        <w:t>овідомляє</w:t>
      </w:r>
      <w:r>
        <w:rPr>
          <w:sz w:val="20"/>
          <w:szCs w:val="20"/>
          <w:lang w:val="uk-UA"/>
        </w:rPr>
        <w:t>мо</w:t>
      </w:r>
      <w:r w:rsidR="005914D6" w:rsidRPr="005914D6">
        <w:rPr>
          <w:sz w:val="20"/>
          <w:szCs w:val="20"/>
          <w:lang w:val="uk-UA"/>
        </w:rPr>
        <w:t xml:space="preserve">, що легалізація зайнятості населення та легалізації заробітної плати – в пріоритетах сьогодення. У цьому напрямку фахівці податкової служби здійснюють як </w:t>
      </w:r>
      <w:proofErr w:type="spellStart"/>
      <w:r w:rsidR="005914D6" w:rsidRPr="005914D6">
        <w:rPr>
          <w:sz w:val="20"/>
          <w:szCs w:val="20"/>
          <w:lang w:val="uk-UA"/>
        </w:rPr>
        <w:t>інформаційно</w:t>
      </w:r>
      <w:proofErr w:type="spellEnd"/>
      <w:r w:rsidR="005914D6" w:rsidRPr="005914D6">
        <w:rPr>
          <w:sz w:val="20"/>
          <w:szCs w:val="20"/>
          <w:lang w:val="uk-UA"/>
        </w:rPr>
        <w:t xml:space="preserve"> – роз’яснювальну роботу, так і вживають відповідні заходи контролю, інформують громадян про перспективи та переваги офіційного працевлаштування та роз’яснюють роботодавцям наслідки використання нелегальної праці.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Порушуючи законодавство про працю, роботодавці позбавляють найманих працівників соціальних гарантій (права на відпустку, страхування від нещасних випадків на виробництві та професійних захворювань, права на оплату листків непрацездатності, інші форми державної допомоги), а також позбавляють громадян пенсійного стажу та можливості отримати допомогу у разі втрати роботи.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Тож неофіційне працевлаштування – це відсутність для працівника законодавчого захисту та безправна залежність від роботодавця і його дій.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Отже, тим, кому виплачують заробітну плату менше законодавчо встановленого мінімуму або взагалі її не виплачують, якщо роботодавець не оформлює трудовий договір, необхідно повідомити про це податкову службу.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Звертаємо увагу, що з 01.09.2020 мінімальна зарплата становить 5000 гривень.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Також, нагадуємо, що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про такий прийом до податкового органу.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Порядок подання повідомлення до контролюючих органів про прийняття працівника на роботу затверджений постановою Кабінету Міністрів України від 17 червня 2015 року № 413. Таке повідомлення подається власником підприємства, установи, організації або уповноваженим ним органом (особою) чи фізичною особою підприємцем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до початку роботи новоприйнятого працівника одним із таких способів: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засобами електронного зв'язку з використанням електронного цифрового підпису;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на паперових носіях разом з копією в електронній формі;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на паперових носіях, якщо трудові договори укладено не більше ніж із п'ятьма особами.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Повідомлення про прийняття працівника на роботу, надані до територіальних органів Державної податкової служби не за місцем обліку роботодавця або не за встановленою формою вважаються такими, що не подавалися.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Додатково повідомляємо, що платникам податків надана можливість сформувати повідомлення про прийняття працівника на роботу через Електронний кабінет платника податків. Вхід до Електронного кабінету платника здійснюється через офіційний </w:t>
      </w:r>
      <w:proofErr w:type="spellStart"/>
      <w:r w:rsidRPr="005914D6">
        <w:rPr>
          <w:sz w:val="20"/>
          <w:szCs w:val="20"/>
          <w:lang w:val="uk-UA"/>
        </w:rPr>
        <w:t>вебпортал</w:t>
      </w:r>
      <w:proofErr w:type="spellEnd"/>
      <w:r w:rsidRPr="005914D6">
        <w:rPr>
          <w:sz w:val="20"/>
          <w:szCs w:val="20"/>
          <w:lang w:val="uk-UA"/>
        </w:rPr>
        <w:t xml:space="preserve"> ДПС за посиланням: </w:t>
      </w:r>
      <w:hyperlink r:id="rId13" w:history="1">
        <w:r w:rsidRPr="005914D6">
          <w:rPr>
            <w:rStyle w:val="a4"/>
            <w:sz w:val="20"/>
            <w:szCs w:val="20"/>
            <w:lang w:val="uk-UA"/>
          </w:rPr>
          <w:t>https://cabinet.tax.gov.ua/</w:t>
        </w:r>
      </w:hyperlink>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4"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lastRenderedPageBreak/>
        <w:t xml:space="preserve">Деякі особливості подання податкової декларації з екологічного податку за викиди стаціонарним джерелом забруднення </w:t>
      </w:r>
    </w:p>
    <w:p w:rsidR="005914D6" w:rsidRPr="005914D6" w:rsidRDefault="00F8138E" w:rsidP="005914D6">
      <w:pPr>
        <w:pStyle w:val="a3"/>
        <w:spacing w:before="0" w:beforeAutospacing="0" w:after="0" w:afterAutospacing="0"/>
        <w:jc w:val="both"/>
        <w:rPr>
          <w:sz w:val="20"/>
          <w:szCs w:val="20"/>
          <w:lang w:val="uk-UA"/>
        </w:rPr>
      </w:pPr>
      <w:r>
        <w:rPr>
          <w:sz w:val="20"/>
          <w:szCs w:val="20"/>
          <w:lang w:val="uk-UA"/>
        </w:rPr>
        <w:t>І</w:t>
      </w:r>
      <w:r w:rsidR="005914D6" w:rsidRPr="005914D6">
        <w:rPr>
          <w:sz w:val="20"/>
          <w:szCs w:val="20"/>
          <w:lang w:val="uk-UA"/>
        </w:rPr>
        <w:t>нформує</w:t>
      </w:r>
      <w:r>
        <w:rPr>
          <w:sz w:val="20"/>
          <w:szCs w:val="20"/>
          <w:lang w:val="uk-UA"/>
        </w:rPr>
        <w:t>мо</w:t>
      </w:r>
      <w:r w:rsidR="005914D6" w:rsidRPr="005914D6">
        <w:rPr>
          <w:sz w:val="20"/>
          <w:szCs w:val="20"/>
          <w:lang w:val="uk-UA"/>
        </w:rPr>
        <w:t xml:space="preserve">, що платник податків зобов’язаний за кожний встановлений Податковим кодексом України (далі –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Норми встановлені п. 49.2 ст. 49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Згідно з п. п. 250.2.1 п. 250.2 ст. 250 ПКУ платники екологічного податку за викиди в атмосферне повітря забруднюючих речовин стаціонарними джерелами забруднення, скиди забруднюючих речовин у водні об’єкти, розміщення протягом звітного кварталу відходів у спеціально відведених для цього місцях чи на об’єктах, складають податкові декларації за формою, встановленою у порядку, передбаченому ст. 46 ПКУ,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подання податкової декларації – за місцем розміщення стаціонарних джерел, спеціально відведених для цього місць чи об’єктів.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Водночас п. п. 250.10.3 п. 250.10 ст. 250 ПКУ передбачено, якщо платник податку перебуває на податковому обліку в місті з районним поділом, то такий платник може подавати одну податкову декларацію за викиди, скиди усіма своїми джерелами забруднення та/або розміщення відходів, якщо ці джерела та/або спеціально відведені місця для розміщення відходів розташовані на території такого міста (зазначається код згідно з Класифікатором об’єктів адміністративно-територіального устрою України (КОАТУУ), за місцем перебування платника податку на податковому обліку (міської ради).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Якщо місце подання податкових декларацій не збігається з місцем перебування на податковому обліку підприємства, установи, організації, громадянина – суб’єкта підприємницької діяльності, яким в установленому порядку видано дозвіл на викиди забруднюючих речовин в атмосферне повітря стаціонарними джерелами, спеціальне водокористування та розміщення відходів, до контролюючого органу, в якому таке підприємство, установа, організація або громадянин – суб’єкт підприємницької діяльності перебуває на обліку, подаються протягом 40 календарних днів, що настають за останнім календарним днем податкового (звітного) періоду, копії відповідних податкових декларацій (п. 250.8 ст. 250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Отже, якщо суб’єкт господарювання перебуває на податковому обліку в місті з районним поділом в одному районі, а єдине джерело забруднення або спеціально відведене місце для розміщення відходів розташоване в іншому районі такого міста, то такий суб’єкт господарювання може самостійно обрати контролюючий орган до якого ним буде подаватися податкова декларація з екологічного податку (далі – Декларація) за викиди стаціонарним джерелом забруднення або розміщення відходів: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або за місцем розміщення стаціонарного джерела забруднення або спеціально відведеного місця для розміщення відходів;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або за місцем свого перебування на податковому обліку.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При цьому, якщо декларація подається за місцем розміщення стаціонарного джерела забруднення, то таким платником має бути подана копія Декларації до контролюючого органу за його місцем перебування на податковому обліку.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5"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Використання платіжного терміналу здійснюється із застосовуванням РРО </w:t>
      </w:r>
    </w:p>
    <w:p w:rsidR="005914D6" w:rsidRPr="005914D6" w:rsidRDefault="00F8138E" w:rsidP="005914D6">
      <w:pPr>
        <w:pStyle w:val="a3"/>
        <w:spacing w:before="0" w:beforeAutospacing="0" w:after="0" w:afterAutospacing="0"/>
        <w:jc w:val="both"/>
        <w:rPr>
          <w:sz w:val="20"/>
          <w:szCs w:val="20"/>
          <w:lang w:val="uk-UA"/>
        </w:rPr>
      </w:pPr>
      <w:r>
        <w:rPr>
          <w:sz w:val="20"/>
          <w:szCs w:val="20"/>
          <w:lang w:val="uk-UA"/>
        </w:rPr>
        <w:t>П</w:t>
      </w:r>
      <w:r w:rsidR="005914D6" w:rsidRPr="005914D6">
        <w:rPr>
          <w:sz w:val="20"/>
          <w:szCs w:val="20"/>
          <w:lang w:val="uk-UA"/>
        </w:rPr>
        <w:t>овідомляє</w:t>
      </w:r>
      <w:r>
        <w:rPr>
          <w:sz w:val="20"/>
          <w:szCs w:val="20"/>
          <w:lang w:val="uk-UA"/>
        </w:rPr>
        <w:t>мо</w:t>
      </w:r>
      <w:r w:rsidR="005914D6" w:rsidRPr="005914D6">
        <w:rPr>
          <w:sz w:val="20"/>
          <w:szCs w:val="20"/>
          <w:lang w:val="uk-UA"/>
        </w:rPr>
        <w:t xml:space="preserve">, що у разі здійснення розрахунків у безготівковій формі із застосуванням електронних платіжних засобів, з використанням платіжного терміналу, поєднаного з реєстратором розрахункових операцій (далі – РРО), суб’єкту господарювання необхідно проводити розрахункові операції через належним чином зареєстрований РРО із роздрукуванням відповідних розрахункових документів, </w:t>
      </w:r>
      <w:r w:rsidR="005914D6" w:rsidRPr="005914D6">
        <w:rPr>
          <w:rStyle w:val="a8"/>
          <w:sz w:val="20"/>
          <w:szCs w:val="20"/>
          <w:lang w:val="uk-UA"/>
        </w:rPr>
        <w:t>крім суб’єктів господарювання, які згідно з чинним законодавством можуть не застосовувати РРО при розрахунках за продані товари/надані послуги</w:t>
      </w:r>
      <w:r w:rsidR="005914D6"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У фіскальному касовому чеку зазначаються, зокрема, такі обов’язкові реквізити: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ідентифікатор </w:t>
      </w:r>
      <w:proofErr w:type="spellStart"/>
      <w:r w:rsidRPr="005914D6">
        <w:rPr>
          <w:sz w:val="20"/>
          <w:szCs w:val="20"/>
          <w:lang w:val="uk-UA"/>
        </w:rPr>
        <w:t>еквайра</w:t>
      </w:r>
      <w:proofErr w:type="spellEnd"/>
      <w:r w:rsidRPr="005914D6">
        <w:rPr>
          <w:sz w:val="20"/>
          <w:szCs w:val="20"/>
          <w:lang w:val="uk-UA"/>
        </w:rPr>
        <w:t xml:space="preserve"> та торгівця або інші реквізити, що дають змогу їх ідентифікувати;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ідентифікатор платіжного пристрою;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сума комісійної винагороди (у разі наявності);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вид операції;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реквізити електронного платіжного засобу (платіжної картки), допустимі правилами безпеки платіжної системи, перед якими друкуються великі літери «ЕПЗ»;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напис «ПЛАТІЖНА СИСТЕМА» (найменування платіжної системи, платіжний інструмент якої використовується, код авторизації або інший код, що ідентифікує операцію в платіжній системі та/або код транзакції в платіжній системі, значення коду);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підпис касира (якщо це передбачено правилами платіжної системи), перед яким друкується відповідно напис «Касир»;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підпис держателя електронного платіжного засобу (платіжної картки) (якщо це передбачено правилами платіжної системи) в окремих рядках, перед якими друкуються відповідно написи «Касир» та «Держатель ЕПЗ». </w:t>
      </w:r>
    </w:p>
    <w:p w:rsidR="005914D6" w:rsidRPr="005914D6" w:rsidRDefault="005914D6" w:rsidP="005914D6">
      <w:pPr>
        <w:pStyle w:val="a3"/>
        <w:spacing w:before="0" w:beforeAutospacing="0" w:after="0" w:afterAutospacing="0"/>
        <w:jc w:val="both"/>
        <w:rPr>
          <w:sz w:val="20"/>
          <w:szCs w:val="20"/>
          <w:lang w:val="uk-UA"/>
        </w:rPr>
      </w:pPr>
      <w:proofErr w:type="spellStart"/>
      <w:r w:rsidRPr="005914D6">
        <w:rPr>
          <w:rStyle w:val="a8"/>
          <w:b/>
          <w:bCs/>
          <w:sz w:val="20"/>
          <w:szCs w:val="20"/>
          <w:lang w:val="uk-UA"/>
        </w:rPr>
        <w:t>Довідково</w:t>
      </w:r>
      <w:proofErr w:type="spellEnd"/>
      <w:r w:rsidRPr="005914D6">
        <w:rPr>
          <w:rStyle w:val="a8"/>
          <w:b/>
          <w:bCs/>
          <w:sz w:val="20"/>
          <w:szCs w:val="20"/>
          <w:lang w:val="uk-UA"/>
        </w:rPr>
        <w:t>:</w:t>
      </w:r>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розрахунковий документ – це документ встановленої форми та змісту (касовий чек, товарний чек, видатковий чек, розрахункова квитанція, проїзний документ тощо), що підтверджує факт продажу (повернення) товарів, надання послуг, операцій з видачі готівкових коштів держателям електронних платіжних засобів, отримання (повернення) коштів, торгівлю валютними цінностями в готівковій формі, створений в паперовій та/або електронній формі (електронний розрахунковий документ) у випадках, передбачених Законом України від 06 липня 1995 року № 265/95 «Про застосування реєстраторів розрахункових операцій у сфері торгівлі, громадського харчування та </w:t>
      </w:r>
      <w:proofErr w:type="spellStart"/>
      <w:r w:rsidRPr="005914D6">
        <w:rPr>
          <w:sz w:val="20"/>
          <w:szCs w:val="20"/>
          <w:lang w:val="uk-UA"/>
        </w:rPr>
        <w:t>послуг»із</w:t>
      </w:r>
      <w:proofErr w:type="spellEnd"/>
      <w:r w:rsidRPr="005914D6">
        <w:rPr>
          <w:sz w:val="20"/>
          <w:szCs w:val="20"/>
          <w:lang w:val="uk-UA"/>
        </w:rPr>
        <w:t xml:space="preserve"> змінами (далі – Закон № 265), зареєстрованим у встановленому порядку РРО або ПРРО, чи заповнений вручну – ст. 2 Закону № 265.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сліп – це паперовий документ, який підтверджує здійснення операції з використанням платіжної картки і містить набір даних щодо цієї операції та реквізити платіжної картки. У розумінні Закону України № 265, сліп не є розрахунковим документом.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lastRenderedPageBreak/>
        <w:t xml:space="preserve">Підписуйтеся на Telegram-канал Державної податкової служби України </w:t>
      </w:r>
      <w:hyperlink r:id="rId16"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Закон України №466: процедура погашення податкового боргу платниками податків зазнала змін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 внесено зміни, зокрема, до глави 8 «Погашення податкового боргу платниками податків» Податкового кодексу України (далі –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Відповідно до внесених Законом № 466 змін: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скорочується строк, наданий для самостійного погашення платником податків суми податкового боргу, з 60 до 30 календарних днів з дня надсилання (вручення) такому платнику податкової вимоги, протягом яких не здійснюється стягнення коштів та продаж майна;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встановлюється, що стягнення заборгованості в частині чистого прибутку (доходу) державних унітарних підприємств та їх об’єднань відтепер буде здійснюватися у порядку, встановленому статтями 59 – 60 та 87 – 101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доповнюються підстави звільнення майна платника податків - боржника з податкової застави, зокрема, з дня: отримання контролюючим органом підтвердження повного погашення сум розстрочених (відстрочених) грошових зобов’язань та процентів за коригування розстроченням (відстроченням) в установленому законодавством порядку; отримання платником податків згоди контролюючого органі на відчуження майна, що перебуває у податковій заставі, відповідно до ст.92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скорочується з двох до одного місяця строк, протягом якого платник податків, що має податковий борг, може самостійно здійснити оцінку майна, яке перебуває у податковій заставі, шляхом укладення договору з оцінювачем;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передбачається щоденне (замість щомісячного) оприлюднення інформації щодо суб’єктів господарювання, що мають податковий борг.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7"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jc w:val="left"/>
        <w:outlineLvl w:val="0"/>
        <w:rPr>
          <w:rFonts w:ascii="Times New Roman" w:eastAsia="Times New Roman" w:hAnsi="Times New Roman" w:cs="Times New Roman"/>
          <w:b/>
          <w:bCs/>
          <w:kern w:val="36"/>
          <w:sz w:val="20"/>
          <w:szCs w:val="20"/>
          <w:lang w:val="uk-UA" w:eastAsia="ru-RU"/>
        </w:rPr>
      </w:pPr>
      <w:r w:rsidRPr="005914D6">
        <w:rPr>
          <w:rFonts w:ascii="Times New Roman" w:eastAsia="Times New Roman" w:hAnsi="Times New Roman" w:cs="Times New Roman"/>
          <w:b/>
          <w:bCs/>
          <w:kern w:val="36"/>
          <w:sz w:val="20"/>
          <w:szCs w:val="20"/>
          <w:lang w:val="uk-UA" w:eastAsia="ru-RU"/>
        </w:rPr>
        <w:t xml:space="preserve">Платники Дніпропетровщини спрямували до бюджетів усіх рівнів та єдиного внеску за десять місяців 2020 року 51,2 мільярди гривень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Платниками Дніпропетровщини спрямовано до бюджетів усіх рівнів за січень – жовтень 2020 року (без урахування єдиного внеску на загальнообов’язкове державне соціальне страхування) 37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551,8 </w:t>
      </w:r>
      <w:proofErr w:type="spellStart"/>
      <w:r w:rsidRPr="005914D6">
        <w:rPr>
          <w:rFonts w:ascii="Times New Roman" w:eastAsia="Times New Roman" w:hAnsi="Times New Roman" w:cs="Times New Roman"/>
          <w:sz w:val="20"/>
          <w:szCs w:val="20"/>
          <w:lang w:val="uk-UA" w:eastAsia="ru-RU"/>
        </w:rPr>
        <w:t>млн</w:t>
      </w:r>
      <w:proofErr w:type="spellEnd"/>
      <w:r w:rsidRPr="005914D6">
        <w:rPr>
          <w:rFonts w:ascii="Times New Roman" w:eastAsia="Times New Roman" w:hAnsi="Times New Roman" w:cs="Times New Roman"/>
          <w:sz w:val="20"/>
          <w:szCs w:val="20"/>
          <w:lang w:val="uk-UA" w:eastAsia="ru-RU"/>
        </w:rPr>
        <w:t xml:space="preserve"> гривень.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Так, до державного бюджету надійшло 17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466,9 </w:t>
      </w:r>
      <w:proofErr w:type="spellStart"/>
      <w:r w:rsidRPr="005914D6">
        <w:rPr>
          <w:rFonts w:ascii="Times New Roman" w:eastAsia="Times New Roman" w:hAnsi="Times New Roman" w:cs="Times New Roman"/>
          <w:sz w:val="20"/>
          <w:szCs w:val="20"/>
          <w:lang w:val="uk-UA" w:eastAsia="ru-RU"/>
        </w:rPr>
        <w:t>млн</w:t>
      </w:r>
      <w:proofErr w:type="spellEnd"/>
      <w:r w:rsidRPr="005914D6">
        <w:rPr>
          <w:rFonts w:ascii="Times New Roman" w:eastAsia="Times New Roman" w:hAnsi="Times New Roman" w:cs="Times New Roman"/>
          <w:sz w:val="20"/>
          <w:szCs w:val="20"/>
          <w:lang w:val="uk-UA" w:eastAsia="ru-RU"/>
        </w:rPr>
        <w:t xml:space="preserve"> грн., до місцевих бюджетів регіону – 20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084,9 </w:t>
      </w:r>
      <w:proofErr w:type="spellStart"/>
      <w:r w:rsidRPr="005914D6">
        <w:rPr>
          <w:rFonts w:ascii="Times New Roman" w:eastAsia="Times New Roman" w:hAnsi="Times New Roman" w:cs="Times New Roman"/>
          <w:sz w:val="20"/>
          <w:szCs w:val="20"/>
          <w:lang w:val="uk-UA" w:eastAsia="ru-RU"/>
        </w:rPr>
        <w:t>млн</w:t>
      </w:r>
      <w:proofErr w:type="spellEnd"/>
      <w:r w:rsidRPr="005914D6">
        <w:rPr>
          <w:rFonts w:ascii="Times New Roman" w:eastAsia="Times New Roman" w:hAnsi="Times New Roman" w:cs="Times New Roman"/>
          <w:sz w:val="20"/>
          <w:szCs w:val="20"/>
          <w:lang w:val="uk-UA" w:eastAsia="ru-RU"/>
        </w:rPr>
        <w:t xml:space="preserve"> гривень.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За підсумками десяти місяців поточного року єдиного внеску на загальнообов’язкове державне соціальне страхування надійшло 13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643,7 </w:t>
      </w:r>
      <w:proofErr w:type="spellStart"/>
      <w:r w:rsidRPr="005914D6">
        <w:rPr>
          <w:rFonts w:ascii="Times New Roman" w:eastAsia="Times New Roman" w:hAnsi="Times New Roman" w:cs="Times New Roman"/>
          <w:sz w:val="20"/>
          <w:szCs w:val="20"/>
          <w:lang w:val="uk-UA" w:eastAsia="ru-RU"/>
        </w:rPr>
        <w:t>млн</w:t>
      </w:r>
      <w:proofErr w:type="spellEnd"/>
      <w:r w:rsidRPr="005914D6">
        <w:rPr>
          <w:rFonts w:ascii="Times New Roman" w:eastAsia="Times New Roman" w:hAnsi="Times New Roman" w:cs="Times New Roman"/>
          <w:sz w:val="20"/>
          <w:szCs w:val="20"/>
          <w:lang w:val="uk-UA" w:eastAsia="ru-RU"/>
        </w:rPr>
        <w:t xml:space="preserve"> </w:t>
      </w:r>
      <w:proofErr w:type="spellStart"/>
      <w:r w:rsidRPr="005914D6">
        <w:rPr>
          <w:rFonts w:ascii="Times New Roman" w:eastAsia="Times New Roman" w:hAnsi="Times New Roman" w:cs="Times New Roman"/>
          <w:sz w:val="20"/>
          <w:szCs w:val="20"/>
          <w:lang w:val="uk-UA" w:eastAsia="ru-RU"/>
        </w:rPr>
        <w:t>грн</w:t>
      </w:r>
      <w:proofErr w:type="spellEnd"/>
      <w:r w:rsidRPr="005914D6">
        <w:rPr>
          <w:rFonts w:ascii="Times New Roman" w:eastAsia="Times New Roman" w:hAnsi="Times New Roman" w:cs="Times New Roman"/>
          <w:sz w:val="20"/>
          <w:szCs w:val="20"/>
          <w:lang w:val="uk-UA" w:eastAsia="ru-RU"/>
        </w:rPr>
        <w:t xml:space="preserve">, що перевищує минулорічні показники на 580,8 </w:t>
      </w:r>
      <w:proofErr w:type="spellStart"/>
      <w:r w:rsidRPr="005914D6">
        <w:rPr>
          <w:rFonts w:ascii="Times New Roman" w:eastAsia="Times New Roman" w:hAnsi="Times New Roman" w:cs="Times New Roman"/>
          <w:sz w:val="20"/>
          <w:szCs w:val="20"/>
          <w:lang w:val="uk-UA" w:eastAsia="ru-RU"/>
        </w:rPr>
        <w:t>млн</w:t>
      </w:r>
      <w:proofErr w:type="spellEnd"/>
      <w:r w:rsidRPr="005914D6">
        <w:rPr>
          <w:rFonts w:ascii="Times New Roman" w:eastAsia="Times New Roman" w:hAnsi="Times New Roman" w:cs="Times New Roman"/>
          <w:sz w:val="20"/>
          <w:szCs w:val="20"/>
          <w:lang w:val="uk-UA" w:eastAsia="ru-RU"/>
        </w:rPr>
        <w:t xml:space="preserve"> гривень.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F8138E" w:rsidRDefault="005914D6" w:rsidP="00F8138E">
      <w:pPr>
        <w:rPr>
          <w:rFonts w:ascii="Times New Roman" w:hAnsi="Times New Roman" w:cs="Times New Roman"/>
          <w:b/>
          <w:sz w:val="20"/>
          <w:szCs w:val="20"/>
          <w:lang w:val="uk-UA"/>
        </w:rPr>
      </w:pPr>
      <w:r w:rsidRPr="00F8138E">
        <w:rPr>
          <w:rFonts w:ascii="Times New Roman" w:hAnsi="Times New Roman" w:cs="Times New Roman"/>
          <w:b/>
          <w:sz w:val="20"/>
          <w:szCs w:val="20"/>
          <w:lang w:val="uk-UA"/>
        </w:rPr>
        <w:t xml:space="preserve">На Дніпропетровщині надходження єдиного внеску перевищили минулорічний показник на 580,8 </w:t>
      </w:r>
      <w:proofErr w:type="spellStart"/>
      <w:r w:rsidRPr="00F8138E">
        <w:rPr>
          <w:rFonts w:ascii="Times New Roman" w:hAnsi="Times New Roman" w:cs="Times New Roman"/>
          <w:b/>
          <w:sz w:val="20"/>
          <w:szCs w:val="20"/>
          <w:lang w:val="uk-UA"/>
        </w:rPr>
        <w:t>млн</w:t>
      </w:r>
      <w:proofErr w:type="spellEnd"/>
      <w:r w:rsidRPr="00F8138E">
        <w:rPr>
          <w:rFonts w:ascii="Times New Roman" w:hAnsi="Times New Roman" w:cs="Times New Roman"/>
          <w:b/>
          <w:sz w:val="20"/>
          <w:szCs w:val="20"/>
          <w:lang w:val="uk-UA"/>
        </w:rPr>
        <w:t xml:space="preserve"> гривень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Головним управлінням ДПС у Дніпропетровській області з початку 2020 року забезпечено надходження єдиного внеску на загальнообов’язкове державне соціальне страхування (далі – єдиний внесок) на рівні 13 </w:t>
      </w:r>
      <w:proofErr w:type="spellStart"/>
      <w:r w:rsidRPr="005914D6">
        <w:rPr>
          <w:sz w:val="20"/>
          <w:szCs w:val="20"/>
          <w:lang w:val="uk-UA"/>
        </w:rPr>
        <w:t>млрд</w:t>
      </w:r>
      <w:proofErr w:type="spellEnd"/>
      <w:r w:rsidRPr="005914D6">
        <w:rPr>
          <w:sz w:val="20"/>
          <w:szCs w:val="20"/>
          <w:lang w:val="uk-UA"/>
        </w:rPr>
        <w:t xml:space="preserve"> 643,7 </w:t>
      </w:r>
      <w:proofErr w:type="spellStart"/>
      <w:r w:rsidRPr="005914D6">
        <w:rPr>
          <w:sz w:val="20"/>
          <w:szCs w:val="20"/>
          <w:lang w:val="uk-UA"/>
        </w:rPr>
        <w:t>млн</w:t>
      </w:r>
      <w:proofErr w:type="spellEnd"/>
      <w:r w:rsidRPr="005914D6">
        <w:rPr>
          <w:sz w:val="20"/>
          <w:szCs w:val="20"/>
          <w:lang w:val="uk-UA"/>
        </w:rPr>
        <w:t xml:space="preserve"> гривень. Цьогорічний показник перевищує минулорічну суму сплати єдиного внеску за аналогічний період на 580,8 </w:t>
      </w:r>
      <w:proofErr w:type="spellStart"/>
      <w:r w:rsidRPr="005914D6">
        <w:rPr>
          <w:sz w:val="20"/>
          <w:szCs w:val="20"/>
          <w:lang w:val="uk-UA"/>
        </w:rPr>
        <w:t>млн</w:t>
      </w:r>
      <w:proofErr w:type="spellEnd"/>
      <w:r w:rsidRPr="005914D6">
        <w:rPr>
          <w:sz w:val="20"/>
          <w:szCs w:val="20"/>
          <w:lang w:val="uk-UA"/>
        </w:rPr>
        <w:t xml:space="preserve"> </w:t>
      </w:r>
      <w:proofErr w:type="spellStart"/>
      <w:r w:rsidRPr="005914D6">
        <w:rPr>
          <w:sz w:val="20"/>
          <w:szCs w:val="20"/>
          <w:lang w:val="uk-UA"/>
        </w:rPr>
        <w:t>грн</w:t>
      </w:r>
      <w:proofErr w:type="spellEnd"/>
      <w:r w:rsidRPr="005914D6">
        <w:rPr>
          <w:sz w:val="20"/>
          <w:szCs w:val="20"/>
          <w:lang w:val="uk-UA"/>
        </w:rPr>
        <w:t xml:space="preserve"> або на 4,4 %. Про це повідомила </w:t>
      </w:r>
      <w:proofErr w:type="spellStart"/>
      <w:r w:rsidRPr="005914D6">
        <w:rPr>
          <w:sz w:val="20"/>
          <w:szCs w:val="20"/>
          <w:lang w:val="uk-UA"/>
        </w:rPr>
        <w:t>в.о</w:t>
      </w:r>
      <w:proofErr w:type="spellEnd"/>
      <w:r w:rsidRPr="005914D6">
        <w:rPr>
          <w:sz w:val="20"/>
          <w:szCs w:val="20"/>
          <w:lang w:val="uk-UA"/>
        </w:rPr>
        <w:t xml:space="preserve">. заступника начальника ГУ ДПС у Дніпропетровській області Ольга Мазур.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«Варто відзначити, що такий ріст – результат комплексу заходів, що втілюються представниками усіх гілок влади та контролюючими органами у напрямку легалізації праці. Спілкуючись з працедавцями – порушниками, фахівці ДПС  вважають, що норми закону у сфері оплати праці мають  винятковий пріоритет. Тож, легальний ринок праці – це стабільні надходження до бюджетів та гарантоване соціальне і пенсійне забезпечення», – зазначила Ольга Мазур.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8" w:tgtFrame="_blank" w:history="1">
        <w:r w:rsidRPr="005914D6">
          <w:rPr>
            <w:rStyle w:val="a4"/>
            <w:sz w:val="20"/>
            <w:szCs w:val="20"/>
            <w:lang w:val="uk-UA"/>
          </w:rPr>
          <w:t>https://t.me/tax_gov_ua</w:t>
        </w:r>
      </w:hyperlink>
      <w:r w:rsidRPr="005914D6">
        <w:rPr>
          <w:sz w:val="20"/>
          <w:szCs w:val="20"/>
          <w:lang w:val="uk-UA"/>
        </w:rPr>
        <w:t xml:space="preserve"> </w:t>
      </w:r>
    </w:p>
    <w:p w:rsidR="00F8138E" w:rsidRPr="005914D6" w:rsidRDefault="00F8138E"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Яка сума нарахованого доходу відображається у рядку «Військовий збір» податкового розрахунку за ф. № 1ДФ? </w:t>
      </w:r>
    </w:p>
    <w:p w:rsidR="005914D6" w:rsidRPr="005914D6" w:rsidRDefault="00F8138E" w:rsidP="005914D6">
      <w:pPr>
        <w:pStyle w:val="a3"/>
        <w:spacing w:before="0" w:beforeAutospacing="0" w:after="0" w:afterAutospacing="0"/>
        <w:jc w:val="both"/>
        <w:rPr>
          <w:sz w:val="20"/>
          <w:szCs w:val="20"/>
          <w:lang w:val="uk-UA"/>
        </w:rPr>
      </w:pPr>
      <w:r>
        <w:rPr>
          <w:sz w:val="20"/>
          <w:szCs w:val="20"/>
          <w:lang w:val="uk-UA"/>
        </w:rPr>
        <w:t>Н</w:t>
      </w:r>
      <w:r w:rsidR="005914D6" w:rsidRPr="005914D6">
        <w:rPr>
          <w:sz w:val="20"/>
          <w:szCs w:val="20"/>
          <w:lang w:val="uk-UA"/>
        </w:rPr>
        <w:t>агадує</w:t>
      </w:r>
      <w:r>
        <w:rPr>
          <w:sz w:val="20"/>
          <w:szCs w:val="20"/>
          <w:lang w:val="uk-UA"/>
        </w:rPr>
        <w:t>мо</w:t>
      </w:r>
      <w:r w:rsidR="005914D6" w:rsidRPr="005914D6">
        <w:rPr>
          <w:sz w:val="20"/>
          <w:szCs w:val="20"/>
          <w:lang w:val="uk-UA"/>
        </w:rPr>
        <w:t xml:space="preserve">, що порядок відображення відомостей у розділі II </w:t>
      </w:r>
      <w:r w:rsidR="005914D6" w:rsidRPr="005914D6">
        <w:rPr>
          <w:rStyle w:val="a8"/>
          <w:sz w:val="20"/>
          <w:szCs w:val="20"/>
          <w:lang w:val="uk-UA"/>
        </w:rPr>
        <w:t>«Оподаткування процентів, виграшів (призів) у лотерею та військовий збір»</w:t>
      </w:r>
      <w:r w:rsidR="005914D6" w:rsidRPr="005914D6">
        <w:rPr>
          <w:sz w:val="20"/>
          <w:szCs w:val="20"/>
          <w:lang w:val="uk-UA"/>
        </w:rPr>
        <w:t xml:space="preserve"> податкового розрахунку за формою № 1ДФ визначено п. 3.11 Порядку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затвердженого наказом Міністерства фінансів України від 13.01.2015 № 4 із змінами, зокрема: у рядку </w:t>
      </w:r>
      <w:r w:rsidR="005914D6" w:rsidRPr="005914D6">
        <w:rPr>
          <w:rStyle w:val="a8"/>
          <w:sz w:val="20"/>
          <w:szCs w:val="20"/>
          <w:lang w:val="uk-UA"/>
        </w:rPr>
        <w:t>«Військовий збір»</w:t>
      </w:r>
      <w:r w:rsidR="005914D6" w:rsidRPr="005914D6">
        <w:rPr>
          <w:sz w:val="20"/>
          <w:szCs w:val="20"/>
          <w:lang w:val="uk-UA"/>
        </w:rPr>
        <w:t xml:space="preserve"> загальна сума нарахованого доходу, загальна сума виплаченого доходу, загальна сума нарахованого військового збору та загальна сума перерахованого до бюджету військового збору відображаються у грошовій формі, вираженій у національній валюті (у гривнях з копійками). Відомості про фізичну особу – платника податку на доходи фізичних осіб, якій нараховані доходи, з яких утримується військовий збір, не зазначаються.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19" w:tgtFrame="_blank" w:history="1">
        <w:r w:rsidRPr="005914D6">
          <w:rPr>
            <w:rStyle w:val="a4"/>
            <w:sz w:val="20"/>
            <w:szCs w:val="20"/>
            <w:lang w:val="uk-UA"/>
          </w:rPr>
          <w:t>https://t.me/tax_gov_ua</w:t>
        </w:r>
      </w:hyperlink>
      <w:r w:rsidRPr="005914D6">
        <w:rPr>
          <w:sz w:val="20"/>
          <w:szCs w:val="20"/>
          <w:lang w:val="uk-UA"/>
        </w:rPr>
        <w:t xml:space="preserve"> </w:t>
      </w:r>
    </w:p>
    <w:p w:rsidR="00494230" w:rsidRPr="005914D6" w:rsidRDefault="00494230"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Повторне (дистанційне) формування сертифікатів за електронним запитом можна здійснити </w:t>
      </w:r>
      <w:proofErr w:type="spellStart"/>
      <w:r w:rsidRPr="005914D6">
        <w:rPr>
          <w:sz w:val="20"/>
          <w:szCs w:val="20"/>
          <w:lang w:val="uk-UA"/>
        </w:rPr>
        <w:t>онлайн</w:t>
      </w:r>
      <w:proofErr w:type="spellEnd"/>
      <w:r w:rsidRPr="005914D6">
        <w:rPr>
          <w:sz w:val="20"/>
          <w:szCs w:val="20"/>
          <w:lang w:val="uk-UA"/>
        </w:rPr>
        <w:t xml:space="preserve"> </w:t>
      </w:r>
    </w:p>
    <w:p w:rsidR="005914D6" w:rsidRPr="005914D6" w:rsidRDefault="00494230" w:rsidP="005914D6">
      <w:pPr>
        <w:pStyle w:val="a3"/>
        <w:spacing w:before="0" w:beforeAutospacing="0" w:after="0" w:afterAutospacing="0"/>
        <w:jc w:val="both"/>
        <w:rPr>
          <w:sz w:val="20"/>
          <w:szCs w:val="20"/>
          <w:lang w:val="uk-UA"/>
        </w:rPr>
      </w:pPr>
      <w:r>
        <w:rPr>
          <w:sz w:val="20"/>
          <w:szCs w:val="20"/>
          <w:lang w:val="uk-UA"/>
        </w:rPr>
        <w:t>І</w:t>
      </w:r>
      <w:r w:rsidR="005914D6" w:rsidRPr="005914D6">
        <w:rPr>
          <w:sz w:val="20"/>
          <w:szCs w:val="20"/>
          <w:lang w:val="uk-UA"/>
        </w:rPr>
        <w:t>нформує</w:t>
      </w:r>
      <w:r>
        <w:rPr>
          <w:sz w:val="20"/>
          <w:szCs w:val="20"/>
          <w:lang w:val="uk-UA"/>
        </w:rPr>
        <w:t>мо</w:t>
      </w:r>
      <w:r w:rsidR="005914D6" w:rsidRPr="005914D6">
        <w:rPr>
          <w:sz w:val="20"/>
          <w:szCs w:val="20"/>
          <w:lang w:val="uk-UA"/>
        </w:rPr>
        <w:t xml:space="preserve">, що детальну інформацію стосовно повторного (дистанційного) формування сертифікатів за електронним запитом розміщено на офіційному інформаційному ресурсі Кваліфікованого надавача електронних довірчих послуг </w:t>
      </w:r>
      <w:proofErr w:type="spellStart"/>
      <w:r w:rsidR="005914D6" w:rsidRPr="005914D6">
        <w:rPr>
          <w:sz w:val="20"/>
          <w:szCs w:val="20"/>
          <w:lang w:val="uk-UA"/>
        </w:rPr>
        <w:t>ІДД</w:t>
      </w:r>
      <w:proofErr w:type="spellEnd"/>
      <w:r w:rsidR="005914D6" w:rsidRPr="005914D6">
        <w:rPr>
          <w:sz w:val="20"/>
          <w:szCs w:val="20"/>
          <w:lang w:val="uk-UA"/>
        </w:rPr>
        <w:t xml:space="preserve"> ДПС (далі – КН ЕДП </w:t>
      </w:r>
      <w:proofErr w:type="spellStart"/>
      <w:r w:rsidR="005914D6" w:rsidRPr="005914D6">
        <w:rPr>
          <w:sz w:val="20"/>
          <w:szCs w:val="20"/>
          <w:lang w:val="uk-UA"/>
        </w:rPr>
        <w:t>ІДД</w:t>
      </w:r>
      <w:proofErr w:type="spellEnd"/>
      <w:r w:rsidR="005914D6" w:rsidRPr="005914D6">
        <w:rPr>
          <w:sz w:val="20"/>
          <w:szCs w:val="20"/>
          <w:lang w:val="uk-UA"/>
        </w:rPr>
        <w:t xml:space="preserve"> ДПС) (</w:t>
      </w:r>
      <w:hyperlink r:id="rId20" w:history="1">
        <w:r w:rsidR="005914D6" w:rsidRPr="005914D6">
          <w:rPr>
            <w:rStyle w:val="a4"/>
            <w:sz w:val="20"/>
            <w:szCs w:val="20"/>
            <w:lang w:val="uk-UA"/>
          </w:rPr>
          <w:t>https://acskidd.gov.ua</w:t>
        </w:r>
      </w:hyperlink>
      <w:r w:rsidR="005914D6"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Повторне (дистанційне) формування сертифікатів за електронним запитом можна здійснити </w:t>
      </w:r>
      <w:proofErr w:type="spellStart"/>
      <w:r w:rsidRPr="005914D6">
        <w:rPr>
          <w:sz w:val="20"/>
          <w:szCs w:val="20"/>
          <w:lang w:val="uk-UA"/>
        </w:rPr>
        <w:t>онлайн</w:t>
      </w:r>
      <w:proofErr w:type="spellEnd"/>
      <w:r w:rsidRPr="005914D6">
        <w:rPr>
          <w:sz w:val="20"/>
          <w:szCs w:val="20"/>
          <w:lang w:val="uk-UA"/>
        </w:rPr>
        <w:t xml:space="preserve"> на офіційному інформаційному ресурсі КН ЕДП </w:t>
      </w:r>
      <w:proofErr w:type="spellStart"/>
      <w:r w:rsidRPr="005914D6">
        <w:rPr>
          <w:sz w:val="20"/>
          <w:szCs w:val="20"/>
          <w:lang w:val="uk-UA"/>
        </w:rPr>
        <w:t>ІДД</w:t>
      </w:r>
      <w:proofErr w:type="spellEnd"/>
      <w:r w:rsidRPr="005914D6">
        <w:rPr>
          <w:sz w:val="20"/>
          <w:szCs w:val="20"/>
          <w:lang w:val="uk-UA"/>
        </w:rPr>
        <w:t xml:space="preserve"> ДПС за посиланням: Головна/«Повторне (дистанційне) формування сертифікатів за електронним запитом»/ On-</w:t>
      </w:r>
      <w:proofErr w:type="spellStart"/>
      <w:r w:rsidRPr="005914D6">
        <w:rPr>
          <w:sz w:val="20"/>
          <w:szCs w:val="20"/>
          <w:lang w:val="uk-UA"/>
        </w:rPr>
        <w:t>line</w:t>
      </w:r>
      <w:proofErr w:type="spellEnd"/>
      <w:r w:rsidRPr="005914D6">
        <w:rPr>
          <w:sz w:val="20"/>
          <w:szCs w:val="20"/>
          <w:lang w:val="uk-UA"/>
        </w:rPr>
        <w:t xml:space="preserve"> (</w:t>
      </w:r>
      <w:hyperlink r:id="rId21" w:history="1">
        <w:r w:rsidRPr="005914D6">
          <w:rPr>
            <w:rStyle w:val="a4"/>
            <w:sz w:val="20"/>
            <w:szCs w:val="20"/>
            <w:lang w:val="uk-UA"/>
          </w:rPr>
          <w:t>https://acskidd.gov.ua/manage-certificates</w:t>
        </w:r>
      </w:hyperlink>
      <w:r w:rsidRPr="005914D6">
        <w:rPr>
          <w:sz w:val="20"/>
          <w:szCs w:val="20"/>
          <w:lang w:val="uk-UA"/>
        </w:rPr>
        <w:t xml:space="preserve">) або за допомогою програмного забезпечення «ІІТ Користувач ЦСК-1».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Для початку використання сервісу повторного (дистанційного) формування сертифікатів за електронним запитом за допомогою програмного забезпечення «ІІТ Користувач ЦСК-1» платнику необхідно встановити актуальну версію безкоштовного програмного забезпечення «ІІТ Користувач ЦСК-1», яка доступна для завантаження за посиланням: </w:t>
      </w:r>
      <w:r w:rsidRPr="005914D6">
        <w:rPr>
          <w:rStyle w:val="a8"/>
          <w:sz w:val="20"/>
          <w:szCs w:val="20"/>
          <w:lang w:val="uk-UA"/>
        </w:rPr>
        <w:t>Головна/«Повторне (дистанційне) формування сертифікатів за електронним запитом»/«За допомогою Користувача ЦСК»</w:t>
      </w:r>
      <w:r w:rsidRPr="005914D6">
        <w:rPr>
          <w:sz w:val="20"/>
          <w:szCs w:val="20"/>
          <w:lang w:val="uk-UA"/>
        </w:rPr>
        <w:t xml:space="preserve"> або </w:t>
      </w:r>
      <w:r w:rsidRPr="005914D6">
        <w:rPr>
          <w:rStyle w:val="a8"/>
          <w:sz w:val="20"/>
          <w:szCs w:val="20"/>
          <w:lang w:val="uk-UA"/>
        </w:rPr>
        <w:t xml:space="preserve">Головна/«Отримання електронних довірчих послуг, у тому числі для програмних РРО»/«Програмне </w:t>
      </w:r>
      <w:r w:rsidRPr="005914D6">
        <w:rPr>
          <w:rStyle w:val="a8"/>
          <w:sz w:val="20"/>
          <w:szCs w:val="20"/>
          <w:lang w:val="uk-UA"/>
        </w:rPr>
        <w:lastRenderedPageBreak/>
        <w:t>забезпечення»/«Засіб кваліфікованого електронного підпису чи печатки – «ІІТ Користувач ЦСК-1»/«Інсталяційний пакет «ІІТ Користувач       ЦСК-1.3.1 (версія:1.3.1.46)»</w:t>
      </w:r>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Додатково усім клієнтам КН ЕДП </w:t>
      </w:r>
      <w:proofErr w:type="spellStart"/>
      <w:r w:rsidRPr="005914D6">
        <w:rPr>
          <w:sz w:val="20"/>
          <w:szCs w:val="20"/>
          <w:lang w:val="uk-UA"/>
        </w:rPr>
        <w:t>ІДД</w:t>
      </w:r>
      <w:proofErr w:type="spellEnd"/>
      <w:r w:rsidRPr="005914D6">
        <w:rPr>
          <w:sz w:val="20"/>
          <w:szCs w:val="20"/>
          <w:lang w:val="uk-UA"/>
        </w:rPr>
        <w:t xml:space="preserve"> ДПС рекомендовано переглянути </w:t>
      </w:r>
      <w:proofErr w:type="spellStart"/>
      <w:r w:rsidRPr="005914D6">
        <w:rPr>
          <w:sz w:val="20"/>
          <w:szCs w:val="20"/>
          <w:lang w:val="uk-UA"/>
        </w:rPr>
        <w:t>Відеоінструкцію</w:t>
      </w:r>
      <w:proofErr w:type="spellEnd"/>
      <w:r w:rsidRPr="005914D6">
        <w:rPr>
          <w:sz w:val="20"/>
          <w:szCs w:val="20"/>
          <w:lang w:val="uk-UA"/>
        </w:rPr>
        <w:t xml:space="preserve"> по повторному формуванню сертифіката за електронним запитом (</w:t>
      </w:r>
      <w:hyperlink r:id="rId22" w:history="1">
        <w:r w:rsidRPr="005914D6">
          <w:rPr>
            <w:rStyle w:val="a4"/>
            <w:sz w:val="20"/>
            <w:szCs w:val="20"/>
            <w:lang w:val="uk-UA"/>
          </w:rPr>
          <w:t>https://www.youtube.com/watch?v=abVjwGuWZSU</w:t>
        </w:r>
      </w:hyperlink>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Також детальний опис по роботі сервісу та перелік можливих помилок розміщено у відповідних розділах Настанови користувача.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Слід зазначити, що скористатися сервісом повторного (дистанційного) формування сертифікатів зможуть лише ті користувачі, які мають: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чинні сертифікати (наприклад, до закінчення строку чинності сертифікатів залишилось декілька днів);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незмінні реєстраційні дані (ПІБ, адреса реєстрації місця проживання, код ЄДРПОУ організації тощо);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особистий ключ доступний лише користувачу та не є скомпрометованим.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23" w:tgtFrame="_blank" w:history="1">
        <w:r w:rsidRPr="005914D6">
          <w:rPr>
            <w:rStyle w:val="a4"/>
            <w:sz w:val="20"/>
            <w:szCs w:val="20"/>
            <w:lang w:val="uk-UA"/>
          </w:rPr>
          <w:t>https://t.me/tax_gov_ua</w:t>
        </w:r>
      </w:hyperlink>
      <w:r w:rsidRPr="005914D6">
        <w:rPr>
          <w:sz w:val="20"/>
          <w:szCs w:val="20"/>
          <w:lang w:val="uk-UA"/>
        </w:rPr>
        <w:t xml:space="preserve"> </w:t>
      </w:r>
    </w:p>
    <w:p w:rsidR="00494230" w:rsidRPr="005914D6" w:rsidRDefault="00494230"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Про порядок перерахування до бюджету сум недоплати у разі подання уточнюючого розрахунку до податкової декларації з ПДВ </w:t>
      </w:r>
    </w:p>
    <w:p w:rsidR="005914D6" w:rsidRPr="005914D6" w:rsidRDefault="00494230" w:rsidP="005914D6">
      <w:pPr>
        <w:pStyle w:val="a3"/>
        <w:spacing w:before="0" w:beforeAutospacing="0" w:after="0" w:afterAutospacing="0"/>
        <w:jc w:val="both"/>
        <w:rPr>
          <w:sz w:val="20"/>
          <w:szCs w:val="20"/>
          <w:lang w:val="uk-UA"/>
        </w:rPr>
      </w:pPr>
      <w:r>
        <w:rPr>
          <w:sz w:val="20"/>
          <w:szCs w:val="20"/>
          <w:lang w:val="uk-UA"/>
        </w:rPr>
        <w:t>В</w:t>
      </w:r>
      <w:r w:rsidR="005914D6" w:rsidRPr="005914D6">
        <w:rPr>
          <w:sz w:val="20"/>
          <w:szCs w:val="20"/>
          <w:lang w:val="uk-UA"/>
        </w:rPr>
        <w:t>ідповідно до ст. 200</w:t>
      </w:r>
      <w:r w:rsidR="005914D6" w:rsidRPr="005914D6">
        <w:rPr>
          <w:sz w:val="20"/>
          <w:szCs w:val="20"/>
          <w:vertAlign w:val="superscript"/>
          <w:lang w:val="uk-UA"/>
        </w:rPr>
        <w:t>1</w:t>
      </w:r>
      <w:r w:rsidR="005914D6" w:rsidRPr="005914D6">
        <w:rPr>
          <w:sz w:val="20"/>
          <w:szCs w:val="20"/>
          <w:lang w:val="uk-UA"/>
        </w:rPr>
        <w:t>.2 ст. 200</w:t>
      </w:r>
      <w:r w:rsidR="005914D6" w:rsidRPr="005914D6">
        <w:rPr>
          <w:sz w:val="20"/>
          <w:szCs w:val="20"/>
          <w:vertAlign w:val="superscript"/>
          <w:lang w:val="uk-UA"/>
        </w:rPr>
        <w:t>1</w:t>
      </w:r>
      <w:r w:rsidR="005914D6" w:rsidRPr="005914D6">
        <w:rPr>
          <w:sz w:val="20"/>
          <w:szCs w:val="20"/>
          <w:lang w:val="uk-UA"/>
        </w:rPr>
        <w:t xml:space="preserve"> Податкового кодексу України (далі – ПКУ) розрахунки з бюджетом у системі електронного адміністрування ПДВ здійснюються з рахунків, відкритих платникам податків в системі електронного адміністрування, </w:t>
      </w:r>
      <w:r w:rsidR="005914D6" w:rsidRPr="005914D6">
        <w:rPr>
          <w:rStyle w:val="a8"/>
          <w:sz w:val="20"/>
          <w:szCs w:val="20"/>
          <w:lang w:val="uk-UA"/>
        </w:rPr>
        <w:t>крім випадку, передбаченого абзацом другим п. 87.1 ст. 87 ПКУ</w:t>
      </w:r>
      <w:r w:rsidR="005914D6"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Механізм проведення розрахунків з бюджетом з використанням електронних рахунків визначено Порядком електронного адміністрування податку на додану вартість, затвердженого постановою Кабінету Міністрів України від 16 жовтня 2014 року № 569 із змінами і доповненнями (далі – Порядок № 569).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Зокрема п. 20 Порядку № 569 передбачено, що у разі подання платником податку уточнюючих розрахунків до податкових декларацій з ПДВ за попередні звітні (податкові) періоди, які передбачають збільшення податкових зобов’язань з ПДВ, що підлягають перерахуванню до бюджету, для перерахування таких зобов’язань до бюджету ДПС не пізніше наступного робочого дня подання таких уточнюючих розрахунків надсилає Державній казначейській службі України (далі – Казначейство) реєстр платників ПДВ, в якому зазначаються, зокрема суми ПДВ, що підлягають перерахуванню до бюджету.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На підставі такого реєстру Казначейство перераховує суми ПДВ до бюджету.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При цьому, п. 25 Порядку № 569 передбачено, що сплата податкових зобов’язань, визначених контролюючим органом відповідно до підпунктів 54.3.1, 54.3.2, 54.3.5, 54.3.6 п. 54.3 ст. 54 ПКУ, та сплата передбачених ПКУ штрафних санкцій і пені здійснюються платником ПДВ з поточного рахунка до відповідного бюджету.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Отже, у разі подання уточнюючих розрахунків до податкової звітності з ПДВ, які передбачають збільшення податкових зобов’язань з ПДВ, платники ПДВ повинні необхідну суму, що підлягає перерахуванню до бюджету, сплатити на електронний рахунок.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При цьому, сума штрафних санкцій та пені у разі подання уточнюючого розрахунку до податкової декларації з ПДВ, податкові зобов’язання, визначені контролюючим органом відповідно до підпунктів 54.3.1, 54.3.2, 54.3.5, 54.3.6 п. 54.3 ст. 54 ПКУ, а також нарахована контролюючим органом штрафна санкція та пеня сплачуються до бюджету з поточного рахунка.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24" w:tgtFrame="_blank" w:history="1">
        <w:r w:rsidRPr="005914D6">
          <w:rPr>
            <w:rStyle w:val="a4"/>
            <w:sz w:val="20"/>
            <w:szCs w:val="20"/>
            <w:lang w:val="uk-UA"/>
          </w:rPr>
          <w:t>https://t.me/tax_gov_ua</w:t>
        </w:r>
      </w:hyperlink>
      <w:r w:rsidRPr="005914D6">
        <w:rPr>
          <w:sz w:val="20"/>
          <w:szCs w:val="20"/>
          <w:lang w:val="uk-UA"/>
        </w:rPr>
        <w:t xml:space="preserve"> </w:t>
      </w:r>
    </w:p>
    <w:p w:rsidR="00494230" w:rsidRPr="005914D6" w:rsidRDefault="00494230"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До уваги платників податку на прибуток!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внесено зміни до </w:t>
      </w:r>
      <w:proofErr w:type="spellStart"/>
      <w:r w:rsidRPr="005914D6">
        <w:rPr>
          <w:sz w:val="20"/>
          <w:szCs w:val="20"/>
          <w:lang w:val="uk-UA"/>
        </w:rPr>
        <w:t>п.п</w:t>
      </w:r>
      <w:proofErr w:type="spellEnd"/>
      <w:r w:rsidRPr="005914D6">
        <w:rPr>
          <w:sz w:val="20"/>
          <w:szCs w:val="20"/>
          <w:lang w:val="uk-UA"/>
        </w:rPr>
        <w:t xml:space="preserve">. 134.1.1 п. 134.1 ст. 134 Податкового кодексу України (далі – ПКУ) в частині підвищення вартісного критерію річного доходу для незастосування різниць з 20 до 40 </w:t>
      </w:r>
      <w:proofErr w:type="spellStart"/>
      <w:r w:rsidRPr="005914D6">
        <w:rPr>
          <w:sz w:val="20"/>
          <w:szCs w:val="20"/>
          <w:lang w:val="uk-UA"/>
        </w:rPr>
        <w:t>млн</w:t>
      </w:r>
      <w:proofErr w:type="spellEnd"/>
      <w:r w:rsidRPr="005914D6">
        <w:rPr>
          <w:sz w:val="20"/>
          <w:szCs w:val="20"/>
          <w:lang w:val="uk-UA"/>
        </w:rPr>
        <w:t xml:space="preserve"> </w:t>
      </w:r>
      <w:proofErr w:type="spellStart"/>
      <w:r w:rsidRPr="005914D6">
        <w:rPr>
          <w:sz w:val="20"/>
          <w:szCs w:val="20"/>
          <w:lang w:val="uk-UA"/>
        </w:rPr>
        <w:t>грн</w:t>
      </w:r>
      <w:proofErr w:type="spellEnd"/>
      <w:r w:rsidRPr="005914D6">
        <w:rPr>
          <w:sz w:val="20"/>
          <w:szCs w:val="20"/>
          <w:lang w:val="uk-UA"/>
        </w:rPr>
        <w:t xml:space="preserve"> (набули чинності 23.05.2020) та до п. 137.5 ст. 137 ПКУ у частині підвищення вартісного критерію річного доходу для застосування річного звітного періоду (набудуть чинності з 01.01.2021).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Таким чином, платники податку на прибуток підприємств, у яких річний дохід за 2020 звітний рік не перевищить 40 </w:t>
      </w:r>
      <w:proofErr w:type="spellStart"/>
      <w:r w:rsidRPr="005914D6">
        <w:rPr>
          <w:sz w:val="20"/>
          <w:szCs w:val="20"/>
          <w:lang w:val="uk-UA"/>
        </w:rPr>
        <w:t>млн</w:t>
      </w:r>
      <w:proofErr w:type="spellEnd"/>
      <w:r w:rsidRPr="005914D6">
        <w:rPr>
          <w:sz w:val="20"/>
          <w:szCs w:val="20"/>
          <w:lang w:val="uk-UA"/>
        </w:rPr>
        <w:t xml:space="preserve"> </w:t>
      </w:r>
      <w:proofErr w:type="spellStart"/>
      <w:r w:rsidRPr="005914D6">
        <w:rPr>
          <w:sz w:val="20"/>
          <w:szCs w:val="20"/>
          <w:lang w:val="uk-UA"/>
        </w:rPr>
        <w:t>грн</w:t>
      </w:r>
      <w:proofErr w:type="spellEnd"/>
      <w:r w:rsidRPr="005914D6">
        <w:rPr>
          <w:sz w:val="20"/>
          <w:szCs w:val="20"/>
          <w:lang w:val="uk-UA"/>
        </w:rPr>
        <w:t xml:space="preserve"> зможуть: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прийняти рішення про незастосування коригувань фінансового результату до оподаткування на усі різниці </w:t>
      </w:r>
      <w:r w:rsidRPr="005914D6">
        <w:rPr>
          <w:rStyle w:val="a8"/>
          <w:sz w:val="20"/>
          <w:szCs w:val="20"/>
          <w:lang w:val="uk-UA"/>
        </w:rPr>
        <w:t>(крім від’ємного значення об’єкта оподаткування минулих податкових (звітних) років)</w:t>
      </w:r>
      <w:r w:rsidRPr="005914D6">
        <w:rPr>
          <w:sz w:val="20"/>
          <w:szCs w:val="20"/>
          <w:lang w:val="uk-UA"/>
        </w:rPr>
        <w:t xml:space="preserve">, визначені відповідно до положень розділу  ІІІ ПКУ, у Податковій декларації з податку на прибуток підприємств за 2020 рік;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застосовувати у 2021 році річний податковий (звітний) період з податку на прибуток підприємств.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При цьому у 2020 році річний податковий (звітний) період з податку на прибуток підприємств застосовується платниками, у яких річний дохід за 2019 звітний рік не перевищує 20 </w:t>
      </w:r>
      <w:proofErr w:type="spellStart"/>
      <w:r w:rsidRPr="005914D6">
        <w:rPr>
          <w:sz w:val="20"/>
          <w:szCs w:val="20"/>
          <w:lang w:val="uk-UA"/>
        </w:rPr>
        <w:t>млн</w:t>
      </w:r>
      <w:proofErr w:type="spellEnd"/>
      <w:r w:rsidRPr="005914D6">
        <w:rPr>
          <w:sz w:val="20"/>
          <w:szCs w:val="20"/>
          <w:lang w:val="uk-UA"/>
        </w:rPr>
        <w:t xml:space="preserve"> гривень.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25" w:tgtFrame="_blank" w:history="1">
        <w:r w:rsidRPr="005914D6">
          <w:rPr>
            <w:rStyle w:val="a4"/>
            <w:sz w:val="20"/>
            <w:szCs w:val="20"/>
            <w:lang w:val="uk-UA"/>
          </w:rPr>
          <w:t>https://t.me/tax_gov_ua</w:t>
        </w:r>
      </w:hyperlink>
      <w:r w:rsidRPr="005914D6">
        <w:rPr>
          <w:sz w:val="20"/>
          <w:szCs w:val="20"/>
          <w:lang w:val="uk-UA"/>
        </w:rPr>
        <w:t xml:space="preserve"> </w:t>
      </w:r>
    </w:p>
    <w:p w:rsidR="00494230" w:rsidRPr="005914D6" w:rsidRDefault="00494230"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Витрати, понесені </w:t>
      </w:r>
      <w:proofErr w:type="spellStart"/>
      <w:r w:rsidRPr="005914D6">
        <w:rPr>
          <w:sz w:val="20"/>
          <w:szCs w:val="20"/>
          <w:lang w:val="uk-UA"/>
        </w:rPr>
        <w:t>фізособою</w:t>
      </w:r>
      <w:proofErr w:type="spellEnd"/>
      <w:r w:rsidRPr="005914D6">
        <w:rPr>
          <w:sz w:val="20"/>
          <w:szCs w:val="20"/>
          <w:lang w:val="uk-UA"/>
        </w:rPr>
        <w:t xml:space="preserve"> на лікування за наслідками 2019 року: чи включаються до складу податкової знижки? </w:t>
      </w:r>
    </w:p>
    <w:p w:rsidR="005914D6" w:rsidRPr="005914D6" w:rsidRDefault="00494230" w:rsidP="005914D6">
      <w:pPr>
        <w:pStyle w:val="a3"/>
        <w:spacing w:before="0" w:beforeAutospacing="0" w:after="0" w:afterAutospacing="0"/>
        <w:jc w:val="both"/>
        <w:rPr>
          <w:sz w:val="20"/>
          <w:szCs w:val="20"/>
          <w:lang w:val="uk-UA"/>
        </w:rPr>
      </w:pPr>
      <w:r>
        <w:rPr>
          <w:sz w:val="20"/>
          <w:szCs w:val="20"/>
          <w:lang w:val="uk-UA"/>
        </w:rPr>
        <w:t>Н</w:t>
      </w:r>
      <w:r w:rsidR="005914D6" w:rsidRPr="005914D6">
        <w:rPr>
          <w:sz w:val="20"/>
          <w:szCs w:val="20"/>
          <w:lang w:val="uk-UA"/>
        </w:rPr>
        <w:t>агадує</w:t>
      </w:r>
      <w:r>
        <w:rPr>
          <w:sz w:val="20"/>
          <w:szCs w:val="20"/>
          <w:lang w:val="uk-UA"/>
        </w:rPr>
        <w:t>мо</w:t>
      </w:r>
      <w:r w:rsidR="005914D6" w:rsidRPr="005914D6">
        <w:rPr>
          <w:sz w:val="20"/>
          <w:szCs w:val="20"/>
          <w:lang w:val="uk-UA"/>
        </w:rPr>
        <w:t xml:space="preserve">, що до переліку витрат, дозволених до включення до податкової знижки відповідно до </w:t>
      </w:r>
      <w:proofErr w:type="spellStart"/>
      <w:r w:rsidR="005914D6" w:rsidRPr="005914D6">
        <w:rPr>
          <w:sz w:val="20"/>
          <w:szCs w:val="20"/>
          <w:lang w:val="uk-UA"/>
        </w:rPr>
        <w:t>п.п</w:t>
      </w:r>
      <w:proofErr w:type="spellEnd"/>
      <w:r w:rsidR="005914D6" w:rsidRPr="005914D6">
        <w:rPr>
          <w:sz w:val="20"/>
          <w:szCs w:val="20"/>
          <w:lang w:val="uk-UA"/>
        </w:rPr>
        <w:t xml:space="preserve">. 166.3.4 п. 166.3 ст. 166 Податкового кодексу України (далі – ПКУ), включається сума коштів, сплачених платником податку на доходи фізичних осіб (далі – ПДФО) на користь закладів охорони здоров’я для компенсації вартості платних послуг з лікування такого платника ПДФО або члена його сім’ї першого ступеня споріднення,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сума коштів, сплачених платником ПДФО, визнаного в установленому порядку особою з інвалідністю, на користь протезно-ортопедичних підприємств, реабілітаційних установ для компенсації вартості платних послуг з реабілітації, технічних та інших засобів реабілітації, наданих такому платнику ПДФО або його дитині з </w:t>
      </w:r>
      <w:r w:rsidR="005914D6" w:rsidRPr="005914D6">
        <w:rPr>
          <w:sz w:val="20"/>
          <w:szCs w:val="20"/>
          <w:lang w:val="uk-UA"/>
        </w:rPr>
        <w:lastRenderedPageBreak/>
        <w:t xml:space="preserve">інвалідністю у розмірах, що не перекриваються виплатами з фондів загальнообов’язкового державного соціального медичного страхування, </w:t>
      </w:r>
      <w:r w:rsidR="005914D6" w:rsidRPr="005914D6">
        <w:rPr>
          <w:rStyle w:val="a8"/>
          <w:sz w:val="20"/>
          <w:szCs w:val="20"/>
          <w:lang w:val="uk-UA"/>
        </w:rPr>
        <w:t>крім:</w:t>
      </w:r>
      <w:r w:rsidR="005914D6"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б) протезування зубів з використанням дорогоцінних металів, порцеляни та гальванопластики;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 абортів </w:t>
      </w:r>
      <w:r w:rsidRPr="005914D6">
        <w:rPr>
          <w:rStyle w:val="a8"/>
          <w:sz w:val="20"/>
          <w:szCs w:val="20"/>
          <w:lang w:val="uk-UA"/>
        </w:rPr>
        <w:t>(крім абортів, які проводяться за медичними показаннями або коли вагітність стала наслідком зґвалтування)</w:t>
      </w:r>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г) операцій із зміни статі;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ґ) лікування венеричних захворювань </w:t>
      </w:r>
      <w:r w:rsidRPr="005914D6">
        <w:rPr>
          <w:rStyle w:val="a8"/>
          <w:sz w:val="20"/>
          <w:szCs w:val="20"/>
          <w:lang w:val="uk-UA"/>
        </w:rPr>
        <w:t xml:space="preserve">(крім </w:t>
      </w:r>
      <w:proofErr w:type="spellStart"/>
      <w:r w:rsidRPr="005914D6">
        <w:rPr>
          <w:rStyle w:val="a8"/>
          <w:sz w:val="20"/>
          <w:szCs w:val="20"/>
          <w:lang w:val="uk-UA"/>
        </w:rPr>
        <w:t>СНІДу</w:t>
      </w:r>
      <w:proofErr w:type="spellEnd"/>
      <w:r w:rsidRPr="005914D6">
        <w:rPr>
          <w:rStyle w:val="a8"/>
          <w:sz w:val="20"/>
          <w:szCs w:val="20"/>
          <w:lang w:val="uk-UA"/>
        </w:rPr>
        <w:t xml:space="preserve"> та венеричних захворювань, причиною яких є побутове зараження або зґвалтування)</w:t>
      </w:r>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д) лікування тютюнової чи алкогольної залежності;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Міністрів України.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Пунктом 1 розділу ХІХ ПКУ встановлено, що </w:t>
      </w:r>
      <w:proofErr w:type="spellStart"/>
      <w:r w:rsidRPr="005914D6">
        <w:rPr>
          <w:sz w:val="20"/>
          <w:szCs w:val="20"/>
          <w:lang w:val="uk-UA"/>
        </w:rPr>
        <w:t>п.п</w:t>
      </w:r>
      <w:proofErr w:type="spellEnd"/>
      <w:r w:rsidRPr="005914D6">
        <w:rPr>
          <w:sz w:val="20"/>
          <w:szCs w:val="20"/>
          <w:lang w:val="uk-UA"/>
        </w:rPr>
        <w:t xml:space="preserve">. 166.3.4 п. 166.3 ст. 166 ПКУ набирає чинності з 01 січня року, наступного за роком, у якому набере чинність закон про загальнообов’язкове державне соціальне медичне страхування.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Станом на 01 січня 2020 року закон про загальнообов’язкове державне соціальне медичне страхування чинності не набрав, тому податкова знижка по витратах, понесених платником ПДФО на користь закладів охорони здоров’я для компенсації вартості платних послуг з лікування такого платника ПДФО або члена сім’ї першого ступеня споріднення (</w:t>
      </w:r>
      <w:proofErr w:type="spellStart"/>
      <w:r w:rsidRPr="005914D6">
        <w:rPr>
          <w:sz w:val="20"/>
          <w:szCs w:val="20"/>
          <w:lang w:val="uk-UA"/>
        </w:rPr>
        <w:t>п.п</w:t>
      </w:r>
      <w:proofErr w:type="spellEnd"/>
      <w:r w:rsidRPr="005914D6">
        <w:rPr>
          <w:sz w:val="20"/>
          <w:szCs w:val="20"/>
          <w:lang w:val="uk-UA"/>
        </w:rPr>
        <w:t xml:space="preserve">. 166.3.4 п. 166.3 ст. 166 ПКУ), за наслідками 2019 року платникам не надається.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Підписуйтеся на Telegram-канал Державної податкової служби України </w:t>
      </w:r>
      <w:hyperlink r:id="rId26"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jc w:val="left"/>
        <w:outlineLvl w:val="0"/>
        <w:rPr>
          <w:rFonts w:ascii="Times New Roman" w:eastAsia="Times New Roman" w:hAnsi="Times New Roman" w:cs="Times New Roman"/>
          <w:b/>
          <w:bCs/>
          <w:kern w:val="36"/>
          <w:sz w:val="20"/>
          <w:szCs w:val="20"/>
          <w:lang w:val="uk-UA" w:eastAsia="ru-RU"/>
        </w:rPr>
      </w:pPr>
      <w:r w:rsidRPr="005914D6">
        <w:rPr>
          <w:rFonts w:ascii="Times New Roman" w:eastAsia="Times New Roman" w:hAnsi="Times New Roman" w:cs="Times New Roman"/>
          <w:b/>
          <w:bCs/>
          <w:kern w:val="36"/>
          <w:sz w:val="20"/>
          <w:szCs w:val="20"/>
          <w:lang w:val="uk-UA" w:eastAsia="ru-RU"/>
        </w:rPr>
        <w:t xml:space="preserve">Михайло </w:t>
      </w:r>
      <w:proofErr w:type="spellStart"/>
      <w:r w:rsidRPr="005914D6">
        <w:rPr>
          <w:rFonts w:ascii="Times New Roman" w:eastAsia="Times New Roman" w:hAnsi="Times New Roman" w:cs="Times New Roman"/>
          <w:b/>
          <w:bCs/>
          <w:kern w:val="36"/>
          <w:sz w:val="20"/>
          <w:szCs w:val="20"/>
          <w:lang w:val="uk-UA" w:eastAsia="ru-RU"/>
        </w:rPr>
        <w:t>Тітарчук</w:t>
      </w:r>
      <w:proofErr w:type="spellEnd"/>
      <w:r w:rsidRPr="005914D6">
        <w:rPr>
          <w:rFonts w:ascii="Times New Roman" w:eastAsia="Times New Roman" w:hAnsi="Times New Roman" w:cs="Times New Roman"/>
          <w:b/>
          <w:bCs/>
          <w:kern w:val="36"/>
          <w:sz w:val="20"/>
          <w:szCs w:val="20"/>
          <w:lang w:val="uk-UA" w:eastAsia="ru-RU"/>
        </w:rPr>
        <w:t xml:space="preserve">: Наше завдання – упередити появу податкового боргу шляхом стимулювання платників до самостійної сплати зобов’язань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Роками панує тенденція лише зростання податкового боргу. Це свідчить про те, що підходи, які використовувались Державною податковою службою України раніше, втратили свою актуальність та потребують удосконалення. Про це розповів заступник Голови ДПС Михайло </w:t>
      </w:r>
      <w:proofErr w:type="spellStart"/>
      <w:r w:rsidRPr="005914D6">
        <w:rPr>
          <w:rFonts w:ascii="Times New Roman" w:eastAsia="Times New Roman" w:hAnsi="Times New Roman" w:cs="Times New Roman"/>
          <w:sz w:val="20"/>
          <w:szCs w:val="20"/>
          <w:lang w:val="uk-UA" w:eastAsia="ru-RU"/>
        </w:rPr>
        <w:t>Тітарчук</w:t>
      </w:r>
      <w:proofErr w:type="spellEnd"/>
      <w:r w:rsidRPr="005914D6">
        <w:rPr>
          <w:rFonts w:ascii="Times New Roman" w:eastAsia="Times New Roman" w:hAnsi="Times New Roman" w:cs="Times New Roman"/>
          <w:sz w:val="20"/>
          <w:szCs w:val="20"/>
          <w:lang w:val="uk-UA" w:eastAsia="ru-RU"/>
        </w:rPr>
        <w:t xml:space="preserve"> у своєму </w:t>
      </w:r>
      <w:proofErr w:type="spellStart"/>
      <w:r w:rsidRPr="005914D6">
        <w:rPr>
          <w:rFonts w:ascii="Times New Roman" w:eastAsia="Times New Roman" w:hAnsi="Times New Roman" w:cs="Times New Roman"/>
          <w:sz w:val="20"/>
          <w:szCs w:val="20"/>
          <w:lang w:val="uk-UA" w:eastAsia="ru-RU"/>
        </w:rPr>
        <w:t>блозі</w:t>
      </w:r>
      <w:proofErr w:type="spellEnd"/>
      <w:r w:rsidRPr="005914D6">
        <w:rPr>
          <w:rFonts w:ascii="Times New Roman" w:eastAsia="Times New Roman" w:hAnsi="Times New Roman" w:cs="Times New Roman"/>
          <w:sz w:val="20"/>
          <w:szCs w:val="20"/>
          <w:lang w:val="uk-UA" w:eastAsia="ru-RU"/>
        </w:rPr>
        <w:t xml:space="preserve"> в </w:t>
      </w:r>
      <w:proofErr w:type="spellStart"/>
      <w:r w:rsidRPr="005914D6">
        <w:rPr>
          <w:rFonts w:ascii="Times New Roman" w:eastAsia="Times New Roman" w:hAnsi="Times New Roman" w:cs="Times New Roman"/>
          <w:sz w:val="20"/>
          <w:szCs w:val="20"/>
          <w:lang w:val="uk-UA" w:eastAsia="ru-RU"/>
        </w:rPr>
        <w:t>інтернет-виданні</w:t>
      </w:r>
      <w:proofErr w:type="spellEnd"/>
      <w:r w:rsidRPr="005914D6">
        <w:rPr>
          <w:rFonts w:ascii="Times New Roman" w:eastAsia="Times New Roman" w:hAnsi="Times New Roman" w:cs="Times New Roman"/>
          <w:sz w:val="20"/>
          <w:szCs w:val="20"/>
          <w:lang w:val="uk-UA" w:eastAsia="ru-RU"/>
        </w:rPr>
        <w:t xml:space="preserve"> «</w:t>
      </w:r>
      <w:proofErr w:type="spellStart"/>
      <w:r w:rsidRPr="005914D6">
        <w:rPr>
          <w:rFonts w:ascii="Times New Roman" w:eastAsia="Times New Roman" w:hAnsi="Times New Roman" w:cs="Times New Roman"/>
          <w:sz w:val="20"/>
          <w:szCs w:val="20"/>
          <w:lang w:val="uk-UA" w:eastAsia="ru-RU"/>
        </w:rPr>
        <w:t>Ліга.Блоги</w:t>
      </w:r>
      <w:proofErr w:type="spellEnd"/>
      <w:r w:rsidRPr="005914D6">
        <w:rPr>
          <w:rFonts w:ascii="Times New Roman" w:eastAsia="Times New Roman" w:hAnsi="Times New Roman" w:cs="Times New Roman"/>
          <w:sz w:val="20"/>
          <w:szCs w:val="20"/>
          <w:lang w:val="uk-UA" w:eastAsia="ru-RU"/>
        </w:rPr>
        <w:t xml:space="preserve">».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За його словами, на сьогодні до зведеного бюджету не надійшло майже 122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гривень через несплату узгоджених платниками зобов’язань перед бюджетами. Для порівняння, практично видатки на ту ж суму в державному бюджеті 2020 року було заплановано витратити на оборону, або на охорону здоров’я.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«За період з початку 2020 року до 1 жовтня 2020 року податковий борг зменшився на 3,2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гривень. Така динаміка безумовно позитивна. Тим більше, що однією з основних причин появи таких боргів цього року стала пандемія </w:t>
      </w:r>
      <w:proofErr w:type="spellStart"/>
      <w:r w:rsidRPr="005914D6">
        <w:rPr>
          <w:rFonts w:ascii="Times New Roman" w:eastAsia="Times New Roman" w:hAnsi="Times New Roman" w:cs="Times New Roman"/>
          <w:sz w:val="20"/>
          <w:szCs w:val="20"/>
          <w:lang w:val="uk-UA" w:eastAsia="ru-RU"/>
        </w:rPr>
        <w:t>коронавірусу</w:t>
      </w:r>
      <w:proofErr w:type="spellEnd"/>
      <w:r w:rsidRPr="005914D6">
        <w:rPr>
          <w:rFonts w:ascii="Times New Roman" w:eastAsia="Times New Roman" w:hAnsi="Times New Roman" w:cs="Times New Roman"/>
          <w:sz w:val="20"/>
          <w:szCs w:val="20"/>
          <w:lang w:val="uk-UA" w:eastAsia="ru-RU"/>
        </w:rPr>
        <w:t xml:space="preserve">, яка торкнулась і України - за рахунок призупинення господарської діяльності в період дії жорсткого карантину», – розповів Михайло </w:t>
      </w:r>
      <w:proofErr w:type="spellStart"/>
      <w:r w:rsidRPr="005914D6">
        <w:rPr>
          <w:rFonts w:ascii="Times New Roman" w:eastAsia="Times New Roman" w:hAnsi="Times New Roman" w:cs="Times New Roman"/>
          <w:sz w:val="20"/>
          <w:szCs w:val="20"/>
          <w:lang w:val="uk-UA" w:eastAsia="ru-RU"/>
        </w:rPr>
        <w:t>Тітарчук</w:t>
      </w:r>
      <w:proofErr w:type="spellEnd"/>
      <w:r w:rsidRPr="005914D6">
        <w:rPr>
          <w:rFonts w:ascii="Times New Roman" w:eastAsia="Times New Roman" w:hAnsi="Times New Roman" w:cs="Times New Roman"/>
          <w:sz w:val="20"/>
          <w:szCs w:val="20"/>
          <w:lang w:val="uk-UA" w:eastAsia="ru-RU"/>
        </w:rPr>
        <w:t xml:space="preserve">.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Чимала частина податкових боргів сьогодні зосереджена в державному секторі економіки - станом на початок жовтня несплата такими суб’єктами господарювання складає 18,7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гривень (понад 15% від загальної суми боргу). Найбільший борг сформували суб’єкти, які підпорядковуються Міністерству енергетики України, - 11,51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гривень.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При цьому кількість боржників юридичних осіб значно менше кількості фізичних осіб, хоча сума їх боргу, навпаки, значно вища. Так, 191,8 тис. юридичних осіб заборгували бюджетам 117,1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w:t>
      </w:r>
      <w:proofErr w:type="spellStart"/>
      <w:r w:rsidRPr="005914D6">
        <w:rPr>
          <w:rFonts w:ascii="Times New Roman" w:eastAsia="Times New Roman" w:hAnsi="Times New Roman" w:cs="Times New Roman"/>
          <w:sz w:val="20"/>
          <w:szCs w:val="20"/>
          <w:lang w:val="uk-UA" w:eastAsia="ru-RU"/>
        </w:rPr>
        <w:t>грн</w:t>
      </w:r>
      <w:proofErr w:type="spellEnd"/>
      <w:r w:rsidRPr="005914D6">
        <w:rPr>
          <w:rFonts w:ascii="Times New Roman" w:eastAsia="Times New Roman" w:hAnsi="Times New Roman" w:cs="Times New Roman"/>
          <w:sz w:val="20"/>
          <w:szCs w:val="20"/>
          <w:lang w:val="uk-UA" w:eastAsia="ru-RU"/>
        </w:rPr>
        <w:t xml:space="preserve">, а 3686,6 тис. фізичних осіб - 8,9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гривень.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«Втім, сьогодні ми вже можемо говорити про певну позитивну динаміку. За 9 місяців 2020 року Службі вдалось забезпечити 7,27 </w:t>
      </w:r>
      <w:proofErr w:type="spellStart"/>
      <w:r w:rsidRPr="005914D6">
        <w:rPr>
          <w:rFonts w:ascii="Times New Roman" w:eastAsia="Times New Roman" w:hAnsi="Times New Roman" w:cs="Times New Roman"/>
          <w:sz w:val="20"/>
          <w:szCs w:val="20"/>
          <w:lang w:val="uk-UA" w:eastAsia="ru-RU"/>
        </w:rPr>
        <w:t>млрд</w:t>
      </w:r>
      <w:proofErr w:type="spellEnd"/>
      <w:r w:rsidRPr="005914D6">
        <w:rPr>
          <w:rFonts w:ascii="Times New Roman" w:eastAsia="Times New Roman" w:hAnsi="Times New Roman" w:cs="Times New Roman"/>
          <w:sz w:val="20"/>
          <w:szCs w:val="20"/>
          <w:lang w:val="uk-UA" w:eastAsia="ru-RU"/>
        </w:rPr>
        <w:t xml:space="preserve"> гривень надходжень в рахунок погашення боргу до зведеного бюджету. І що показово, останнім часом спостерігається підвищення рівня свідомості платників податків, адже майже 90 % з цих надходжень – це самостійна сплата боргу без застосування, так званих, «жорстких» методів стягнення (продажу майна боржників, що перебуває у податковій заставі, блокування рахунків тощо)», – наголосив Михайло </w:t>
      </w:r>
      <w:proofErr w:type="spellStart"/>
      <w:r w:rsidRPr="005914D6">
        <w:rPr>
          <w:rFonts w:ascii="Times New Roman" w:eastAsia="Times New Roman" w:hAnsi="Times New Roman" w:cs="Times New Roman"/>
          <w:sz w:val="20"/>
          <w:szCs w:val="20"/>
          <w:lang w:val="uk-UA" w:eastAsia="ru-RU"/>
        </w:rPr>
        <w:t>Тітарчук</w:t>
      </w:r>
      <w:proofErr w:type="spellEnd"/>
      <w:r w:rsidRPr="005914D6">
        <w:rPr>
          <w:rFonts w:ascii="Times New Roman" w:eastAsia="Times New Roman" w:hAnsi="Times New Roman" w:cs="Times New Roman"/>
          <w:sz w:val="20"/>
          <w:szCs w:val="20"/>
          <w:lang w:val="uk-UA" w:eastAsia="ru-RU"/>
        </w:rPr>
        <w:t xml:space="preserve">.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На думку заступника Голови ДПС, тенденція зростання податкового боргу протягом багатьох років свідчить про лояльність українського законодавства по відношенню до несумлінних платників податків і відсутність у законодавстві дієвих інструментів стягнення такого боргу.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Враховуючи ці проблеми, Державна податкова служба розробила </w:t>
      </w:r>
      <w:proofErr w:type="spellStart"/>
      <w:r w:rsidRPr="005914D6">
        <w:rPr>
          <w:rFonts w:ascii="Times New Roman" w:eastAsia="Times New Roman" w:hAnsi="Times New Roman" w:cs="Times New Roman"/>
          <w:sz w:val="20"/>
          <w:szCs w:val="20"/>
          <w:lang w:val="uk-UA" w:eastAsia="ru-RU"/>
        </w:rPr>
        <w:t>проєкти</w:t>
      </w:r>
      <w:proofErr w:type="spellEnd"/>
      <w:r w:rsidRPr="005914D6">
        <w:rPr>
          <w:rFonts w:ascii="Times New Roman" w:eastAsia="Times New Roman" w:hAnsi="Times New Roman" w:cs="Times New Roman"/>
          <w:sz w:val="20"/>
          <w:szCs w:val="20"/>
          <w:lang w:val="uk-UA" w:eastAsia="ru-RU"/>
        </w:rPr>
        <w:t xml:space="preserve"> взаємопов’язаних Законів України про внесення змін до Податкового кодексу України та деяких законів України (щодо удосконалення процедури погашення податкового боргу), які направлено на погодження до Міністерства фінансів України. Основні зміни стосуються, зокрема: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 збільшення до економічно обґрунтованого розміру мінімального розміру податкового боргу (з 1020 </w:t>
      </w:r>
      <w:proofErr w:type="spellStart"/>
      <w:r w:rsidRPr="005914D6">
        <w:rPr>
          <w:rFonts w:ascii="Times New Roman" w:eastAsia="Times New Roman" w:hAnsi="Times New Roman" w:cs="Times New Roman"/>
          <w:sz w:val="20"/>
          <w:szCs w:val="20"/>
          <w:lang w:val="uk-UA" w:eastAsia="ru-RU"/>
        </w:rPr>
        <w:t>грн</w:t>
      </w:r>
      <w:proofErr w:type="spellEnd"/>
      <w:r w:rsidRPr="005914D6">
        <w:rPr>
          <w:rFonts w:ascii="Times New Roman" w:eastAsia="Times New Roman" w:hAnsi="Times New Roman" w:cs="Times New Roman"/>
          <w:sz w:val="20"/>
          <w:szCs w:val="20"/>
          <w:lang w:val="uk-UA" w:eastAsia="ru-RU"/>
        </w:rPr>
        <w:t xml:space="preserve"> до 2210 </w:t>
      </w:r>
      <w:proofErr w:type="spellStart"/>
      <w:r w:rsidRPr="005914D6">
        <w:rPr>
          <w:rFonts w:ascii="Times New Roman" w:eastAsia="Times New Roman" w:hAnsi="Times New Roman" w:cs="Times New Roman"/>
          <w:sz w:val="20"/>
          <w:szCs w:val="20"/>
          <w:lang w:val="uk-UA" w:eastAsia="ru-RU"/>
        </w:rPr>
        <w:t>грн</w:t>
      </w:r>
      <w:proofErr w:type="spellEnd"/>
      <w:r w:rsidRPr="005914D6">
        <w:rPr>
          <w:rFonts w:ascii="Times New Roman" w:eastAsia="Times New Roman" w:hAnsi="Times New Roman" w:cs="Times New Roman"/>
          <w:sz w:val="20"/>
          <w:szCs w:val="20"/>
          <w:lang w:val="uk-UA" w:eastAsia="ru-RU"/>
        </w:rPr>
        <w:t xml:space="preserve">) для направлення податкової вимоги, застосування податкової застави, строку давності;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 списання штрафних санкцій та пені у разі сплати основної суми податкового боргу юридичними особами протягом 3 місяців, фізичними особами - 6 місяців;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 збільшення строку давності для стягнення податкового боргу з 3 років (1095 днів) до 6 років (до 2190 днів);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 започаткування реалізації заставного майна боржників через систему електронних торгів «ПРОЗОРРО.ПРОДАЖІ»;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 розкриття банківської таємниці з рахунків боржника у банках.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Ухвалення таких змін надасть податковим органам дієві інструменти як для погашення податкового боргу та зменшення його загального розміру, так і покращення платіжної дисципліни у несумлінних платників податків.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Щодо удосконалення порядку списання банком коштів з рахунків платників податків-боржників, то логічним кроком має стати внесення змін в банківське нормативне регулювання, яке передбачатиме розкриття банківської таємниці, а також започаткування інформаційної взаємодії податкових органів та банків щодо інкасових доручень в електронній формі, що дасть змогу списання коштів боржника з банківського рахунку та спрямування в бюджет в рахунок погашення боргу.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«Звісно, головна мета Служби - не просто стягнути наявний податковий борг, а, насамперед, упередити його появу шляхом стимулювання платників податків до самостійної сплати зобов’язань. Саме за цим напрямом ми сьогодні й працюємо, шляхом отримання міжнародного досвіду від Внутрішньо-європейської організації податкових адміністрацій (Intra-European </w:t>
      </w:r>
      <w:proofErr w:type="spellStart"/>
      <w:r w:rsidRPr="005914D6">
        <w:rPr>
          <w:rFonts w:ascii="Times New Roman" w:eastAsia="Times New Roman" w:hAnsi="Times New Roman" w:cs="Times New Roman"/>
          <w:sz w:val="20"/>
          <w:szCs w:val="20"/>
          <w:lang w:val="uk-UA" w:eastAsia="ru-RU"/>
        </w:rPr>
        <w:t>Organisation</w:t>
      </w:r>
      <w:proofErr w:type="spellEnd"/>
      <w:r w:rsidRPr="005914D6">
        <w:rPr>
          <w:rFonts w:ascii="Times New Roman" w:eastAsia="Times New Roman" w:hAnsi="Times New Roman" w:cs="Times New Roman"/>
          <w:sz w:val="20"/>
          <w:szCs w:val="20"/>
          <w:lang w:val="uk-UA" w:eastAsia="ru-RU"/>
        </w:rPr>
        <w:t xml:space="preserve"> </w:t>
      </w:r>
      <w:proofErr w:type="spellStart"/>
      <w:r w:rsidRPr="005914D6">
        <w:rPr>
          <w:rFonts w:ascii="Times New Roman" w:eastAsia="Times New Roman" w:hAnsi="Times New Roman" w:cs="Times New Roman"/>
          <w:sz w:val="20"/>
          <w:szCs w:val="20"/>
          <w:lang w:val="uk-UA" w:eastAsia="ru-RU"/>
        </w:rPr>
        <w:t>of</w:t>
      </w:r>
      <w:proofErr w:type="spellEnd"/>
      <w:r w:rsidRPr="005914D6">
        <w:rPr>
          <w:rFonts w:ascii="Times New Roman" w:eastAsia="Times New Roman" w:hAnsi="Times New Roman" w:cs="Times New Roman"/>
          <w:sz w:val="20"/>
          <w:szCs w:val="20"/>
          <w:lang w:val="uk-UA" w:eastAsia="ru-RU"/>
        </w:rPr>
        <w:t xml:space="preserve"> </w:t>
      </w:r>
      <w:proofErr w:type="spellStart"/>
      <w:r w:rsidRPr="005914D6">
        <w:rPr>
          <w:rFonts w:ascii="Times New Roman" w:eastAsia="Times New Roman" w:hAnsi="Times New Roman" w:cs="Times New Roman"/>
          <w:sz w:val="20"/>
          <w:szCs w:val="20"/>
          <w:lang w:val="uk-UA" w:eastAsia="ru-RU"/>
        </w:rPr>
        <w:t>Tax</w:t>
      </w:r>
      <w:proofErr w:type="spellEnd"/>
      <w:r w:rsidRPr="005914D6">
        <w:rPr>
          <w:rFonts w:ascii="Times New Roman" w:eastAsia="Times New Roman" w:hAnsi="Times New Roman" w:cs="Times New Roman"/>
          <w:sz w:val="20"/>
          <w:szCs w:val="20"/>
          <w:lang w:val="uk-UA" w:eastAsia="ru-RU"/>
        </w:rPr>
        <w:t xml:space="preserve"> </w:t>
      </w:r>
      <w:proofErr w:type="spellStart"/>
      <w:r w:rsidRPr="005914D6">
        <w:rPr>
          <w:rFonts w:ascii="Times New Roman" w:eastAsia="Times New Roman" w:hAnsi="Times New Roman" w:cs="Times New Roman"/>
          <w:sz w:val="20"/>
          <w:szCs w:val="20"/>
          <w:lang w:val="uk-UA" w:eastAsia="ru-RU"/>
        </w:rPr>
        <w:t>Administrations</w:t>
      </w:r>
      <w:proofErr w:type="spellEnd"/>
      <w:r w:rsidRPr="005914D6">
        <w:rPr>
          <w:rFonts w:ascii="Times New Roman" w:eastAsia="Times New Roman" w:hAnsi="Times New Roman" w:cs="Times New Roman"/>
          <w:sz w:val="20"/>
          <w:szCs w:val="20"/>
          <w:lang w:val="uk-UA" w:eastAsia="ru-RU"/>
        </w:rPr>
        <w:t xml:space="preserve">), найкращих світових практик за рекомендаціями, наданими експертами Офісу технічної допомоги Казначейства США, залучаючи до консультацій міжнародних експертів Програми з управління державними фінансами EU4PFM», – підкреслив Михайло </w:t>
      </w:r>
      <w:proofErr w:type="spellStart"/>
      <w:r w:rsidRPr="005914D6">
        <w:rPr>
          <w:rFonts w:ascii="Times New Roman" w:eastAsia="Times New Roman" w:hAnsi="Times New Roman" w:cs="Times New Roman"/>
          <w:sz w:val="20"/>
          <w:szCs w:val="20"/>
          <w:lang w:val="uk-UA" w:eastAsia="ru-RU"/>
        </w:rPr>
        <w:t>Тітарчук</w:t>
      </w:r>
      <w:proofErr w:type="spellEnd"/>
      <w:r w:rsidRPr="005914D6">
        <w:rPr>
          <w:rFonts w:ascii="Times New Roman" w:eastAsia="Times New Roman" w:hAnsi="Times New Roman" w:cs="Times New Roman"/>
          <w:sz w:val="20"/>
          <w:szCs w:val="20"/>
          <w:lang w:val="uk-UA" w:eastAsia="ru-RU"/>
        </w:rPr>
        <w:t xml:space="preserve">. </w:t>
      </w:r>
    </w:p>
    <w:p w:rsidR="00221201" w:rsidRPr="005914D6" w:rsidRDefault="00221201" w:rsidP="005914D6">
      <w:pPr>
        <w:rPr>
          <w:rFonts w:ascii="Times New Roman" w:hAnsi="Times New Roman" w:cs="Times New Roman"/>
          <w:sz w:val="20"/>
          <w:szCs w:val="20"/>
          <w:lang w:val="uk-UA"/>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Визначення розрахункового документа встановлено Законом України № 128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Н</w:t>
      </w:r>
      <w:r w:rsidR="005914D6" w:rsidRPr="005914D6">
        <w:rPr>
          <w:sz w:val="20"/>
          <w:szCs w:val="20"/>
          <w:lang w:val="uk-UA"/>
        </w:rPr>
        <w:t>агадує</w:t>
      </w:r>
      <w:r>
        <w:rPr>
          <w:sz w:val="20"/>
          <w:szCs w:val="20"/>
          <w:lang w:val="uk-UA"/>
        </w:rPr>
        <w:t>мо</w:t>
      </w:r>
      <w:r w:rsidR="005914D6" w:rsidRPr="005914D6">
        <w:rPr>
          <w:sz w:val="20"/>
          <w:szCs w:val="20"/>
          <w:lang w:val="uk-UA"/>
        </w:rPr>
        <w:t xml:space="preserve">, що визначення розрахункового документу встановлено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005914D6" w:rsidRPr="005914D6">
        <w:rPr>
          <w:sz w:val="20"/>
          <w:szCs w:val="20"/>
          <w:lang w:val="uk-UA"/>
        </w:rPr>
        <w:t>детінізації</w:t>
      </w:r>
      <w:proofErr w:type="spellEnd"/>
      <w:r w:rsidR="005914D6" w:rsidRPr="005914D6">
        <w:rPr>
          <w:sz w:val="20"/>
          <w:szCs w:val="20"/>
          <w:lang w:val="uk-UA"/>
        </w:rPr>
        <w:t xml:space="preserve"> розрахунків в сфері торгівлі і послуг» (далі – Закон України № 128), згідно з яким: розрахунковий документ – це документ встановленої форми та змісту </w:t>
      </w:r>
      <w:r w:rsidR="005914D6" w:rsidRPr="005914D6">
        <w:rPr>
          <w:rStyle w:val="a8"/>
          <w:sz w:val="20"/>
          <w:szCs w:val="20"/>
          <w:lang w:val="uk-UA"/>
        </w:rPr>
        <w:t>(касовий чек, товарний чек, видатковий чек, розрахункова квитанція, проїзний документ тощо)</w:t>
      </w:r>
      <w:r w:rsidR="005914D6" w:rsidRPr="005914D6">
        <w:rPr>
          <w:sz w:val="20"/>
          <w:szCs w:val="20"/>
          <w:lang w:val="uk-UA"/>
        </w:rPr>
        <w:t xml:space="preserve">, що підтверджує факт продажу (повернення) товарів, надання послуг, операцій з видачі готівкових коштів держателям електронних платіжних засобів, отримання (повернення) коштів, торгівлю валютними цінностями в готівковій формі, створений в паперовій та/або електронній формі (електронний розрахунковий документ) у випадках, передбачених Законом України № 128, зареєстрованим у встановленому порядку реєстратором розрахункових операцій або програмним реєстратором розрахункових операцій, чи заповнений вручну.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Підписуйтеся на Telegram-канал Державної податкової служби України</w:t>
      </w:r>
      <w:r w:rsidRPr="005914D6">
        <w:rPr>
          <w:sz w:val="20"/>
          <w:szCs w:val="20"/>
          <w:lang w:val="uk-UA"/>
        </w:rPr>
        <w:t xml:space="preserve"> </w:t>
      </w:r>
      <w:hyperlink r:id="rId27"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proofErr w:type="spellStart"/>
      <w:r w:rsidRPr="005914D6">
        <w:rPr>
          <w:sz w:val="20"/>
          <w:szCs w:val="20"/>
          <w:lang w:val="uk-UA"/>
        </w:rPr>
        <w:t>ФОП</w:t>
      </w:r>
      <w:proofErr w:type="spellEnd"/>
      <w:r w:rsidRPr="005914D6">
        <w:rPr>
          <w:sz w:val="20"/>
          <w:szCs w:val="20"/>
          <w:lang w:val="uk-UA"/>
        </w:rPr>
        <w:t xml:space="preserve">, яка перейшла на спрощену систему оподаткування, необхідно подати квартальну податкову декларацію про майновий стан і доходи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З</w:t>
      </w:r>
      <w:r w:rsidR="005914D6" w:rsidRPr="005914D6">
        <w:rPr>
          <w:sz w:val="20"/>
          <w:szCs w:val="20"/>
          <w:lang w:val="uk-UA"/>
        </w:rPr>
        <w:t>вертає</w:t>
      </w:r>
      <w:r>
        <w:rPr>
          <w:sz w:val="20"/>
          <w:szCs w:val="20"/>
          <w:lang w:val="uk-UA"/>
        </w:rPr>
        <w:t>мо</w:t>
      </w:r>
      <w:r w:rsidR="005914D6" w:rsidRPr="005914D6">
        <w:rPr>
          <w:sz w:val="20"/>
          <w:szCs w:val="20"/>
          <w:lang w:val="uk-UA"/>
        </w:rPr>
        <w:t xml:space="preserve"> увагу, що фізичні особи – підприємці (далі – </w:t>
      </w:r>
      <w:proofErr w:type="spellStart"/>
      <w:r w:rsidR="005914D6" w:rsidRPr="005914D6">
        <w:rPr>
          <w:sz w:val="20"/>
          <w:szCs w:val="20"/>
          <w:lang w:val="uk-UA"/>
        </w:rPr>
        <w:t>ФОП</w:t>
      </w:r>
      <w:proofErr w:type="spellEnd"/>
      <w:r w:rsidR="005914D6" w:rsidRPr="005914D6">
        <w:rPr>
          <w:sz w:val="20"/>
          <w:szCs w:val="20"/>
          <w:lang w:val="uk-UA"/>
        </w:rPr>
        <w:t xml:space="preserve">), які зареєстровані протягом року в установленому законом порядку, або переходять на спрощену систему оподаткування, обліку та звітності, або перейшли із спрощеної системи оподаткування, обліку та звітності, подають податкову декларацію про майновий стан і доходи (далі – Декларація) за результатами звітного року, в якому розпочата така діяльність або відбувся перехід на (перехід із) спрощену систему оподаткування, обліку та звітності. Платники податку на доходи фізичних осіб (далі – ПДФО) розраховують та сплачують авансові платежі у строки, визначені </w:t>
      </w:r>
      <w:proofErr w:type="spellStart"/>
      <w:r w:rsidR="005914D6" w:rsidRPr="005914D6">
        <w:rPr>
          <w:sz w:val="20"/>
          <w:szCs w:val="20"/>
          <w:lang w:val="uk-UA"/>
        </w:rPr>
        <w:t>п.п</w:t>
      </w:r>
      <w:proofErr w:type="spellEnd"/>
      <w:r w:rsidR="005914D6" w:rsidRPr="005914D6">
        <w:rPr>
          <w:sz w:val="20"/>
          <w:szCs w:val="20"/>
          <w:lang w:val="uk-UA"/>
        </w:rPr>
        <w:t xml:space="preserve">. 177.5.1 п. 177.5 ст. 177 Податкового кодексу України (далі – ПКУ), що настануть у звітному податковому році.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Норми встановлені </w:t>
      </w:r>
      <w:proofErr w:type="spellStart"/>
      <w:r w:rsidRPr="005914D6">
        <w:rPr>
          <w:sz w:val="20"/>
          <w:szCs w:val="20"/>
          <w:lang w:val="uk-UA"/>
        </w:rPr>
        <w:t>п.п</w:t>
      </w:r>
      <w:proofErr w:type="spellEnd"/>
      <w:r w:rsidRPr="005914D6">
        <w:rPr>
          <w:sz w:val="20"/>
          <w:szCs w:val="20"/>
          <w:lang w:val="uk-UA"/>
        </w:rPr>
        <w:t xml:space="preserve">. 177.5.2 п. 177.5 ст. 177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При цьому Декларація подається за звітний (податковий) період, який дорівнює календарному року для </w:t>
      </w:r>
      <w:proofErr w:type="spellStart"/>
      <w:r w:rsidRPr="005914D6">
        <w:rPr>
          <w:sz w:val="20"/>
          <w:szCs w:val="20"/>
          <w:lang w:val="uk-UA"/>
        </w:rPr>
        <w:t>ФОП</w:t>
      </w:r>
      <w:proofErr w:type="spellEnd"/>
      <w:r w:rsidRPr="005914D6">
        <w:rPr>
          <w:sz w:val="20"/>
          <w:szCs w:val="20"/>
          <w:lang w:val="uk-UA"/>
        </w:rPr>
        <w:t xml:space="preserve"> – платників ПДФО, протягом 40 календарних днів, що настають за останнім календарним днем звітного (податкового) року (</w:t>
      </w:r>
      <w:proofErr w:type="spellStart"/>
      <w:r w:rsidRPr="005914D6">
        <w:rPr>
          <w:sz w:val="20"/>
          <w:szCs w:val="20"/>
          <w:lang w:val="uk-UA"/>
        </w:rPr>
        <w:t>п.п</w:t>
      </w:r>
      <w:proofErr w:type="spellEnd"/>
      <w:r w:rsidRPr="005914D6">
        <w:rPr>
          <w:sz w:val="20"/>
          <w:szCs w:val="20"/>
          <w:lang w:val="uk-UA"/>
        </w:rPr>
        <w:t xml:space="preserve">. 49.18.5 п. 49.18 ст. 49 ПКУ).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Підписуйтеся на Telegram-канал Державної податкової служби України</w:t>
      </w:r>
      <w:r w:rsidRPr="005914D6">
        <w:rPr>
          <w:sz w:val="20"/>
          <w:szCs w:val="20"/>
          <w:lang w:val="uk-UA"/>
        </w:rPr>
        <w:t xml:space="preserve"> </w:t>
      </w:r>
      <w:hyperlink r:id="rId28"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Особливості оподаткування страхової діяльності юридичних осіб – резидентів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Д</w:t>
      </w:r>
      <w:r w:rsidR="005914D6" w:rsidRPr="005914D6">
        <w:rPr>
          <w:sz w:val="20"/>
          <w:szCs w:val="20"/>
          <w:lang w:val="uk-UA"/>
        </w:rPr>
        <w:t>оводи</w:t>
      </w:r>
      <w:r>
        <w:rPr>
          <w:sz w:val="20"/>
          <w:szCs w:val="20"/>
          <w:lang w:val="uk-UA"/>
        </w:rPr>
        <w:t>мо</w:t>
      </w:r>
      <w:r w:rsidR="005914D6" w:rsidRPr="005914D6">
        <w:rPr>
          <w:sz w:val="20"/>
          <w:szCs w:val="20"/>
          <w:lang w:val="uk-UA"/>
        </w:rPr>
        <w:t xml:space="preserve"> до відома, що під час провадження страхової діяльності юридичних осіб – резидентів одночасно із ставкою податку на прибуток, визначеною у п. 136.1 ст. 136 Податкового кодексу України (далі – ПКУ), такі суб’єкти господарювання сплачують податок на дохід (податок).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Ставки податку на дохід встановлюються у таких розмірах: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3 відсотки – за договорами страхування від об’єкта оподаткування, що визначається у </w:t>
      </w:r>
      <w:proofErr w:type="spellStart"/>
      <w:r w:rsidRPr="005914D6">
        <w:rPr>
          <w:sz w:val="20"/>
          <w:szCs w:val="20"/>
          <w:lang w:val="uk-UA"/>
        </w:rPr>
        <w:t>п.п</w:t>
      </w:r>
      <w:proofErr w:type="spellEnd"/>
      <w:r w:rsidRPr="005914D6">
        <w:rPr>
          <w:sz w:val="20"/>
          <w:szCs w:val="20"/>
          <w:lang w:val="uk-UA"/>
        </w:rPr>
        <w:t>. 141.1.2 п. 141.1 ст. 141 ПКУ (</w:t>
      </w:r>
      <w:proofErr w:type="spellStart"/>
      <w:r w:rsidRPr="005914D6">
        <w:rPr>
          <w:sz w:val="20"/>
          <w:szCs w:val="20"/>
          <w:lang w:val="uk-UA"/>
        </w:rPr>
        <w:t>п.п</w:t>
      </w:r>
      <w:proofErr w:type="spellEnd"/>
      <w:r w:rsidRPr="005914D6">
        <w:rPr>
          <w:sz w:val="20"/>
          <w:szCs w:val="20"/>
          <w:lang w:val="uk-UA"/>
        </w:rPr>
        <w:t xml:space="preserve">. 136.2.1 п. 136.2 ст. 136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0 відсотків – за договорами з довгострокового страхування життя, договорами добровільного медичного страхування та договорами страхування у межах недержавного пенсійного забезпечення, зокрема договорів страхування додаткової пенсії, та визначених підпунктами 14.1.52, 14.1.52</w:t>
      </w:r>
      <w:r w:rsidRPr="005914D6">
        <w:rPr>
          <w:sz w:val="20"/>
          <w:szCs w:val="20"/>
          <w:vertAlign w:val="superscript"/>
          <w:lang w:val="uk-UA"/>
        </w:rPr>
        <w:t>1</w:t>
      </w:r>
      <w:r w:rsidRPr="005914D6">
        <w:rPr>
          <w:sz w:val="20"/>
          <w:szCs w:val="20"/>
          <w:lang w:val="uk-UA"/>
        </w:rPr>
        <w:t>, 14.1.52</w:t>
      </w:r>
      <w:r w:rsidRPr="005914D6">
        <w:rPr>
          <w:sz w:val="20"/>
          <w:szCs w:val="20"/>
          <w:vertAlign w:val="superscript"/>
          <w:lang w:val="uk-UA"/>
        </w:rPr>
        <w:t>2</w:t>
      </w:r>
      <w:r w:rsidRPr="005914D6">
        <w:rPr>
          <w:sz w:val="20"/>
          <w:szCs w:val="20"/>
          <w:lang w:val="uk-UA"/>
        </w:rPr>
        <w:t xml:space="preserve"> і 14.1.116 п. 14.1 ст. 14 ПКУ (</w:t>
      </w:r>
      <w:proofErr w:type="spellStart"/>
      <w:r w:rsidRPr="005914D6">
        <w:rPr>
          <w:sz w:val="20"/>
          <w:szCs w:val="20"/>
          <w:lang w:val="uk-UA"/>
        </w:rPr>
        <w:t>п.п</w:t>
      </w:r>
      <w:proofErr w:type="spellEnd"/>
      <w:r w:rsidRPr="005914D6">
        <w:rPr>
          <w:sz w:val="20"/>
          <w:szCs w:val="20"/>
          <w:lang w:val="uk-UA"/>
        </w:rPr>
        <w:t xml:space="preserve">. 136.2.2 п. 136.2 ст. 136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Норми встановлені п. 136.2 ст. 136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Згідно з п. 137.2 ст. 137 ПКУ податок, що підлягає сплаті до бюджету платниками податку, які провадять страхову діяльність, визначається в порядку, передбаченому п. 141.1 ст. 141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Зокрема, </w:t>
      </w:r>
      <w:proofErr w:type="spellStart"/>
      <w:r w:rsidRPr="005914D6">
        <w:rPr>
          <w:sz w:val="20"/>
          <w:szCs w:val="20"/>
          <w:lang w:val="uk-UA"/>
        </w:rPr>
        <w:t>п.п</w:t>
      </w:r>
      <w:proofErr w:type="spellEnd"/>
      <w:r w:rsidRPr="005914D6">
        <w:rPr>
          <w:sz w:val="20"/>
          <w:szCs w:val="20"/>
          <w:lang w:val="uk-UA"/>
        </w:rPr>
        <w:t xml:space="preserve">. 141.1.1 п. 141.1 ст. 141 ПКУ встановлено, що страховики сплачують податок на прибуток за ставкою, визначеною відповідно до п. 136.1   ст. 136 ПКУ, та податок на дохід за ставкою, визначеною відповідно до підпунктів 136.2.1 та 136.2.2 п. 136.2 ст. 136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Нарахований страховиком податок на дохід за ставкою, визначеною у </w:t>
      </w:r>
      <w:proofErr w:type="spellStart"/>
      <w:r w:rsidRPr="005914D6">
        <w:rPr>
          <w:sz w:val="20"/>
          <w:szCs w:val="20"/>
          <w:lang w:val="uk-UA"/>
        </w:rPr>
        <w:t>п.п</w:t>
      </w:r>
      <w:proofErr w:type="spellEnd"/>
      <w:r w:rsidRPr="005914D6">
        <w:rPr>
          <w:sz w:val="20"/>
          <w:szCs w:val="20"/>
          <w:lang w:val="uk-UA"/>
        </w:rPr>
        <w:t xml:space="preserve">. 136.2.1 п. 136.2 ст. 136 ПКУ, є різницею, яка зменшує фінансовий результат до оподаткування такого страховика.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Підпунктом 141.1.2 п. 141.1 ст. 141 ПКУ визначено, що об’єкт оподаткування страховика, до якого застосовується ставка, визначена відповідно до підпунктів 136.2.1 та 136.2.2 п. 136.2 ст. 136 ПКУ, розраховується як сума страхових платежів, страхових внесків, страхових премій, нарахованих за договорами страхування і співстрахування. При цьому, страхові платежі, страхові внески, страхові премії за договорами співстрахування включаються до складу об’єкта оподаткування страховика тільки в розмірі його частки страхової премії, передбаченої договором співстрахування.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Страхові платежі, страхові внески, страхові премії за договорами перестрахування до об’єкта оподаткування, до якого застосовується ставка, визначена відповідно до підпунктів 136.2.1 і 136.2.2 п. 136.2 ст. 136 ПКУ, не включаються.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Відповідно до </w:t>
      </w:r>
      <w:proofErr w:type="spellStart"/>
      <w:r w:rsidRPr="005914D6">
        <w:rPr>
          <w:sz w:val="20"/>
          <w:szCs w:val="20"/>
          <w:lang w:val="uk-UA"/>
        </w:rPr>
        <w:t>п.п</w:t>
      </w:r>
      <w:proofErr w:type="spellEnd"/>
      <w:r w:rsidRPr="005914D6">
        <w:rPr>
          <w:sz w:val="20"/>
          <w:szCs w:val="20"/>
          <w:lang w:val="uk-UA"/>
        </w:rPr>
        <w:t xml:space="preserve">. 141.1.3 п. 141.1 ст. 141 ПКУ фінансовий результат до оподаткування страховика збільшується: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на позитивну різницю між приростом (убутком) сформованих у відповідному звітному періоді відповідно до національних положень (стандартів) бухгалтерського обліку та/або міжнародних стандартів фінансової звітності страховими резервами (технічними, математичними, належних виплат страхових сум та іншими, формування яких передбачено законодавством у сфері страхування, крім тих, що не впливають на формування фінансового результату до оподаткування страховика) (за вирахуванням частки участі перестраховика в страхових резервах) та приростом (убутком) відповідних резервів, розрахованих за методикою, визначеною уповноваженим органом, що здійснює державне регулювання у сфері ринків фінансових послуг, за погодженням з центральним органом виконавчої влади, що забезпечує формування та реалізує державну фінансову політику (за вирахуванням частки участі перестраховика в страхових резервах);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на позитивну різницю між сумою будь-яких виплат (винагород) страховим посередникам та іншим особам за надані послуги щодо укладання (пролонгації) договорів страхування та сумою нормативу витрат на виплати страховим посередникам, розрахованих за методикою, визначеною уповноваженим органом, що здійснює державне регулювання у </w:t>
      </w:r>
      <w:r w:rsidRPr="005914D6">
        <w:rPr>
          <w:sz w:val="20"/>
          <w:szCs w:val="20"/>
          <w:lang w:val="uk-UA"/>
        </w:rPr>
        <w:lastRenderedPageBreak/>
        <w:t xml:space="preserve">сфері ринків фінансових послуг, за погодженням з центральним органом виконавчої влади, що забезпечує формування та реалізує державну фінансову політику.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Фінансовий результат до оподаткування страховика зменшується: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на від’ємну різницю між приростом (убутком) сформованих у відповідному звітному періоді відповідно до національних положень (стандартів) бухгалтерського обліку та/або міжнародних стандартів фінансової звітності страховими резервами (технічними, математичними, належних виплат страхових сум та іншими, формування яких передбачено законодавством у сфері страхування, </w:t>
      </w:r>
      <w:r w:rsidRPr="005914D6">
        <w:rPr>
          <w:rStyle w:val="a8"/>
          <w:sz w:val="20"/>
          <w:szCs w:val="20"/>
          <w:lang w:val="uk-UA"/>
        </w:rPr>
        <w:t>крім тих, які не впливають на формування фінансового результату до оподаткування страховика</w:t>
      </w:r>
      <w:r w:rsidRPr="005914D6">
        <w:rPr>
          <w:sz w:val="20"/>
          <w:szCs w:val="20"/>
          <w:lang w:val="uk-UA"/>
        </w:rPr>
        <w:t>) (за вирахуванням частки участі перестраховика в страхових резервах) та приростом (убутком) відповідних резервів, розрахованих за методикою, визначеною уповноваженим органом, що здійснює державне регулювання у сфері ринків фінансових послуг, за погодженням з центральним органом виконавчої влади, що забезпечує формування та реалізує державну фінансову політику (за вирахуванням частки участі перестраховика в страхових резервах) (</w:t>
      </w:r>
      <w:proofErr w:type="spellStart"/>
      <w:r w:rsidRPr="005914D6">
        <w:rPr>
          <w:sz w:val="20"/>
          <w:szCs w:val="20"/>
          <w:lang w:val="uk-UA"/>
        </w:rPr>
        <w:t>п.п</w:t>
      </w:r>
      <w:proofErr w:type="spellEnd"/>
      <w:r w:rsidRPr="005914D6">
        <w:rPr>
          <w:sz w:val="20"/>
          <w:szCs w:val="20"/>
          <w:lang w:val="uk-UA"/>
        </w:rPr>
        <w:t xml:space="preserve">. 141.1.4 п. 141.1 ст. 141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Відповідно до </w:t>
      </w:r>
      <w:proofErr w:type="spellStart"/>
      <w:r w:rsidRPr="005914D6">
        <w:rPr>
          <w:sz w:val="20"/>
          <w:szCs w:val="20"/>
          <w:lang w:val="uk-UA"/>
        </w:rPr>
        <w:t>п.п</w:t>
      </w:r>
      <w:proofErr w:type="spellEnd"/>
      <w:r w:rsidRPr="005914D6">
        <w:rPr>
          <w:sz w:val="20"/>
          <w:szCs w:val="20"/>
          <w:lang w:val="uk-UA"/>
        </w:rPr>
        <w:t xml:space="preserve">. 141.1.5 п. 141.1 ст. 141 ПКУ коригування фінансового результату до оподаткування у зв’язку із створенням та використанням страховиками інших резервів (забезпечень), ніж зазначені у п. 141.1 ст. 141 ПКУ, здійснюється у порядку, встановленому п. 139.1 ст. 139 ПКУ.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Підписуйтеся на Telegram-канал Державної податкової служби України</w:t>
      </w:r>
      <w:r w:rsidRPr="005914D6">
        <w:rPr>
          <w:sz w:val="20"/>
          <w:szCs w:val="20"/>
          <w:lang w:val="uk-UA"/>
        </w:rPr>
        <w:t xml:space="preserve"> </w:t>
      </w:r>
      <w:hyperlink r:id="rId29"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ПКУ передбачені пільги з податку на нерухоме майно, відмінне від земельної ділянки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П</w:t>
      </w:r>
      <w:r w:rsidR="005914D6" w:rsidRPr="005914D6">
        <w:rPr>
          <w:sz w:val="20"/>
          <w:szCs w:val="20"/>
          <w:lang w:val="uk-UA"/>
        </w:rPr>
        <w:t>овідомляє</w:t>
      </w:r>
      <w:r>
        <w:rPr>
          <w:sz w:val="20"/>
          <w:szCs w:val="20"/>
          <w:lang w:val="uk-UA"/>
        </w:rPr>
        <w:t>мо</w:t>
      </w:r>
      <w:r w:rsidR="005914D6" w:rsidRPr="005914D6">
        <w:rPr>
          <w:sz w:val="20"/>
          <w:szCs w:val="20"/>
          <w:lang w:val="uk-UA"/>
        </w:rPr>
        <w:t xml:space="preserve">, що базою оподаткування податком на нерухоме майно, відмінне від земельної ділянки, є загальна площа об’єкта житлової та нежитлової нерухомості, в тому числі його часток.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Норми визначені </w:t>
      </w:r>
      <w:proofErr w:type="spellStart"/>
      <w:r w:rsidRPr="005914D6">
        <w:rPr>
          <w:sz w:val="20"/>
          <w:szCs w:val="20"/>
          <w:lang w:val="uk-UA"/>
        </w:rPr>
        <w:t>п.п</w:t>
      </w:r>
      <w:proofErr w:type="spellEnd"/>
      <w:r w:rsidRPr="005914D6">
        <w:rPr>
          <w:sz w:val="20"/>
          <w:szCs w:val="20"/>
          <w:lang w:val="uk-UA"/>
        </w:rPr>
        <w:t xml:space="preserve">. 266.3.1 п. 266.3 ст. 266 Податкового кодексу України (далі –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Підпунктом 266.4.1 п. 266.4 ст. 266 ПКУ передбачено пільги із сплати податку на нерухоме майно, відмінне від земельної ділянки (податок), а саме: база оподаткування об’єкта/об’єктів житлової нерухомості, в тому числі їх часток, що перебувають у власності фізичної особи – платника податку, зменшується: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а) для квартири/квартир незалежно від їх кількості – на 60 кв. метрів;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б) для житлового будинку/будинків незалежно від їх кількості – на 120 кв. метрів;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Таке зменшення надається один раз за кожний базовий податковий (звітний) період (рік).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Відповідно до </w:t>
      </w:r>
      <w:proofErr w:type="spellStart"/>
      <w:r w:rsidRPr="005914D6">
        <w:rPr>
          <w:sz w:val="20"/>
          <w:szCs w:val="20"/>
          <w:lang w:val="uk-UA"/>
        </w:rPr>
        <w:t>п.п</w:t>
      </w:r>
      <w:proofErr w:type="spellEnd"/>
      <w:r w:rsidRPr="005914D6">
        <w:rPr>
          <w:sz w:val="20"/>
          <w:szCs w:val="20"/>
          <w:lang w:val="uk-UA"/>
        </w:rPr>
        <w:t xml:space="preserve">. 266.4.2 п. 266.4 ст. 266 ПКУ сільські, селищні, міські ради та ради об’єднаних територіальних громад, що створені згідно із законом та перспективним планом формування територій громад, встановлюють пільги з податку,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Пільги з податку, що сплачується на відповідній території з об’єктів житлової та нежитлової нерухомості, для фізичних осіб визначаються виходячи з їх майнового стану та рівня доходів.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Пільги з податку, що сплачується на відповідній території з об’єктів нежитлової нерухомості, встановлюються залежно від майна, яке є об’єктом оподаткування.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Пільги з податку, передбачені підпунктами 266.4.1 та 266.4.2 п. 266.4 </w:t>
      </w:r>
      <w:proofErr w:type="spellStart"/>
      <w:r w:rsidRPr="005914D6">
        <w:rPr>
          <w:sz w:val="20"/>
          <w:szCs w:val="20"/>
          <w:lang w:val="uk-UA"/>
        </w:rPr>
        <w:t>cт</w:t>
      </w:r>
      <w:proofErr w:type="spellEnd"/>
      <w:r w:rsidRPr="005914D6">
        <w:rPr>
          <w:sz w:val="20"/>
          <w:szCs w:val="20"/>
          <w:lang w:val="uk-UA"/>
        </w:rPr>
        <w:t xml:space="preserve">. 266 ПКУ для фізичних осіб не застосовуються до: об’єкта/об’єктів оподаткування, якщо площа такого/таких об’єкта/об’єктів перевищує п’ятикратний розмір неоподатковуваної площі, встановленої </w:t>
      </w:r>
      <w:proofErr w:type="spellStart"/>
      <w:r w:rsidRPr="005914D6">
        <w:rPr>
          <w:sz w:val="20"/>
          <w:szCs w:val="20"/>
          <w:lang w:val="uk-UA"/>
        </w:rPr>
        <w:t>п.п</w:t>
      </w:r>
      <w:proofErr w:type="spellEnd"/>
      <w:r w:rsidRPr="005914D6">
        <w:rPr>
          <w:sz w:val="20"/>
          <w:szCs w:val="20"/>
          <w:lang w:val="uk-UA"/>
        </w:rPr>
        <w:t>. 266.4.1 п. 266.4 ст. 266 ПКУ; об’єкта/об’єктів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 (</w:t>
      </w:r>
      <w:proofErr w:type="spellStart"/>
      <w:r w:rsidRPr="005914D6">
        <w:rPr>
          <w:sz w:val="20"/>
          <w:szCs w:val="20"/>
          <w:lang w:val="uk-UA"/>
        </w:rPr>
        <w:t>п.п</w:t>
      </w:r>
      <w:proofErr w:type="spellEnd"/>
      <w:r w:rsidRPr="005914D6">
        <w:rPr>
          <w:sz w:val="20"/>
          <w:szCs w:val="20"/>
          <w:lang w:val="uk-UA"/>
        </w:rPr>
        <w:t xml:space="preserve">. 266.4.3 п. 266.4 ст. 266 ПКУ).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Підписуйтеся на Telegram-канал Державної податкової служби України</w:t>
      </w:r>
      <w:r w:rsidRPr="005914D6">
        <w:rPr>
          <w:sz w:val="20"/>
          <w:szCs w:val="20"/>
          <w:lang w:val="uk-UA"/>
        </w:rPr>
        <w:t xml:space="preserve"> </w:t>
      </w:r>
      <w:hyperlink r:id="rId30"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hAnsi="Times New Roman" w:cs="Times New Roman"/>
          <w:sz w:val="20"/>
          <w:szCs w:val="20"/>
          <w:lang w:val="uk-UA"/>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Закон України № 466: штрафні санкції за неподання контролюючою особою звіту про контрольовані іноземні компанії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Д</w:t>
      </w:r>
      <w:r w:rsidR="005914D6" w:rsidRPr="005914D6">
        <w:rPr>
          <w:sz w:val="20"/>
          <w:szCs w:val="20"/>
          <w:lang w:val="uk-UA"/>
        </w:rPr>
        <w:t>оводи</w:t>
      </w:r>
      <w:r>
        <w:rPr>
          <w:sz w:val="20"/>
          <w:szCs w:val="20"/>
          <w:lang w:val="uk-UA"/>
        </w:rPr>
        <w:t>мо</w:t>
      </w:r>
      <w:r w:rsidR="005914D6" w:rsidRPr="005914D6">
        <w:rPr>
          <w:sz w:val="20"/>
          <w:szCs w:val="20"/>
          <w:lang w:val="uk-UA"/>
        </w:rPr>
        <w:t xml:space="preserve"> до відома платників, що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 ст. 120 Податкового кодексу України (далі – ПКУ) доповнено новим п. 120.7, відповідно до якого неподання контролюючою особою звіту про контрольовані іноземні компанії: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тягне за собою накладення штрафу в розмірі 100 розмірів прожиткового мінімуму для працездатної особи, встановленого законом на 1 січня податкового (звітного) року.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Несвоєчасне подання контролюючою особою звіту про контрольовані іноземні компанії –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тягне за собою накладення штрафу в розмірі одного розміру прожиткового мінімуму для працездатної особи, встановленого законом на 1 січня податкового (звітного) року, за кожен календарний день неподання, але не більше 50 розмірів прожиткового мінімуму для працездатної особи, встановленого законом на 1 січня податкового (звітного) року. </w:t>
      </w:r>
    </w:p>
    <w:p w:rsidR="005914D6" w:rsidRPr="005914D6" w:rsidRDefault="005914D6" w:rsidP="005914D6">
      <w:pPr>
        <w:pStyle w:val="a3"/>
        <w:spacing w:before="0" w:beforeAutospacing="0" w:after="0" w:afterAutospacing="0"/>
        <w:jc w:val="both"/>
        <w:rPr>
          <w:sz w:val="20"/>
          <w:szCs w:val="20"/>
          <w:lang w:val="uk-UA"/>
        </w:rPr>
      </w:pPr>
      <w:proofErr w:type="spellStart"/>
      <w:r w:rsidRPr="005914D6">
        <w:rPr>
          <w:sz w:val="20"/>
          <w:szCs w:val="20"/>
          <w:lang w:val="uk-UA"/>
        </w:rPr>
        <w:t>Невідображення</w:t>
      </w:r>
      <w:proofErr w:type="spellEnd"/>
      <w:r w:rsidRPr="005914D6">
        <w:rPr>
          <w:sz w:val="20"/>
          <w:szCs w:val="20"/>
          <w:lang w:val="uk-UA"/>
        </w:rPr>
        <w:t xml:space="preserve"> контролюючою особою у звіті про контрольовані іноземні компанії відомостей щодо наявних контрольованих іноземних компаній та/або </w:t>
      </w:r>
      <w:proofErr w:type="spellStart"/>
      <w:r w:rsidRPr="005914D6">
        <w:rPr>
          <w:sz w:val="20"/>
          <w:szCs w:val="20"/>
          <w:lang w:val="uk-UA"/>
        </w:rPr>
        <w:t>невідображення</w:t>
      </w:r>
      <w:proofErr w:type="spellEnd"/>
      <w:r w:rsidRPr="005914D6">
        <w:rPr>
          <w:sz w:val="20"/>
          <w:szCs w:val="20"/>
          <w:lang w:val="uk-UA"/>
        </w:rPr>
        <w:t xml:space="preserve"> інформації, визначеної підпунктами «г» – «з» </w:t>
      </w:r>
      <w:proofErr w:type="spellStart"/>
      <w:r w:rsidRPr="005914D6">
        <w:rPr>
          <w:sz w:val="20"/>
          <w:szCs w:val="20"/>
          <w:lang w:val="uk-UA"/>
        </w:rPr>
        <w:t>п.п</w:t>
      </w:r>
      <w:proofErr w:type="spellEnd"/>
      <w:r w:rsidRPr="005914D6">
        <w:rPr>
          <w:sz w:val="20"/>
          <w:szCs w:val="20"/>
          <w:lang w:val="uk-UA"/>
        </w:rPr>
        <w:t>. 39</w:t>
      </w:r>
      <w:r w:rsidRPr="005914D6">
        <w:rPr>
          <w:sz w:val="20"/>
          <w:szCs w:val="20"/>
          <w:vertAlign w:val="superscript"/>
          <w:lang w:val="uk-UA"/>
        </w:rPr>
        <w:t>2</w:t>
      </w:r>
      <w:r w:rsidRPr="005914D6">
        <w:rPr>
          <w:sz w:val="20"/>
          <w:szCs w:val="20"/>
          <w:lang w:val="uk-UA"/>
        </w:rPr>
        <w:t>.5.3 п. 39</w:t>
      </w:r>
      <w:r w:rsidRPr="005914D6">
        <w:rPr>
          <w:sz w:val="20"/>
          <w:szCs w:val="20"/>
          <w:vertAlign w:val="superscript"/>
          <w:lang w:val="uk-UA"/>
        </w:rPr>
        <w:t>2</w:t>
      </w:r>
      <w:r w:rsidRPr="005914D6">
        <w:rPr>
          <w:sz w:val="20"/>
          <w:szCs w:val="20"/>
          <w:lang w:val="uk-UA"/>
        </w:rPr>
        <w:t>.5 ст. 39</w:t>
      </w:r>
      <w:r w:rsidRPr="005914D6">
        <w:rPr>
          <w:sz w:val="20"/>
          <w:szCs w:val="20"/>
          <w:vertAlign w:val="superscript"/>
          <w:lang w:val="uk-UA"/>
        </w:rPr>
        <w:t>2</w:t>
      </w:r>
      <w:r w:rsidRPr="005914D6">
        <w:rPr>
          <w:sz w:val="20"/>
          <w:szCs w:val="20"/>
          <w:lang w:val="uk-UA"/>
        </w:rPr>
        <w:t xml:space="preserve"> ПКУ, щодо наявних контрольованих іноземних компаній –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тягне за собою накладення штрафу в розмірі 3 відсотків суми доходу контрольованих іноземних компаній або 25 відсотків скоригованого прибутку контрольованої іноземної компанії за відповідний рік, не відображених у звіті про контрольовані іноземні компанії, залежно від того, яке з таких значень є більшим, але не більше 1000 розмірів прожиткового мінімуму для працездатної особи, встановленого законом на 01 січня податкового (звітного) року, за кожен факт </w:t>
      </w:r>
      <w:proofErr w:type="spellStart"/>
      <w:r w:rsidRPr="005914D6">
        <w:rPr>
          <w:sz w:val="20"/>
          <w:szCs w:val="20"/>
          <w:lang w:val="uk-UA"/>
        </w:rPr>
        <w:t>невідображення</w:t>
      </w:r>
      <w:proofErr w:type="spellEnd"/>
      <w:r w:rsidRPr="005914D6">
        <w:rPr>
          <w:sz w:val="20"/>
          <w:szCs w:val="20"/>
          <w:lang w:val="uk-UA"/>
        </w:rPr>
        <w:t xml:space="preserve"> контрольованої іноземної компанії та/або за всі невідображені суми.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lastRenderedPageBreak/>
        <w:t xml:space="preserve">Неповідомлення контролюючою особою контролюючого органу про набуття частки в іноземній юридичній особі, утворенні без статусу юридичної особи, або про початок здійснення фактичного контролю за іноземною юридичною особою, або про відчуження частки в іноземній юридичній особі, або про припинення здійснення фактичного контролю над іноземною юридичною особою у строки, передбачені </w:t>
      </w:r>
      <w:proofErr w:type="spellStart"/>
      <w:r w:rsidRPr="005914D6">
        <w:rPr>
          <w:sz w:val="20"/>
          <w:szCs w:val="20"/>
          <w:lang w:val="uk-UA"/>
        </w:rPr>
        <w:t>п.п</w:t>
      </w:r>
      <w:proofErr w:type="spellEnd"/>
      <w:r w:rsidRPr="005914D6">
        <w:rPr>
          <w:sz w:val="20"/>
          <w:szCs w:val="20"/>
          <w:lang w:val="uk-UA"/>
        </w:rPr>
        <w:t>. 39</w:t>
      </w:r>
      <w:r w:rsidRPr="005914D6">
        <w:rPr>
          <w:sz w:val="20"/>
          <w:szCs w:val="20"/>
          <w:vertAlign w:val="superscript"/>
          <w:lang w:val="uk-UA"/>
        </w:rPr>
        <w:t>2</w:t>
      </w:r>
      <w:r w:rsidRPr="005914D6">
        <w:rPr>
          <w:sz w:val="20"/>
          <w:szCs w:val="20"/>
          <w:lang w:val="uk-UA"/>
        </w:rPr>
        <w:t>.5.5 п. 39</w:t>
      </w:r>
      <w:r w:rsidRPr="005914D6">
        <w:rPr>
          <w:sz w:val="20"/>
          <w:szCs w:val="20"/>
          <w:vertAlign w:val="superscript"/>
          <w:lang w:val="uk-UA"/>
        </w:rPr>
        <w:t>2</w:t>
      </w:r>
      <w:r w:rsidRPr="005914D6">
        <w:rPr>
          <w:sz w:val="20"/>
          <w:szCs w:val="20"/>
          <w:lang w:val="uk-UA"/>
        </w:rPr>
        <w:t>.5 ст. 39</w:t>
      </w:r>
      <w:r w:rsidRPr="005914D6">
        <w:rPr>
          <w:sz w:val="20"/>
          <w:szCs w:val="20"/>
          <w:vertAlign w:val="superscript"/>
          <w:lang w:val="uk-UA"/>
        </w:rPr>
        <w:t>2</w:t>
      </w:r>
      <w:r w:rsidRPr="005914D6">
        <w:rPr>
          <w:sz w:val="20"/>
          <w:szCs w:val="20"/>
          <w:lang w:val="uk-UA"/>
        </w:rPr>
        <w:t xml:space="preserve"> ПКУ, –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тягне за собою накладення штрафу в розмірі 300 розмірів прожиткового мінімуму для працездатної особи, встановленого законом на 01 січня податкового (звітного) року, за кожний такий факт.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Неподання або подання не в повному обсязі контролюючою особою документації з трансфертного ціноутворення, інших копій первинних документів щодо контрольованої іноземної компанії на запит контролюючого органу у випадках, передбачених ст. 39</w:t>
      </w:r>
      <w:r w:rsidRPr="005914D6">
        <w:rPr>
          <w:sz w:val="20"/>
          <w:szCs w:val="20"/>
          <w:vertAlign w:val="superscript"/>
          <w:lang w:val="uk-UA"/>
        </w:rPr>
        <w:t>2</w:t>
      </w:r>
      <w:r w:rsidRPr="005914D6">
        <w:rPr>
          <w:sz w:val="20"/>
          <w:szCs w:val="20"/>
          <w:lang w:val="uk-UA"/>
        </w:rPr>
        <w:t xml:space="preserve"> ПКУ, –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тягне за собою накладення штрафу в розмірі 3 відсотків від суми доходу контрольованої іноземної компанії, щодо яких не було подано документацію та/або копії первинних документів, але не більше 1000 розмірів прожиткового мінімуму для працездатної особи, встановленого законом на 1 січня податкового (звітного) року.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Сплата таких фінансових санкцій (штрафів) не звільняє платника податку від обов’язку подання звіту про контрольовані іноземні компанії та підтверджувальних документів, передбачених ст. 39</w:t>
      </w:r>
      <w:r w:rsidRPr="005914D6">
        <w:rPr>
          <w:sz w:val="20"/>
          <w:szCs w:val="20"/>
          <w:vertAlign w:val="superscript"/>
          <w:lang w:val="uk-UA"/>
        </w:rPr>
        <w:t>2</w:t>
      </w:r>
      <w:r w:rsidRPr="005914D6">
        <w:rPr>
          <w:sz w:val="20"/>
          <w:szCs w:val="20"/>
          <w:lang w:val="uk-UA"/>
        </w:rPr>
        <w:t xml:space="preserve"> ПКУ.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Неподання звіту про контрольовані іноземні компанії протягом 30 календарних днів, наступних за останнім днем граничного строку сплати фінансових санкцій (штрафів), передбачених цим пунктом, –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тягне за собою накладення штрафу в розмірі п’яти розмірів прожиткового мінімуму для працездатної особи, встановленого законом на 1 січня податкового (звітного) року, за кожен календарний день неподання звіту про контрольовані іноземні компанії, але не більше 300 розмірів прожиткового мінімуму для працездатної особи, встановленого законом на 01 січня податкового (звітного) року.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Підписуйтесь на Telegram-канал Державної податкової служби України</w:t>
      </w:r>
      <w:r w:rsidRPr="005914D6">
        <w:rPr>
          <w:sz w:val="20"/>
          <w:szCs w:val="20"/>
          <w:lang w:val="uk-UA"/>
        </w:rPr>
        <w:t xml:space="preserve"> </w:t>
      </w:r>
      <w:hyperlink r:id="rId31"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Сучасне дистанційне спілкування з контролюючими органами – електронний документообіг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П</w:t>
      </w:r>
      <w:r w:rsidR="005914D6" w:rsidRPr="005914D6">
        <w:rPr>
          <w:sz w:val="20"/>
          <w:szCs w:val="20"/>
          <w:lang w:val="uk-UA"/>
        </w:rPr>
        <w:t>овідомляє</w:t>
      </w:r>
      <w:r>
        <w:rPr>
          <w:sz w:val="20"/>
          <w:szCs w:val="20"/>
          <w:lang w:val="uk-UA"/>
        </w:rPr>
        <w:t>мо</w:t>
      </w:r>
      <w:r w:rsidR="005914D6" w:rsidRPr="005914D6">
        <w:rPr>
          <w:sz w:val="20"/>
          <w:szCs w:val="20"/>
          <w:lang w:val="uk-UA"/>
        </w:rPr>
        <w:t xml:space="preserve">, що сьогодні платники податків все більш активно користуються електронними сервісами ДПС України, і зокрема, Електронним кабінетом.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Нагадуємо, що 01.09.2020 набув чинності наказ Міністерства фінансів України від 01.06.2020 № 261 «Про внесення змін до Порядку обміну електронними документами з контролюючими органами» (далі – Наказ № 261).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Наказом № 261 оновлено Порядок обміну електронними документами з контролюючими органами (далі – Порядок).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Відповідно до Порядку платник може бути відключений від електронного документообігу з ДПС.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Є декілька причин, за яких відбувається відключення платника від електронного документообігу, а саме: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після отримання ДПС інформації від державного реєстратора про зміну керівника (у цьому випадку здійснюється автоматичне припинення дії електронного договору);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закінчення терміну дії електронного цифрового підпису (ЕЦП) керівника;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 електронний документ підписаний ЕЦП, термін дії якого минув.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Звертаємо увагу, що </w:t>
      </w:r>
      <w:r w:rsidRPr="005914D6">
        <w:rPr>
          <w:rStyle w:val="a5"/>
          <w:sz w:val="20"/>
          <w:szCs w:val="20"/>
          <w:lang w:val="uk-UA"/>
        </w:rPr>
        <w:t>ЕЦП діяв до 07.11.2020</w:t>
      </w:r>
      <w:r w:rsidRPr="005914D6">
        <w:rPr>
          <w:sz w:val="20"/>
          <w:szCs w:val="20"/>
          <w:lang w:val="uk-UA"/>
        </w:rPr>
        <w:t xml:space="preserve">.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Законом України від 05 жовтня 2017 року № 2155-VIII «Про електронні довірчі послуги» (далі – Закон № 2155) було введено поступовий перехід на кваліфікований електронний підпис (далі – КЕП). Платники податків мали можливість повноцінно використовувати ЕЦП протягом двох років з моменту набуття чинності нових норм, встановлених Законом № 2155 та замінити ЕЦП на КЕП.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Для відновлення електронного документообігу з контролюючим органом достатньо надіслати до податкового органу будь-який електронний документ за електронним підписом керівника.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При цьому для надання права підпису електронних документів іншим особам, яким делеговано таке право підпису на підприємстві, платнику податків необхідно окремо направити повідомлення про КЕП на уповноважених осіб за підписом керівника.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За умови делегування керівником (першою особою) права підпису, з направленням до ДПС повідомлення про КЕП, підприємство отримає можливість у подальшому направляти електронну звітність за підписом уповноважених осіб.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Підписуйтесь на Telegram-канал Державної податкової служби України</w:t>
      </w:r>
      <w:r w:rsidRPr="005914D6">
        <w:rPr>
          <w:sz w:val="20"/>
          <w:szCs w:val="20"/>
          <w:lang w:val="uk-UA"/>
        </w:rPr>
        <w:t xml:space="preserve"> </w:t>
      </w:r>
      <w:hyperlink r:id="rId32"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Обчислення та сплата транспортного податку юридичною особою </w:t>
      </w:r>
    </w:p>
    <w:p w:rsidR="005914D6" w:rsidRPr="005914D6" w:rsidRDefault="00221201" w:rsidP="005914D6">
      <w:pPr>
        <w:pStyle w:val="a3"/>
        <w:spacing w:before="0" w:beforeAutospacing="0" w:after="0" w:afterAutospacing="0"/>
        <w:jc w:val="both"/>
        <w:rPr>
          <w:sz w:val="20"/>
          <w:szCs w:val="20"/>
          <w:lang w:val="uk-UA"/>
        </w:rPr>
      </w:pPr>
      <w:r>
        <w:rPr>
          <w:sz w:val="20"/>
          <w:szCs w:val="20"/>
          <w:lang w:val="uk-UA"/>
        </w:rPr>
        <w:t>І</w:t>
      </w:r>
      <w:r w:rsidR="005914D6" w:rsidRPr="005914D6">
        <w:rPr>
          <w:sz w:val="20"/>
          <w:szCs w:val="20"/>
          <w:lang w:val="uk-UA"/>
        </w:rPr>
        <w:t>нформує</w:t>
      </w:r>
      <w:r>
        <w:rPr>
          <w:sz w:val="20"/>
          <w:szCs w:val="20"/>
          <w:lang w:val="uk-UA"/>
        </w:rPr>
        <w:t>мо</w:t>
      </w:r>
      <w:r w:rsidR="005914D6" w:rsidRPr="005914D6">
        <w:rPr>
          <w:sz w:val="20"/>
          <w:szCs w:val="20"/>
          <w:lang w:val="uk-UA"/>
        </w:rPr>
        <w:t xml:space="preserve">, що платники транспортного податку – юридичні особи самостійно обчислюють суму податку станом на 01 січня звітного року і не пізніше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статтею 46 Податкового кодексу України (далі – ПКУ, з розбивкою річної суми рівними частками поквартально.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Щодо об’єктів оподаткування, придбаних протягом року, декларація юридичною особою – платником транспортного податку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Норми встановлені </w:t>
      </w:r>
      <w:proofErr w:type="spellStart"/>
      <w:r w:rsidRPr="005914D6">
        <w:rPr>
          <w:sz w:val="20"/>
          <w:szCs w:val="20"/>
          <w:lang w:val="uk-UA"/>
        </w:rPr>
        <w:t>п.п</w:t>
      </w:r>
      <w:proofErr w:type="spellEnd"/>
      <w:r w:rsidRPr="005914D6">
        <w:rPr>
          <w:sz w:val="20"/>
          <w:szCs w:val="20"/>
          <w:lang w:val="uk-UA"/>
        </w:rPr>
        <w:t xml:space="preserve">. 267.6.4 п. 267.6 ст. 267 ПКУ. </w:t>
      </w:r>
    </w:p>
    <w:p w:rsidR="005914D6" w:rsidRPr="005914D6" w:rsidRDefault="005914D6" w:rsidP="005914D6">
      <w:pPr>
        <w:pStyle w:val="a3"/>
        <w:spacing w:before="0" w:beforeAutospacing="0" w:after="0" w:afterAutospacing="0"/>
        <w:jc w:val="both"/>
        <w:rPr>
          <w:sz w:val="20"/>
          <w:szCs w:val="20"/>
          <w:lang w:val="uk-UA"/>
        </w:rPr>
      </w:pPr>
      <w:r w:rsidRPr="005914D6">
        <w:rPr>
          <w:rStyle w:val="a8"/>
          <w:sz w:val="20"/>
          <w:szCs w:val="20"/>
          <w:lang w:val="uk-UA"/>
        </w:rPr>
        <w:t>Підписуйтесь на Telegram-канал Державної податкової служби України</w:t>
      </w:r>
      <w:r w:rsidRPr="005914D6">
        <w:rPr>
          <w:sz w:val="20"/>
          <w:szCs w:val="20"/>
          <w:lang w:val="uk-UA"/>
        </w:rPr>
        <w:t xml:space="preserve"> </w:t>
      </w:r>
      <w:hyperlink r:id="rId33" w:tgtFrame="_blank" w:history="1">
        <w:r w:rsidRPr="005914D6">
          <w:rPr>
            <w:rStyle w:val="a4"/>
            <w:sz w:val="20"/>
            <w:szCs w:val="20"/>
            <w:lang w:val="uk-UA"/>
          </w:rPr>
          <w:t>https://t.me/tax_gov_ua</w:t>
        </w:r>
      </w:hyperlink>
      <w:r w:rsidRPr="005914D6">
        <w:rPr>
          <w:sz w:val="20"/>
          <w:szCs w:val="20"/>
          <w:lang w:val="uk-UA"/>
        </w:rPr>
        <w:t xml:space="preserve"> </w:t>
      </w:r>
    </w:p>
    <w:p w:rsidR="00221201" w:rsidRPr="005914D6" w:rsidRDefault="00221201" w:rsidP="00221201">
      <w:pPr>
        <w:pStyle w:val="a3"/>
        <w:spacing w:before="0" w:beforeAutospacing="0" w:after="0" w:afterAutospacing="0"/>
        <w:rPr>
          <w:sz w:val="20"/>
          <w:szCs w:val="20"/>
          <w:lang w:val="uk-UA"/>
        </w:rPr>
      </w:pPr>
    </w:p>
    <w:p w:rsidR="005914D6" w:rsidRPr="005914D6" w:rsidRDefault="005914D6" w:rsidP="005914D6">
      <w:pPr>
        <w:jc w:val="left"/>
        <w:outlineLvl w:val="0"/>
        <w:rPr>
          <w:rFonts w:ascii="Times New Roman" w:eastAsia="Times New Roman" w:hAnsi="Times New Roman" w:cs="Times New Roman"/>
          <w:b/>
          <w:bCs/>
          <w:kern w:val="36"/>
          <w:sz w:val="20"/>
          <w:szCs w:val="20"/>
          <w:lang w:val="uk-UA" w:eastAsia="ru-RU"/>
        </w:rPr>
      </w:pPr>
      <w:r w:rsidRPr="005914D6">
        <w:rPr>
          <w:rFonts w:ascii="Times New Roman" w:eastAsia="Times New Roman" w:hAnsi="Times New Roman" w:cs="Times New Roman"/>
          <w:b/>
          <w:bCs/>
          <w:kern w:val="36"/>
          <w:sz w:val="20"/>
          <w:szCs w:val="20"/>
          <w:lang w:val="uk-UA" w:eastAsia="ru-RU"/>
        </w:rPr>
        <w:t xml:space="preserve">Реєстрація програмного РРО – швидко та просто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Зареєструвати програмний РРО можна швидко та просто. Відповідний </w:t>
      </w:r>
      <w:proofErr w:type="spellStart"/>
      <w:r w:rsidRPr="005914D6">
        <w:rPr>
          <w:rFonts w:ascii="Times New Roman" w:eastAsia="Times New Roman" w:hAnsi="Times New Roman" w:cs="Times New Roman"/>
          <w:sz w:val="20"/>
          <w:szCs w:val="20"/>
          <w:lang w:val="uk-UA" w:eastAsia="ru-RU"/>
        </w:rPr>
        <w:t>відеоурок</w:t>
      </w:r>
      <w:proofErr w:type="spellEnd"/>
      <w:r w:rsidRPr="005914D6">
        <w:rPr>
          <w:rFonts w:ascii="Times New Roman" w:eastAsia="Times New Roman" w:hAnsi="Times New Roman" w:cs="Times New Roman"/>
          <w:sz w:val="20"/>
          <w:szCs w:val="20"/>
          <w:lang w:val="uk-UA" w:eastAsia="ru-RU"/>
        </w:rPr>
        <w:t xml:space="preserve"> розроблено Державною податковою службою України.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Для початку роботи з програмним РРО необхідно, перш за все, отримати кваліфікований електронний підпис (КЕП) у будь-якого Кваліфікованого надавача електронних довірчих послуг. ДПС такі ключі видає безкоштовно.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t xml:space="preserve">Потім потрібно встановити програмне забезпечення на будь-який зручний пристрій, який є в наявності. Це може бути комп’ютер, </w:t>
      </w:r>
      <w:proofErr w:type="spellStart"/>
      <w:r w:rsidRPr="005914D6">
        <w:rPr>
          <w:rFonts w:ascii="Times New Roman" w:eastAsia="Times New Roman" w:hAnsi="Times New Roman" w:cs="Times New Roman"/>
          <w:sz w:val="20"/>
          <w:szCs w:val="20"/>
          <w:lang w:val="uk-UA" w:eastAsia="ru-RU"/>
        </w:rPr>
        <w:t>смартфон</w:t>
      </w:r>
      <w:proofErr w:type="spellEnd"/>
      <w:r w:rsidRPr="005914D6">
        <w:rPr>
          <w:rFonts w:ascii="Times New Roman" w:eastAsia="Times New Roman" w:hAnsi="Times New Roman" w:cs="Times New Roman"/>
          <w:sz w:val="20"/>
          <w:szCs w:val="20"/>
          <w:lang w:val="uk-UA" w:eastAsia="ru-RU"/>
        </w:rPr>
        <w:t xml:space="preserve"> або планшет. Завантажити програмне забезпечення можна за посиланням</w:t>
      </w:r>
      <w:hyperlink r:id="rId34" w:history="1">
        <w:r w:rsidRPr="005914D6">
          <w:rPr>
            <w:rFonts w:ascii="Times New Roman" w:eastAsia="Times New Roman" w:hAnsi="Times New Roman" w:cs="Times New Roman"/>
            <w:i/>
            <w:iCs/>
            <w:color w:val="0000FF"/>
            <w:sz w:val="20"/>
            <w:szCs w:val="20"/>
            <w:u w:val="single"/>
            <w:lang w:val="uk-UA" w:eastAsia="ru-RU"/>
          </w:rPr>
          <w:t>https://tax.gov.ua/baneryi/programni-rro/programniy-reestrator-rozrahunkovih-operatsiy/</w:t>
        </w:r>
      </w:hyperlink>
      <w:r w:rsidRPr="005914D6">
        <w:rPr>
          <w:rFonts w:ascii="Times New Roman" w:eastAsia="Times New Roman" w:hAnsi="Times New Roman" w:cs="Times New Roman"/>
          <w:i/>
          <w:iCs/>
          <w:sz w:val="20"/>
          <w:szCs w:val="20"/>
          <w:lang w:val="uk-UA" w:eastAsia="ru-RU"/>
        </w:rPr>
        <w:t>.</w:t>
      </w:r>
      <w:r w:rsidRPr="005914D6">
        <w:rPr>
          <w:rFonts w:ascii="Times New Roman" w:eastAsia="Times New Roman" w:hAnsi="Times New Roman" w:cs="Times New Roman"/>
          <w:sz w:val="20"/>
          <w:szCs w:val="20"/>
          <w:lang w:val="uk-UA" w:eastAsia="ru-RU"/>
        </w:rPr>
        <w:t xml:space="preserve"> </w:t>
      </w:r>
    </w:p>
    <w:p w:rsidR="005914D6" w:rsidRPr="005914D6" w:rsidRDefault="005914D6" w:rsidP="005914D6">
      <w:pPr>
        <w:rPr>
          <w:rFonts w:ascii="Times New Roman" w:eastAsia="Times New Roman" w:hAnsi="Times New Roman" w:cs="Times New Roman"/>
          <w:sz w:val="20"/>
          <w:szCs w:val="20"/>
          <w:lang w:val="uk-UA" w:eastAsia="ru-RU"/>
        </w:rPr>
      </w:pPr>
      <w:r w:rsidRPr="005914D6">
        <w:rPr>
          <w:rFonts w:ascii="Times New Roman" w:eastAsia="Times New Roman" w:hAnsi="Times New Roman" w:cs="Times New Roman"/>
          <w:sz w:val="20"/>
          <w:szCs w:val="20"/>
          <w:lang w:val="uk-UA" w:eastAsia="ru-RU"/>
        </w:rPr>
        <w:lastRenderedPageBreak/>
        <w:t xml:space="preserve">Детально ознайомитися з процедурою реєстрацією ПРРО можна у </w:t>
      </w:r>
      <w:proofErr w:type="spellStart"/>
      <w:r w:rsidRPr="005914D6">
        <w:rPr>
          <w:rFonts w:ascii="Times New Roman" w:eastAsia="Times New Roman" w:hAnsi="Times New Roman" w:cs="Times New Roman"/>
          <w:sz w:val="20"/>
          <w:szCs w:val="20"/>
          <w:u w:val="single"/>
          <w:lang w:val="uk-UA" w:eastAsia="ru-RU"/>
        </w:rPr>
        <w:t>відеоуроці</w:t>
      </w:r>
      <w:proofErr w:type="spellEnd"/>
      <w:r w:rsidRPr="005914D6">
        <w:rPr>
          <w:rFonts w:ascii="Times New Roman" w:eastAsia="Times New Roman" w:hAnsi="Times New Roman" w:cs="Times New Roman"/>
          <w:sz w:val="20"/>
          <w:szCs w:val="20"/>
          <w:lang w:val="uk-UA" w:eastAsia="ru-RU"/>
        </w:rPr>
        <w:t xml:space="preserve"> </w:t>
      </w:r>
      <w:r w:rsidRPr="005914D6">
        <w:rPr>
          <w:rFonts w:ascii="Times New Roman" w:eastAsia="Times New Roman" w:hAnsi="Times New Roman" w:cs="Times New Roman"/>
          <w:sz w:val="20"/>
          <w:szCs w:val="20"/>
          <w:u w:val="single"/>
          <w:lang w:val="uk-UA" w:eastAsia="ru-RU"/>
        </w:rPr>
        <w:t>(</w:t>
      </w:r>
      <w:hyperlink r:id="rId35" w:history="1">
        <w:r w:rsidRPr="005914D6">
          <w:rPr>
            <w:rFonts w:ascii="Times New Roman" w:eastAsia="Times New Roman" w:hAnsi="Times New Roman" w:cs="Times New Roman"/>
            <w:i/>
            <w:iCs/>
            <w:color w:val="0000FF"/>
            <w:sz w:val="20"/>
            <w:szCs w:val="20"/>
            <w:u w:val="single"/>
            <w:lang w:val="uk-UA" w:eastAsia="ru-RU"/>
          </w:rPr>
          <w:t>https://tax.gov.ua/baneryi/programni-rro/video-lessons/6842.html</w:t>
        </w:r>
      </w:hyperlink>
      <w:r w:rsidRPr="005914D6">
        <w:rPr>
          <w:rFonts w:ascii="Times New Roman" w:eastAsia="Times New Roman" w:hAnsi="Times New Roman" w:cs="Times New Roman"/>
          <w:sz w:val="20"/>
          <w:szCs w:val="20"/>
          <w:lang w:val="uk-UA" w:eastAsia="ru-RU"/>
        </w:rPr>
        <w:t xml:space="preserve">). </w:t>
      </w:r>
    </w:p>
    <w:p w:rsidR="00221201" w:rsidRPr="005914D6" w:rsidRDefault="00221201" w:rsidP="005914D6">
      <w:pPr>
        <w:rPr>
          <w:rFonts w:ascii="Times New Roman" w:eastAsia="Times New Roman" w:hAnsi="Times New Roman" w:cs="Times New Roman"/>
          <w:sz w:val="20"/>
          <w:szCs w:val="20"/>
          <w:lang w:val="uk-UA" w:eastAsia="ru-RU"/>
        </w:rPr>
      </w:pPr>
    </w:p>
    <w:p w:rsidR="005914D6" w:rsidRPr="005914D6" w:rsidRDefault="005914D6" w:rsidP="005914D6">
      <w:pPr>
        <w:pStyle w:val="1"/>
        <w:spacing w:before="0" w:beforeAutospacing="0" w:after="0" w:afterAutospacing="0"/>
        <w:rPr>
          <w:sz w:val="20"/>
          <w:szCs w:val="20"/>
          <w:lang w:val="uk-UA"/>
        </w:rPr>
      </w:pPr>
      <w:r w:rsidRPr="005914D6">
        <w:rPr>
          <w:sz w:val="20"/>
          <w:szCs w:val="20"/>
          <w:lang w:val="uk-UA"/>
        </w:rPr>
        <w:t xml:space="preserve">Подано понад 2,3 тис. звітів про контрольовані операції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Платники податків подали 2 322 звіти про контрольовані операції за 2019 рік. Це вже сьомий період подання таких звітів в Україні. У звітах декларуються контрольовані операції з 5 220 нерезидентами на суму 2 553 600,8 </w:t>
      </w:r>
      <w:proofErr w:type="spellStart"/>
      <w:r w:rsidRPr="005914D6">
        <w:rPr>
          <w:sz w:val="20"/>
          <w:szCs w:val="20"/>
          <w:lang w:val="uk-UA"/>
        </w:rPr>
        <w:t>млн</w:t>
      </w:r>
      <w:proofErr w:type="spellEnd"/>
      <w:r w:rsidRPr="005914D6">
        <w:rPr>
          <w:sz w:val="20"/>
          <w:szCs w:val="20"/>
          <w:lang w:val="uk-UA"/>
        </w:rPr>
        <w:t xml:space="preserve"> гривень.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Основними країнами, з резидентами яких здійснювались найбільші за обсягами контрольовані операції (крім банківських операцій), є: Швейцарська Конфедерація – 33 </w:t>
      </w:r>
      <w:proofErr w:type="spellStart"/>
      <w:r w:rsidRPr="005914D6">
        <w:rPr>
          <w:sz w:val="20"/>
          <w:szCs w:val="20"/>
          <w:lang w:val="uk-UA"/>
        </w:rPr>
        <w:t>відс</w:t>
      </w:r>
      <w:proofErr w:type="spellEnd"/>
      <w:r w:rsidRPr="005914D6">
        <w:rPr>
          <w:sz w:val="20"/>
          <w:szCs w:val="20"/>
          <w:lang w:val="uk-UA"/>
        </w:rPr>
        <w:t xml:space="preserve">.; Республіка Кіпр – 10 </w:t>
      </w:r>
      <w:proofErr w:type="spellStart"/>
      <w:r w:rsidRPr="005914D6">
        <w:rPr>
          <w:sz w:val="20"/>
          <w:szCs w:val="20"/>
          <w:lang w:val="uk-UA"/>
        </w:rPr>
        <w:t>відс</w:t>
      </w:r>
      <w:proofErr w:type="spellEnd"/>
      <w:r w:rsidRPr="005914D6">
        <w:rPr>
          <w:sz w:val="20"/>
          <w:szCs w:val="20"/>
          <w:lang w:val="uk-UA"/>
        </w:rPr>
        <w:t xml:space="preserve">.; Об’єднані Арабські Емірати – 7 </w:t>
      </w:r>
      <w:proofErr w:type="spellStart"/>
      <w:r w:rsidRPr="005914D6">
        <w:rPr>
          <w:sz w:val="20"/>
          <w:szCs w:val="20"/>
          <w:lang w:val="uk-UA"/>
        </w:rPr>
        <w:t>відс</w:t>
      </w:r>
      <w:proofErr w:type="spellEnd"/>
      <w:r w:rsidRPr="005914D6">
        <w:rPr>
          <w:sz w:val="20"/>
          <w:szCs w:val="20"/>
          <w:lang w:val="uk-UA"/>
        </w:rPr>
        <w:t xml:space="preserve">.; Сполучене Королівство Великої Британії – 5 </w:t>
      </w:r>
      <w:proofErr w:type="spellStart"/>
      <w:r w:rsidRPr="005914D6">
        <w:rPr>
          <w:sz w:val="20"/>
          <w:szCs w:val="20"/>
          <w:lang w:val="uk-UA"/>
        </w:rPr>
        <w:t>відс</w:t>
      </w:r>
      <w:proofErr w:type="spellEnd"/>
      <w:r w:rsidRPr="005914D6">
        <w:rPr>
          <w:sz w:val="20"/>
          <w:szCs w:val="20"/>
          <w:lang w:val="uk-UA"/>
        </w:rPr>
        <w:t xml:space="preserve">.; Республіка Німеччина – 4 </w:t>
      </w:r>
      <w:proofErr w:type="spellStart"/>
      <w:r w:rsidRPr="005914D6">
        <w:rPr>
          <w:sz w:val="20"/>
          <w:szCs w:val="20"/>
          <w:lang w:val="uk-UA"/>
        </w:rPr>
        <w:t>відс</w:t>
      </w:r>
      <w:proofErr w:type="spellEnd"/>
      <w:r w:rsidRPr="005914D6">
        <w:rPr>
          <w:sz w:val="20"/>
          <w:szCs w:val="20"/>
          <w:lang w:val="uk-UA"/>
        </w:rPr>
        <w:t xml:space="preserve">.; інші – 42 відсотка.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Основними країнами, з резидентами яких банківські установи здійснювали найбільші за обсягами контрольовані операції,є: Французька Республіка – 35 </w:t>
      </w:r>
      <w:proofErr w:type="spellStart"/>
      <w:r w:rsidRPr="005914D6">
        <w:rPr>
          <w:sz w:val="20"/>
          <w:szCs w:val="20"/>
          <w:lang w:val="uk-UA"/>
        </w:rPr>
        <w:t>відс</w:t>
      </w:r>
      <w:proofErr w:type="spellEnd"/>
      <w:r w:rsidRPr="005914D6">
        <w:rPr>
          <w:sz w:val="20"/>
          <w:szCs w:val="20"/>
          <w:lang w:val="uk-UA"/>
        </w:rPr>
        <w:t xml:space="preserve">.; Російська Федерація – 31 </w:t>
      </w:r>
      <w:proofErr w:type="spellStart"/>
      <w:r w:rsidRPr="005914D6">
        <w:rPr>
          <w:sz w:val="20"/>
          <w:szCs w:val="20"/>
          <w:lang w:val="uk-UA"/>
        </w:rPr>
        <w:t>відс</w:t>
      </w:r>
      <w:proofErr w:type="spellEnd"/>
      <w:r w:rsidRPr="005914D6">
        <w:rPr>
          <w:sz w:val="20"/>
          <w:szCs w:val="20"/>
          <w:lang w:val="uk-UA"/>
        </w:rPr>
        <w:t xml:space="preserve">.; Сполучене Королівство Великої Британії – 10 </w:t>
      </w:r>
      <w:proofErr w:type="spellStart"/>
      <w:r w:rsidRPr="005914D6">
        <w:rPr>
          <w:sz w:val="20"/>
          <w:szCs w:val="20"/>
          <w:lang w:val="uk-UA"/>
        </w:rPr>
        <w:t>відс</w:t>
      </w:r>
      <w:proofErr w:type="spellEnd"/>
      <w:r w:rsidRPr="005914D6">
        <w:rPr>
          <w:sz w:val="20"/>
          <w:szCs w:val="20"/>
          <w:lang w:val="uk-UA"/>
        </w:rPr>
        <w:t xml:space="preserve">.; Республіка Австрія – 9 </w:t>
      </w:r>
      <w:proofErr w:type="spellStart"/>
      <w:r w:rsidRPr="005914D6">
        <w:rPr>
          <w:sz w:val="20"/>
          <w:szCs w:val="20"/>
          <w:lang w:val="uk-UA"/>
        </w:rPr>
        <w:t>відс</w:t>
      </w:r>
      <w:proofErr w:type="spellEnd"/>
      <w:r w:rsidRPr="005914D6">
        <w:rPr>
          <w:sz w:val="20"/>
          <w:szCs w:val="20"/>
          <w:lang w:val="uk-UA"/>
        </w:rPr>
        <w:t xml:space="preserve">.; Сполучені Штати Америки – 5 </w:t>
      </w:r>
      <w:proofErr w:type="spellStart"/>
      <w:r w:rsidRPr="005914D6">
        <w:rPr>
          <w:sz w:val="20"/>
          <w:szCs w:val="20"/>
          <w:lang w:val="uk-UA"/>
        </w:rPr>
        <w:t>відс</w:t>
      </w:r>
      <w:proofErr w:type="spellEnd"/>
      <w:r w:rsidRPr="005914D6">
        <w:rPr>
          <w:sz w:val="20"/>
          <w:szCs w:val="20"/>
          <w:lang w:val="uk-UA"/>
        </w:rPr>
        <w:t xml:space="preserve">.; Королівство Нідерландів – 5 </w:t>
      </w:r>
      <w:proofErr w:type="spellStart"/>
      <w:r w:rsidRPr="005914D6">
        <w:rPr>
          <w:sz w:val="20"/>
          <w:szCs w:val="20"/>
          <w:lang w:val="uk-UA"/>
        </w:rPr>
        <w:t>відс</w:t>
      </w:r>
      <w:proofErr w:type="spellEnd"/>
      <w:r w:rsidRPr="005914D6">
        <w:rPr>
          <w:sz w:val="20"/>
          <w:szCs w:val="20"/>
          <w:lang w:val="uk-UA"/>
        </w:rPr>
        <w:t xml:space="preserve">.; інші – 5 відсотків.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Операції з товарами та операції з банківськими послугами традиційно займають відповідно 50 </w:t>
      </w:r>
      <w:proofErr w:type="spellStart"/>
      <w:r w:rsidRPr="005914D6">
        <w:rPr>
          <w:sz w:val="20"/>
          <w:szCs w:val="20"/>
          <w:lang w:val="uk-UA"/>
        </w:rPr>
        <w:t>відс</w:t>
      </w:r>
      <w:proofErr w:type="spellEnd"/>
      <w:r w:rsidRPr="005914D6">
        <w:rPr>
          <w:sz w:val="20"/>
          <w:szCs w:val="20"/>
          <w:lang w:val="uk-UA"/>
        </w:rPr>
        <w:t xml:space="preserve">. та 33 </w:t>
      </w:r>
      <w:proofErr w:type="spellStart"/>
      <w:r w:rsidRPr="005914D6">
        <w:rPr>
          <w:sz w:val="20"/>
          <w:szCs w:val="20"/>
          <w:lang w:val="uk-UA"/>
        </w:rPr>
        <w:t>відс</w:t>
      </w:r>
      <w:proofErr w:type="spellEnd"/>
      <w:r w:rsidRPr="005914D6">
        <w:rPr>
          <w:sz w:val="20"/>
          <w:szCs w:val="20"/>
          <w:lang w:val="uk-UA"/>
        </w:rPr>
        <w:t xml:space="preserve">. за обсягами контрольованих операцій. Операції з фінансових послуг та  послуг становлять 7 </w:t>
      </w:r>
      <w:proofErr w:type="spellStart"/>
      <w:r w:rsidRPr="005914D6">
        <w:rPr>
          <w:sz w:val="20"/>
          <w:szCs w:val="20"/>
          <w:lang w:val="uk-UA"/>
        </w:rPr>
        <w:t>відс</w:t>
      </w:r>
      <w:proofErr w:type="spellEnd"/>
      <w:r w:rsidRPr="005914D6">
        <w:rPr>
          <w:sz w:val="20"/>
          <w:szCs w:val="20"/>
          <w:lang w:val="uk-UA"/>
        </w:rPr>
        <w:t xml:space="preserve">. та 6 </w:t>
      </w:r>
      <w:proofErr w:type="spellStart"/>
      <w:r w:rsidRPr="005914D6">
        <w:rPr>
          <w:sz w:val="20"/>
          <w:szCs w:val="20"/>
          <w:lang w:val="uk-UA"/>
        </w:rPr>
        <w:t>відс</w:t>
      </w:r>
      <w:proofErr w:type="spellEnd"/>
      <w:r w:rsidRPr="005914D6">
        <w:rPr>
          <w:sz w:val="20"/>
          <w:szCs w:val="20"/>
          <w:lang w:val="uk-UA"/>
        </w:rPr>
        <w:t xml:space="preserve">. відповідно. </w:t>
      </w:r>
    </w:p>
    <w:p w:rsidR="005914D6" w:rsidRPr="005914D6" w:rsidRDefault="005914D6" w:rsidP="005914D6">
      <w:pPr>
        <w:pStyle w:val="a3"/>
        <w:spacing w:before="0" w:beforeAutospacing="0" w:after="0" w:afterAutospacing="0"/>
        <w:jc w:val="both"/>
        <w:rPr>
          <w:sz w:val="20"/>
          <w:szCs w:val="20"/>
          <w:lang w:val="uk-UA"/>
        </w:rPr>
      </w:pPr>
      <w:r w:rsidRPr="005914D6">
        <w:rPr>
          <w:sz w:val="20"/>
          <w:szCs w:val="20"/>
          <w:lang w:val="uk-UA"/>
        </w:rPr>
        <w:t xml:space="preserve">Нагадаємо, що граничний термін подання звітів про контрольовані операції за 2019 рік минув1 жовтня 2020 року. </w:t>
      </w:r>
    </w:p>
    <w:p w:rsidR="00726FAD" w:rsidRPr="005914D6" w:rsidRDefault="00726FAD" w:rsidP="005914D6">
      <w:pPr>
        <w:rPr>
          <w:rFonts w:ascii="Times New Roman" w:hAnsi="Times New Roman" w:cs="Times New Roman"/>
          <w:sz w:val="20"/>
          <w:szCs w:val="20"/>
          <w:lang w:val="uk-UA"/>
        </w:rPr>
      </w:pPr>
    </w:p>
    <w:p w:rsidR="00726FAD" w:rsidRPr="005914D6" w:rsidRDefault="00726FAD" w:rsidP="005914D6">
      <w:pPr>
        <w:rPr>
          <w:rFonts w:ascii="Times New Roman" w:hAnsi="Times New Roman" w:cs="Times New Roman"/>
          <w:sz w:val="20"/>
          <w:szCs w:val="20"/>
          <w:lang w:val="uk-UA"/>
        </w:rPr>
      </w:pPr>
    </w:p>
    <w:p w:rsidR="00726FAD" w:rsidRPr="005914D6" w:rsidRDefault="00726FAD" w:rsidP="005914D6">
      <w:pPr>
        <w:rPr>
          <w:rFonts w:ascii="Times New Roman" w:hAnsi="Times New Roman" w:cs="Times New Roman"/>
          <w:sz w:val="20"/>
          <w:szCs w:val="20"/>
          <w:lang w:val="uk-UA"/>
        </w:rPr>
      </w:pPr>
    </w:p>
    <w:p w:rsidR="00726FAD" w:rsidRPr="005914D6" w:rsidRDefault="00726FAD" w:rsidP="005914D6">
      <w:pPr>
        <w:rPr>
          <w:rFonts w:ascii="Times New Roman" w:hAnsi="Times New Roman" w:cs="Times New Roman"/>
          <w:sz w:val="20"/>
          <w:szCs w:val="20"/>
          <w:lang w:val="uk-UA"/>
        </w:rPr>
      </w:pPr>
    </w:p>
    <w:sectPr w:rsidR="00726FAD" w:rsidRPr="005914D6" w:rsidSect="0020143F">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0143F"/>
    <w:rsid w:val="00054163"/>
    <w:rsid w:val="00085CC9"/>
    <w:rsid w:val="000E5266"/>
    <w:rsid w:val="001E0866"/>
    <w:rsid w:val="0020143F"/>
    <w:rsid w:val="00221201"/>
    <w:rsid w:val="00312871"/>
    <w:rsid w:val="00314BE1"/>
    <w:rsid w:val="00350BAB"/>
    <w:rsid w:val="00351791"/>
    <w:rsid w:val="00365653"/>
    <w:rsid w:val="003B125B"/>
    <w:rsid w:val="003B4607"/>
    <w:rsid w:val="003B6419"/>
    <w:rsid w:val="00405E50"/>
    <w:rsid w:val="00494230"/>
    <w:rsid w:val="004D094B"/>
    <w:rsid w:val="004F3970"/>
    <w:rsid w:val="0053113F"/>
    <w:rsid w:val="005914D6"/>
    <w:rsid w:val="006F0C6B"/>
    <w:rsid w:val="00726FAD"/>
    <w:rsid w:val="00784E55"/>
    <w:rsid w:val="007C291B"/>
    <w:rsid w:val="008013D6"/>
    <w:rsid w:val="0085702F"/>
    <w:rsid w:val="00A02A89"/>
    <w:rsid w:val="00A914F0"/>
    <w:rsid w:val="00E15D7B"/>
    <w:rsid w:val="00E1798F"/>
    <w:rsid w:val="00F13EC1"/>
    <w:rsid w:val="00F813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43F"/>
  </w:style>
  <w:style w:type="paragraph" w:styleId="1">
    <w:name w:val="heading 1"/>
    <w:basedOn w:val="a"/>
    <w:link w:val="10"/>
    <w:uiPriority w:val="9"/>
    <w:qFormat/>
    <w:rsid w:val="001E0866"/>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B4607"/>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Hyperlink"/>
    <w:basedOn w:val="a0"/>
    <w:rsid w:val="003B4607"/>
    <w:rPr>
      <w:color w:val="0000FF"/>
      <w:u w:val="single"/>
    </w:rPr>
  </w:style>
  <w:style w:type="character" w:customStyle="1" w:styleId="10">
    <w:name w:val="Заголовок 1 Знак"/>
    <w:basedOn w:val="a0"/>
    <w:link w:val="1"/>
    <w:uiPriority w:val="9"/>
    <w:rsid w:val="001E0866"/>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1E0866"/>
    <w:rPr>
      <w:b/>
      <w:bCs/>
    </w:rPr>
  </w:style>
  <w:style w:type="paragraph" w:styleId="a6">
    <w:name w:val="Balloon Text"/>
    <w:basedOn w:val="a"/>
    <w:link w:val="a7"/>
    <w:uiPriority w:val="99"/>
    <w:semiHidden/>
    <w:unhideWhenUsed/>
    <w:rsid w:val="001E0866"/>
    <w:rPr>
      <w:rFonts w:ascii="Tahoma" w:hAnsi="Tahoma" w:cs="Tahoma"/>
      <w:sz w:val="16"/>
      <w:szCs w:val="16"/>
    </w:rPr>
  </w:style>
  <w:style w:type="character" w:customStyle="1" w:styleId="a7">
    <w:name w:val="Текст выноски Знак"/>
    <w:basedOn w:val="a0"/>
    <w:link w:val="a6"/>
    <w:uiPriority w:val="99"/>
    <w:semiHidden/>
    <w:rsid w:val="001E0866"/>
    <w:rPr>
      <w:rFonts w:ascii="Tahoma" w:hAnsi="Tahoma" w:cs="Tahoma"/>
      <w:sz w:val="16"/>
      <w:szCs w:val="16"/>
    </w:rPr>
  </w:style>
  <w:style w:type="character" w:styleId="a8">
    <w:name w:val="Emphasis"/>
    <w:basedOn w:val="a0"/>
    <w:uiPriority w:val="20"/>
    <w:qFormat/>
    <w:rsid w:val="001E0866"/>
    <w:rPr>
      <w:i/>
      <w:iCs/>
    </w:rPr>
  </w:style>
  <w:style w:type="paragraph" w:customStyle="1" w:styleId="rvps2">
    <w:name w:val="rvps2"/>
    <w:basedOn w:val="a"/>
    <w:rsid w:val="006F0C6B"/>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4407682">
      <w:bodyDiv w:val="1"/>
      <w:marLeft w:val="0"/>
      <w:marRight w:val="0"/>
      <w:marTop w:val="0"/>
      <w:marBottom w:val="0"/>
      <w:divBdr>
        <w:top w:val="none" w:sz="0" w:space="0" w:color="auto"/>
        <w:left w:val="none" w:sz="0" w:space="0" w:color="auto"/>
        <w:bottom w:val="none" w:sz="0" w:space="0" w:color="auto"/>
        <w:right w:val="none" w:sz="0" w:space="0" w:color="auto"/>
      </w:divBdr>
      <w:divsChild>
        <w:div w:id="568423329">
          <w:marLeft w:val="0"/>
          <w:marRight w:val="0"/>
          <w:marTop w:val="0"/>
          <w:marBottom w:val="0"/>
          <w:divBdr>
            <w:top w:val="none" w:sz="0" w:space="0" w:color="auto"/>
            <w:left w:val="none" w:sz="0" w:space="0" w:color="auto"/>
            <w:bottom w:val="none" w:sz="0" w:space="0" w:color="auto"/>
            <w:right w:val="none" w:sz="0" w:space="0" w:color="auto"/>
          </w:divBdr>
          <w:divsChild>
            <w:div w:id="1782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6393">
      <w:bodyDiv w:val="1"/>
      <w:marLeft w:val="0"/>
      <w:marRight w:val="0"/>
      <w:marTop w:val="0"/>
      <w:marBottom w:val="0"/>
      <w:divBdr>
        <w:top w:val="none" w:sz="0" w:space="0" w:color="auto"/>
        <w:left w:val="none" w:sz="0" w:space="0" w:color="auto"/>
        <w:bottom w:val="none" w:sz="0" w:space="0" w:color="auto"/>
        <w:right w:val="none" w:sz="0" w:space="0" w:color="auto"/>
      </w:divBdr>
      <w:divsChild>
        <w:div w:id="1089813188">
          <w:marLeft w:val="0"/>
          <w:marRight w:val="0"/>
          <w:marTop w:val="0"/>
          <w:marBottom w:val="0"/>
          <w:divBdr>
            <w:top w:val="none" w:sz="0" w:space="0" w:color="auto"/>
            <w:left w:val="none" w:sz="0" w:space="0" w:color="auto"/>
            <w:bottom w:val="none" w:sz="0" w:space="0" w:color="auto"/>
            <w:right w:val="none" w:sz="0" w:space="0" w:color="auto"/>
          </w:divBdr>
          <w:divsChild>
            <w:div w:id="93074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3957">
      <w:bodyDiv w:val="1"/>
      <w:marLeft w:val="0"/>
      <w:marRight w:val="0"/>
      <w:marTop w:val="0"/>
      <w:marBottom w:val="0"/>
      <w:divBdr>
        <w:top w:val="none" w:sz="0" w:space="0" w:color="auto"/>
        <w:left w:val="none" w:sz="0" w:space="0" w:color="auto"/>
        <w:bottom w:val="none" w:sz="0" w:space="0" w:color="auto"/>
        <w:right w:val="none" w:sz="0" w:space="0" w:color="auto"/>
      </w:divBdr>
      <w:divsChild>
        <w:div w:id="1922905936">
          <w:marLeft w:val="0"/>
          <w:marRight w:val="0"/>
          <w:marTop w:val="0"/>
          <w:marBottom w:val="0"/>
          <w:divBdr>
            <w:top w:val="none" w:sz="0" w:space="0" w:color="auto"/>
            <w:left w:val="none" w:sz="0" w:space="0" w:color="auto"/>
            <w:bottom w:val="none" w:sz="0" w:space="0" w:color="auto"/>
            <w:right w:val="none" w:sz="0" w:space="0" w:color="auto"/>
          </w:divBdr>
          <w:divsChild>
            <w:div w:id="7816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3089">
      <w:bodyDiv w:val="1"/>
      <w:marLeft w:val="0"/>
      <w:marRight w:val="0"/>
      <w:marTop w:val="0"/>
      <w:marBottom w:val="0"/>
      <w:divBdr>
        <w:top w:val="none" w:sz="0" w:space="0" w:color="auto"/>
        <w:left w:val="none" w:sz="0" w:space="0" w:color="auto"/>
        <w:bottom w:val="none" w:sz="0" w:space="0" w:color="auto"/>
        <w:right w:val="none" w:sz="0" w:space="0" w:color="auto"/>
      </w:divBdr>
      <w:divsChild>
        <w:div w:id="2024285186">
          <w:marLeft w:val="0"/>
          <w:marRight w:val="0"/>
          <w:marTop w:val="0"/>
          <w:marBottom w:val="0"/>
          <w:divBdr>
            <w:top w:val="none" w:sz="0" w:space="0" w:color="auto"/>
            <w:left w:val="none" w:sz="0" w:space="0" w:color="auto"/>
            <w:bottom w:val="none" w:sz="0" w:space="0" w:color="auto"/>
            <w:right w:val="none" w:sz="0" w:space="0" w:color="auto"/>
          </w:divBdr>
          <w:divsChild>
            <w:div w:id="129093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0474">
      <w:bodyDiv w:val="1"/>
      <w:marLeft w:val="0"/>
      <w:marRight w:val="0"/>
      <w:marTop w:val="0"/>
      <w:marBottom w:val="0"/>
      <w:divBdr>
        <w:top w:val="none" w:sz="0" w:space="0" w:color="auto"/>
        <w:left w:val="none" w:sz="0" w:space="0" w:color="auto"/>
        <w:bottom w:val="none" w:sz="0" w:space="0" w:color="auto"/>
        <w:right w:val="none" w:sz="0" w:space="0" w:color="auto"/>
      </w:divBdr>
      <w:divsChild>
        <w:div w:id="102501303">
          <w:marLeft w:val="0"/>
          <w:marRight w:val="0"/>
          <w:marTop w:val="0"/>
          <w:marBottom w:val="0"/>
          <w:divBdr>
            <w:top w:val="none" w:sz="0" w:space="0" w:color="auto"/>
            <w:left w:val="none" w:sz="0" w:space="0" w:color="auto"/>
            <w:bottom w:val="none" w:sz="0" w:space="0" w:color="auto"/>
            <w:right w:val="none" w:sz="0" w:space="0" w:color="auto"/>
          </w:divBdr>
          <w:divsChild>
            <w:div w:id="6721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6681">
      <w:bodyDiv w:val="1"/>
      <w:marLeft w:val="0"/>
      <w:marRight w:val="0"/>
      <w:marTop w:val="0"/>
      <w:marBottom w:val="0"/>
      <w:divBdr>
        <w:top w:val="none" w:sz="0" w:space="0" w:color="auto"/>
        <w:left w:val="none" w:sz="0" w:space="0" w:color="auto"/>
        <w:bottom w:val="none" w:sz="0" w:space="0" w:color="auto"/>
        <w:right w:val="none" w:sz="0" w:space="0" w:color="auto"/>
      </w:divBdr>
      <w:divsChild>
        <w:div w:id="18052188">
          <w:marLeft w:val="0"/>
          <w:marRight w:val="0"/>
          <w:marTop w:val="0"/>
          <w:marBottom w:val="0"/>
          <w:divBdr>
            <w:top w:val="none" w:sz="0" w:space="0" w:color="auto"/>
            <w:left w:val="none" w:sz="0" w:space="0" w:color="auto"/>
            <w:bottom w:val="none" w:sz="0" w:space="0" w:color="auto"/>
            <w:right w:val="none" w:sz="0" w:space="0" w:color="auto"/>
          </w:divBdr>
          <w:divsChild>
            <w:div w:id="2140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9212">
      <w:bodyDiv w:val="1"/>
      <w:marLeft w:val="0"/>
      <w:marRight w:val="0"/>
      <w:marTop w:val="0"/>
      <w:marBottom w:val="0"/>
      <w:divBdr>
        <w:top w:val="none" w:sz="0" w:space="0" w:color="auto"/>
        <w:left w:val="none" w:sz="0" w:space="0" w:color="auto"/>
        <w:bottom w:val="none" w:sz="0" w:space="0" w:color="auto"/>
        <w:right w:val="none" w:sz="0" w:space="0" w:color="auto"/>
      </w:divBdr>
      <w:divsChild>
        <w:div w:id="739446412">
          <w:marLeft w:val="0"/>
          <w:marRight w:val="0"/>
          <w:marTop w:val="0"/>
          <w:marBottom w:val="0"/>
          <w:divBdr>
            <w:top w:val="none" w:sz="0" w:space="0" w:color="auto"/>
            <w:left w:val="none" w:sz="0" w:space="0" w:color="auto"/>
            <w:bottom w:val="none" w:sz="0" w:space="0" w:color="auto"/>
            <w:right w:val="none" w:sz="0" w:space="0" w:color="auto"/>
          </w:divBdr>
          <w:divsChild>
            <w:div w:id="2202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5208">
      <w:bodyDiv w:val="1"/>
      <w:marLeft w:val="0"/>
      <w:marRight w:val="0"/>
      <w:marTop w:val="0"/>
      <w:marBottom w:val="0"/>
      <w:divBdr>
        <w:top w:val="none" w:sz="0" w:space="0" w:color="auto"/>
        <w:left w:val="none" w:sz="0" w:space="0" w:color="auto"/>
        <w:bottom w:val="none" w:sz="0" w:space="0" w:color="auto"/>
        <w:right w:val="none" w:sz="0" w:space="0" w:color="auto"/>
      </w:divBdr>
      <w:divsChild>
        <w:div w:id="512455395">
          <w:marLeft w:val="0"/>
          <w:marRight w:val="0"/>
          <w:marTop w:val="0"/>
          <w:marBottom w:val="0"/>
          <w:divBdr>
            <w:top w:val="none" w:sz="0" w:space="0" w:color="auto"/>
            <w:left w:val="none" w:sz="0" w:space="0" w:color="auto"/>
            <w:bottom w:val="none" w:sz="0" w:space="0" w:color="auto"/>
            <w:right w:val="none" w:sz="0" w:space="0" w:color="auto"/>
          </w:divBdr>
          <w:divsChild>
            <w:div w:id="132127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2182">
      <w:bodyDiv w:val="1"/>
      <w:marLeft w:val="0"/>
      <w:marRight w:val="0"/>
      <w:marTop w:val="0"/>
      <w:marBottom w:val="0"/>
      <w:divBdr>
        <w:top w:val="none" w:sz="0" w:space="0" w:color="auto"/>
        <w:left w:val="none" w:sz="0" w:space="0" w:color="auto"/>
        <w:bottom w:val="none" w:sz="0" w:space="0" w:color="auto"/>
        <w:right w:val="none" w:sz="0" w:space="0" w:color="auto"/>
      </w:divBdr>
      <w:divsChild>
        <w:div w:id="923950337">
          <w:marLeft w:val="0"/>
          <w:marRight w:val="0"/>
          <w:marTop w:val="0"/>
          <w:marBottom w:val="0"/>
          <w:divBdr>
            <w:top w:val="none" w:sz="0" w:space="0" w:color="auto"/>
            <w:left w:val="none" w:sz="0" w:space="0" w:color="auto"/>
            <w:bottom w:val="none" w:sz="0" w:space="0" w:color="auto"/>
            <w:right w:val="none" w:sz="0" w:space="0" w:color="auto"/>
          </w:divBdr>
          <w:divsChild>
            <w:div w:id="11833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64636">
      <w:bodyDiv w:val="1"/>
      <w:marLeft w:val="0"/>
      <w:marRight w:val="0"/>
      <w:marTop w:val="0"/>
      <w:marBottom w:val="0"/>
      <w:divBdr>
        <w:top w:val="none" w:sz="0" w:space="0" w:color="auto"/>
        <w:left w:val="none" w:sz="0" w:space="0" w:color="auto"/>
        <w:bottom w:val="none" w:sz="0" w:space="0" w:color="auto"/>
        <w:right w:val="none" w:sz="0" w:space="0" w:color="auto"/>
      </w:divBdr>
      <w:divsChild>
        <w:div w:id="597325833">
          <w:marLeft w:val="0"/>
          <w:marRight w:val="0"/>
          <w:marTop w:val="0"/>
          <w:marBottom w:val="0"/>
          <w:divBdr>
            <w:top w:val="none" w:sz="0" w:space="0" w:color="auto"/>
            <w:left w:val="none" w:sz="0" w:space="0" w:color="auto"/>
            <w:bottom w:val="none" w:sz="0" w:space="0" w:color="auto"/>
            <w:right w:val="none" w:sz="0" w:space="0" w:color="auto"/>
          </w:divBdr>
          <w:divsChild>
            <w:div w:id="13276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38875">
      <w:bodyDiv w:val="1"/>
      <w:marLeft w:val="0"/>
      <w:marRight w:val="0"/>
      <w:marTop w:val="0"/>
      <w:marBottom w:val="0"/>
      <w:divBdr>
        <w:top w:val="none" w:sz="0" w:space="0" w:color="auto"/>
        <w:left w:val="none" w:sz="0" w:space="0" w:color="auto"/>
        <w:bottom w:val="none" w:sz="0" w:space="0" w:color="auto"/>
        <w:right w:val="none" w:sz="0" w:space="0" w:color="auto"/>
      </w:divBdr>
      <w:divsChild>
        <w:div w:id="545794705">
          <w:marLeft w:val="0"/>
          <w:marRight w:val="0"/>
          <w:marTop w:val="0"/>
          <w:marBottom w:val="0"/>
          <w:divBdr>
            <w:top w:val="none" w:sz="0" w:space="0" w:color="auto"/>
            <w:left w:val="none" w:sz="0" w:space="0" w:color="auto"/>
            <w:bottom w:val="none" w:sz="0" w:space="0" w:color="auto"/>
            <w:right w:val="none" w:sz="0" w:space="0" w:color="auto"/>
          </w:divBdr>
          <w:divsChild>
            <w:div w:id="12706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00620">
      <w:bodyDiv w:val="1"/>
      <w:marLeft w:val="0"/>
      <w:marRight w:val="0"/>
      <w:marTop w:val="0"/>
      <w:marBottom w:val="0"/>
      <w:divBdr>
        <w:top w:val="none" w:sz="0" w:space="0" w:color="auto"/>
        <w:left w:val="none" w:sz="0" w:space="0" w:color="auto"/>
        <w:bottom w:val="none" w:sz="0" w:space="0" w:color="auto"/>
        <w:right w:val="none" w:sz="0" w:space="0" w:color="auto"/>
      </w:divBdr>
      <w:divsChild>
        <w:div w:id="1273971484">
          <w:marLeft w:val="0"/>
          <w:marRight w:val="0"/>
          <w:marTop w:val="0"/>
          <w:marBottom w:val="0"/>
          <w:divBdr>
            <w:top w:val="none" w:sz="0" w:space="0" w:color="auto"/>
            <w:left w:val="none" w:sz="0" w:space="0" w:color="auto"/>
            <w:bottom w:val="none" w:sz="0" w:space="0" w:color="auto"/>
            <w:right w:val="none" w:sz="0" w:space="0" w:color="auto"/>
          </w:divBdr>
          <w:divsChild>
            <w:div w:id="152778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7690">
      <w:bodyDiv w:val="1"/>
      <w:marLeft w:val="0"/>
      <w:marRight w:val="0"/>
      <w:marTop w:val="0"/>
      <w:marBottom w:val="0"/>
      <w:divBdr>
        <w:top w:val="none" w:sz="0" w:space="0" w:color="auto"/>
        <w:left w:val="none" w:sz="0" w:space="0" w:color="auto"/>
        <w:bottom w:val="none" w:sz="0" w:space="0" w:color="auto"/>
        <w:right w:val="none" w:sz="0" w:space="0" w:color="auto"/>
      </w:divBdr>
      <w:divsChild>
        <w:div w:id="2014188136">
          <w:marLeft w:val="0"/>
          <w:marRight w:val="0"/>
          <w:marTop w:val="0"/>
          <w:marBottom w:val="0"/>
          <w:divBdr>
            <w:top w:val="none" w:sz="0" w:space="0" w:color="auto"/>
            <w:left w:val="none" w:sz="0" w:space="0" w:color="auto"/>
            <w:bottom w:val="none" w:sz="0" w:space="0" w:color="auto"/>
            <w:right w:val="none" w:sz="0" w:space="0" w:color="auto"/>
          </w:divBdr>
          <w:divsChild>
            <w:div w:id="70787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12192">
      <w:bodyDiv w:val="1"/>
      <w:marLeft w:val="0"/>
      <w:marRight w:val="0"/>
      <w:marTop w:val="0"/>
      <w:marBottom w:val="0"/>
      <w:divBdr>
        <w:top w:val="none" w:sz="0" w:space="0" w:color="auto"/>
        <w:left w:val="none" w:sz="0" w:space="0" w:color="auto"/>
        <w:bottom w:val="none" w:sz="0" w:space="0" w:color="auto"/>
        <w:right w:val="none" w:sz="0" w:space="0" w:color="auto"/>
      </w:divBdr>
      <w:divsChild>
        <w:div w:id="1567718559">
          <w:marLeft w:val="0"/>
          <w:marRight w:val="0"/>
          <w:marTop w:val="0"/>
          <w:marBottom w:val="0"/>
          <w:divBdr>
            <w:top w:val="none" w:sz="0" w:space="0" w:color="auto"/>
            <w:left w:val="none" w:sz="0" w:space="0" w:color="auto"/>
            <w:bottom w:val="none" w:sz="0" w:space="0" w:color="auto"/>
            <w:right w:val="none" w:sz="0" w:space="0" w:color="auto"/>
          </w:divBdr>
          <w:divsChild>
            <w:div w:id="205904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99920">
      <w:bodyDiv w:val="1"/>
      <w:marLeft w:val="0"/>
      <w:marRight w:val="0"/>
      <w:marTop w:val="0"/>
      <w:marBottom w:val="0"/>
      <w:divBdr>
        <w:top w:val="none" w:sz="0" w:space="0" w:color="auto"/>
        <w:left w:val="none" w:sz="0" w:space="0" w:color="auto"/>
        <w:bottom w:val="none" w:sz="0" w:space="0" w:color="auto"/>
        <w:right w:val="none" w:sz="0" w:space="0" w:color="auto"/>
      </w:divBdr>
      <w:divsChild>
        <w:div w:id="1886477773">
          <w:marLeft w:val="0"/>
          <w:marRight w:val="0"/>
          <w:marTop w:val="0"/>
          <w:marBottom w:val="0"/>
          <w:divBdr>
            <w:top w:val="none" w:sz="0" w:space="0" w:color="auto"/>
            <w:left w:val="none" w:sz="0" w:space="0" w:color="auto"/>
            <w:bottom w:val="none" w:sz="0" w:space="0" w:color="auto"/>
            <w:right w:val="none" w:sz="0" w:space="0" w:color="auto"/>
          </w:divBdr>
          <w:divsChild>
            <w:div w:id="10641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1653">
      <w:bodyDiv w:val="1"/>
      <w:marLeft w:val="0"/>
      <w:marRight w:val="0"/>
      <w:marTop w:val="0"/>
      <w:marBottom w:val="0"/>
      <w:divBdr>
        <w:top w:val="none" w:sz="0" w:space="0" w:color="auto"/>
        <w:left w:val="none" w:sz="0" w:space="0" w:color="auto"/>
        <w:bottom w:val="none" w:sz="0" w:space="0" w:color="auto"/>
        <w:right w:val="none" w:sz="0" w:space="0" w:color="auto"/>
      </w:divBdr>
      <w:divsChild>
        <w:div w:id="1214776708">
          <w:marLeft w:val="0"/>
          <w:marRight w:val="0"/>
          <w:marTop w:val="0"/>
          <w:marBottom w:val="0"/>
          <w:divBdr>
            <w:top w:val="none" w:sz="0" w:space="0" w:color="auto"/>
            <w:left w:val="none" w:sz="0" w:space="0" w:color="auto"/>
            <w:bottom w:val="none" w:sz="0" w:space="0" w:color="auto"/>
            <w:right w:val="none" w:sz="0" w:space="0" w:color="auto"/>
          </w:divBdr>
          <w:divsChild>
            <w:div w:id="181432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7947">
      <w:bodyDiv w:val="1"/>
      <w:marLeft w:val="0"/>
      <w:marRight w:val="0"/>
      <w:marTop w:val="0"/>
      <w:marBottom w:val="0"/>
      <w:divBdr>
        <w:top w:val="none" w:sz="0" w:space="0" w:color="auto"/>
        <w:left w:val="none" w:sz="0" w:space="0" w:color="auto"/>
        <w:bottom w:val="none" w:sz="0" w:space="0" w:color="auto"/>
        <w:right w:val="none" w:sz="0" w:space="0" w:color="auto"/>
      </w:divBdr>
      <w:divsChild>
        <w:div w:id="218784923">
          <w:marLeft w:val="0"/>
          <w:marRight w:val="0"/>
          <w:marTop w:val="0"/>
          <w:marBottom w:val="0"/>
          <w:divBdr>
            <w:top w:val="none" w:sz="0" w:space="0" w:color="auto"/>
            <w:left w:val="none" w:sz="0" w:space="0" w:color="auto"/>
            <w:bottom w:val="none" w:sz="0" w:space="0" w:color="auto"/>
            <w:right w:val="none" w:sz="0" w:space="0" w:color="auto"/>
          </w:divBdr>
          <w:divsChild>
            <w:div w:id="13845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3365">
      <w:bodyDiv w:val="1"/>
      <w:marLeft w:val="0"/>
      <w:marRight w:val="0"/>
      <w:marTop w:val="0"/>
      <w:marBottom w:val="0"/>
      <w:divBdr>
        <w:top w:val="none" w:sz="0" w:space="0" w:color="auto"/>
        <w:left w:val="none" w:sz="0" w:space="0" w:color="auto"/>
        <w:bottom w:val="none" w:sz="0" w:space="0" w:color="auto"/>
        <w:right w:val="none" w:sz="0" w:space="0" w:color="auto"/>
      </w:divBdr>
      <w:divsChild>
        <w:div w:id="532888848">
          <w:marLeft w:val="0"/>
          <w:marRight w:val="0"/>
          <w:marTop w:val="0"/>
          <w:marBottom w:val="0"/>
          <w:divBdr>
            <w:top w:val="none" w:sz="0" w:space="0" w:color="auto"/>
            <w:left w:val="none" w:sz="0" w:space="0" w:color="auto"/>
            <w:bottom w:val="none" w:sz="0" w:space="0" w:color="auto"/>
            <w:right w:val="none" w:sz="0" w:space="0" w:color="auto"/>
          </w:divBdr>
          <w:divsChild>
            <w:div w:id="205600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3330">
      <w:bodyDiv w:val="1"/>
      <w:marLeft w:val="0"/>
      <w:marRight w:val="0"/>
      <w:marTop w:val="0"/>
      <w:marBottom w:val="0"/>
      <w:divBdr>
        <w:top w:val="none" w:sz="0" w:space="0" w:color="auto"/>
        <w:left w:val="none" w:sz="0" w:space="0" w:color="auto"/>
        <w:bottom w:val="none" w:sz="0" w:space="0" w:color="auto"/>
        <w:right w:val="none" w:sz="0" w:space="0" w:color="auto"/>
      </w:divBdr>
      <w:divsChild>
        <w:div w:id="905576973">
          <w:marLeft w:val="0"/>
          <w:marRight w:val="0"/>
          <w:marTop w:val="0"/>
          <w:marBottom w:val="0"/>
          <w:divBdr>
            <w:top w:val="none" w:sz="0" w:space="0" w:color="auto"/>
            <w:left w:val="none" w:sz="0" w:space="0" w:color="auto"/>
            <w:bottom w:val="none" w:sz="0" w:space="0" w:color="auto"/>
            <w:right w:val="none" w:sz="0" w:space="0" w:color="auto"/>
          </w:divBdr>
          <w:divsChild>
            <w:div w:id="162819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34032">
      <w:bodyDiv w:val="1"/>
      <w:marLeft w:val="0"/>
      <w:marRight w:val="0"/>
      <w:marTop w:val="0"/>
      <w:marBottom w:val="0"/>
      <w:divBdr>
        <w:top w:val="none" w:sz="0" w:space="0" w:color="auto"/>
        <w:left w:val="none" w:sz="0" w:space="0" w:color="auto"/>
        <w:bottom w:val="none" w:sz="0" w:space="0" w:color="auto"/>
        <w:right w:val="none" w:sz="0" w:space="0" w:color="auto"/>
      </w:divBdr>
      <w:divsChild>
        <w:div w:id="2058775510">
          <w:marLeft w:val="0"/>
          <w:marRight w:val="0"/>
          <w:marTop w:val="0"/>
          <w:marBottom w:val="0"/>
          <w:divBdr>
            <w:top w:val="none" w:sz="0" w:space="0" w:color="auto"/>
            <w:left w:val="none" w:sz="0" w:space="0" w:color="auto"/>
            <w:bottom w:val="none" w:sz="0" w:space="0" w:color="auto"/>
            <w:right w:val="none" w:sz="0" w:space="0" w:color="auto"/>
          </w:divBdr>
          <w:divsChild>
            <w:div w:id="19491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67506">
      <w:bodyDiv w:val="1"/>
      <w:marLeft w:val="0"/>
      <w:marRight w:val="0"/>
      <w:marTop w:val="0"/>
      <w:marBottom w:val="0"/>
      <w:divBdr>
        <w:top w:val="none" w:sz="0" w:space="0" w:color="auto"/>
        <w:left w:val="none" w:sz="0" w:space="0" w:color="auto"/>
        <w:bottom w:val="none" w:sz="0" w:space="0" w:color="auto"/>
        <w:right w:val="none" w:sz="0" w:space="0" w:color="auto"/>
      </w:divBdr>
      <w:divsChild>
        <w:div w:id="1568028944">
          <w:marLeft w:val="0"/>
          <w:marRight w:val="0"/>
          <w:marTop w:val="0"/>
          <w:marBottom w:val="0"/>
          <w:divBdr>
            <w:top w:val="none" w:sz="0" w:space="0" w:color="auto"/>
            <w:left w:val="none" w:sz="0" w:space="0" w:color="auto"/>
            <w:bottom w:val="none" w:sz="0" w:space="0" w:color="auto"/>
            <w:right w:val="none" w:sz="0" w:space="0" w:color="auto"/>
          </w:divBdr>
          <w:divsChild>
            <w:div w:id="155269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08904">
      <w:bodyDiv w:val="1"/>
      <w:marLeft w:val="0"/>
      <w:marRight w:val="0"/>
      <w:marTop w:val="0"/>
      <w:marBottom w:val="0"/>
      <w:divBdr>
        <w:top w:val="none" w:sz="0" w:space="0" w:color="auto"/>
        <w:left w:val="none" w:sz="0" w:space="0" w:color="auto"/>
        <w:bottom w:val="none" w:sz="0" w:space="0" w:color="auto"/>
        <w:right w:val="none" w:sz="0" w:space="0" w:color="auto"/>
      </w:divBdr>
      <w:divsChild>
        <w:div w:id="1104688733">
          <w:marLeft w:val="0"/>
          <w:marRight w:val="0"/>
          <w:marTop w:val="0"/>
          <w:marBottom w:val="0"/>
          <w:divBdr>
            <w:top w:val="none" w:sz="0" w:space="0" w:color="auto"/>
            <w:left w:val="none" w:sz="0" w:space="0" w:color="auto"/>
            <w:bottom w:val="none" w:sz="0" w:space="0" w:color="auto"/>
            <w:right w:val="none" w:sz="0" w:space="0" w:color="auto"/>
          </w:divBdr>
          <w:divsChild>
            <w:div w:id="17394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708">
      <w:bodyDiv w:val="1"/>
      <w:marLeft w:val="0"/>
      <w:marRight w:val="0"/>
      <w:marTop w:val="0"/>
      <w:marBottom w:val="0"/>
      <w:divBdr>
        <w:top w:val="none" w:sz="0" w:space="0" w:color="auto"/>
        <w:left w:val="none" w:sz="0" w:space="0" w:color="auto"/>
        <w:bottom w:val="none" w:sz="0" w:space="0" w:color="auto"/>
        <w:right w:val="none" w:sz="0" w:space="0" w:color="auto"/>
      </w:divBdr>
      <w:divsChild>
        <w:div w:id="1512140085">
          <w:marLeft w:val="0"/>
          <w:marRight w:val="0"/>
          <w:marTop w:val="0"/>
          <w:marBottom w:val="0"/>
          <w:divBdr>
            <w:top w:val="none" w:sz="0" w:space="0" w:color="auto"/>
            <w:left w:val="none" w:sz="0" w:space="0" w:color="auto"/>
            <w:bottom w:val="none" w:sz="0" w:space="0" w:color="auto"/>
            <w:right w:val="none" w:sz="0" w:space="0" w:color="auto"/>
          </w:divBdr>
          <w:divsChild>
            <w:div w:id="19673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23453">
      <w:bodyDiv w:val="1"/>
      <w:marLeft w:val="0"/>
      <w:marRight w:val="0"/>
      <w:marTop w:val="0"/>
      <w:marBottom w:val="0"/>
      <w:divBdr>
        <w:top w:val="none" w:sz="0" w:space="0" w:color="auto"/>
        <w:left w:val="none" w:sz="0" w:space="0" w:color="auto"/>
        <w:bottom w:val="none" w:sz="0" w:space="0" w:color="auto"/>
        <w:right w:val="none" w:sz="0" w:space="0" w:color="auto"/>
      </w:divBdr>
      <w:divsChild>
        <w:div w:id="1765103707">
          <w:marLeft w:val="0"/>
          <w:marRight w:val="0"/>
          <w:marTop w:val="0"/>
          <w:marBottom w:val="0"/>
          <w:divBdr>
            <w:top w:val="none" w:sz="0" w:space="0" w:color="auto"/>
            <w:left w:val="none" w:sz="0" w:space="0" w:color="auto"/>
            <w:bottom w:val="none" w:sz="0" w:space="0" w:color="auto"/>
            <w:right w:val="none" w:sz="0" w:space="0" w:color="auto"/>
          </w:divBdr>
          <w:divsChild>
            <w:div w:id="7504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7771">
      <w:bodyDiv w:val="1"/>
      <w:marLeft w:val="0"/>
      <w:marRight w:val="0"/>
      <w:marTop w:val="0"/>
      <w:marBottom w:val="0"/>
      <w:divBdr>
        <w:top w:val="none" w:sz="0" w:space="0" w:color="auto"/>
        <w:left w:val="none" w:sz="0" w:space="0" w:color="auto"/>
        <w:bottom w:val="none" w:sz="0" w:space="0" w:color="auto"/>
        <w:right w:val="none" w:sz="0" w:space="0" w:color="auto"/>
      </w:divBdr>
      <w:divsChild>
        <w:div w:id="1504734764">
          <w:marLeft w:val="0"/>
          <w:marRight w:val="0"/>
          <w:marTop w:val="0"/>
          <w:marBottom w:val="0"/>
          <w:divBdr>
            <w:top w:val="none" w:sz="0" w:space="0" w:color="auto"/>
            <w:left w:val="none" w:sz="0" w:space="0" w:color="auto"/>
            <w:bottom w:val="none" w:sz="0" w:space="0" w:color="auto"/>
            <w:right w:val="none" w:sz="0" w:space="0" w:color="auto"/>
          </w:divBdr>
          <w:divsChild>
            <w:div w:id="18185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91508">
      <w:bodyDiv w:val="1"/>
      <w:marLeft w:val="0"/>
      <w:marRight w:val="0"/>
      <w:marTop w:val="0"/>
      <w:marBottom w:val="0"/>
      <w:divBdr>
        <w:top w:val="none" w:sz="0" w:space="0" w:color="auto"/>
        <w:left w:val="none" w:sz="0" w:space="0" w:color="auto"/>
        <w:bottom w:val="none" w:sz="0" w:space="0" w:color="auto"/>
        <w:right w:val="none" w:sz="0" w:space="0" w:color="auto"/>
      </w:divBdr>
      <w:divsChild>
        <w:div w:id="362637010">
          <w:marLeft w:val="0"/>
          <w:marRight w:val="0"/>
          <w:marTop w:val="0"/>
          <w:marBottom w:val="0"/>
          <w:divBdr>
            <w:top w:val="none" w:sz="0" w:space="0" w:color="auto"/>
            <w:left w:val="none" w:sz="0" w:space="0" w:color="auto"/>
            <w:bottom w:val="none" w:sz="0" w:space="0" w:color="auto"/>
            <w:right w:val="none" w:sz="0" w:space="0" w:color="auto"/>
          </w:divBdr>
          <w:divsChild>
            <w:div w:id="110854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2274">
      <w:bodyDiv w:val="1"/>
      <w:marLeft w:val="0"/>
      <w:marRight w:val="0"/>
      <w:marTop w:val="0"/>
      <w:marBottom w:val="0"/>
      <w:divBdr>
        <w:top w:val="none" w:sz="0" w:space="0" w:color="auto"/>
        <w:left w:val="none" w:sz="0" w:space="0" w:color="auto"/>
        <w:bottom w:val="none" w:sz="0" w:space="0" w:color="auto"/>
        <w:right w:val="none" w:sz="0" w:space="0" w:color="auto"/>
      </w:divBdr>
      <w:divsChild>
        <w:div w:id="905723546">
          <w:marLeft w:val="0"/>
          <w:marRight w:val="0"/>
          <w:marTop w:val="0"/>
          <w:marBottom w:val="0"/>
          <w:divBdr>
            <w:top w:val="none" w:sz="0" w:space="0" w:color="auto"/>
            <w:left w:val="none" w:sz="0" w:space="0" w:color="auto"/>
            <w:bottom w:val="none" w:sz="0" w:space="0" w:color="auto"/>
            <w:right w:val="none" w:sz="0" w:space="0" w:color="auto"/>
          </w:divBdr>
          <w:divsChild>
            <w:div w:id="15378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9758">
      <w:bodyDiv w:val="1"/>
      <w:marLeft w:val="0"/>
      <w:marRight w:val="0"/>
      <w:marTop w:val="0"/>
      <w:marBottom w:val="0"/>
      <w:divBdr>
        <w:top w:val="none" w:sz="0" w:space="0" w:color="auto"/>
        <w:left w:val="none" w:sz="0" w:space="0" w:color="auto"/>
        <w:bottom w:val="none" w:sz="0" w:space="0" w:color="auto"/>
        <w:right w:val="none" w:sz="0" w:space="0" w:color="auto"/>
      </w:divBdr>
      <w:divsChild>
        <w:div w:id="545990477">
          <w:marLeft w:val="0"/>
          <w:marRight w:val="0"/>
          <w:marTop w:val="0"/>
          <w:marBottom w:val="0"/>
          <w:divBdr>
            <w:top w:val="none" w:sz="0" w:space="0" w:color="auto"/>
            <w:left w:val="none" w:sz="0" w:space="0" w:color="auto"/>
            <w:bottom w:val="none" w:sz="0" w:space="0" w:color="auto"/>
            <w:right w:val="none" w:sz="0" w:space="0" w:color="auto"/>
          </w:divBdr>
          <w:divsChild>
            <w:div w:id="10824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6881">
      <w:bodyDiv w:val="1"/>
      <w:marLeft w:val="0"/>
      <w:marRight w:val="0"/>
      <w:marTop w:val="0"/>
      <w:marBottom w:val="0"/>
      <w:divBdr>
        <w:top w:val="none" w:sz="0" w:space="0" w:color="auto"/>
        <w:left w:val="none" w:sz="0" w:space="0" w:color="auto"/>
        <w:bottom w:val="none" w:sz="0" w:space="0" w:color="auto"/>
        <w:right w:val="none" w:sz="0" w:space="0" w:color="auto"/>
      </w:divBdr>
      <w:divsChild>
        <w:div w:id="1738240980">
          <w:marLeft w:val="0"/>
          <w:marRight w:val="0"/>
          <w:marTop w:val="0"/>
          <w:marBottom w:val="0"/>
          <w:divBdr>
            <w:top w:val="none" w:sz="0" w:space="0" w:color="auto"/>
            <w:left w:val="none" w:sz="0" w:space="0" w:color="auto"/>
            <w:bottom w:val="none" w:sz="0" w:space="0" w:color="auto"/>
            <w:right w:val="none" w:sz="0" w:space="0" w:color="auto"/>
          </w:divBdr>
          <w:divsChild>
            <w:div w:id="20171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8832">
      <w:bodyDiv w:val="1"/>
      <w:marLeft w:val="0"/>
      <w:marRight w:val="0"/>
      <w:marTop w:val="0"/>
      <w:marBottom w:val="0"/>
      <w:divBdr>
        <w:top w:val="none" w:sz="0" w:space="0" w:color="auto"/>
        <w:left w:val="none" w:sz="0" w:space="0" w:color="auto"/>
        <w:bottom w:val="none" w:sz="0" w:space="0" w:color="auto"/>
        <w:right w:val="none" w:sz="0" w:space="0" w:color="auto"/>
      </w:divBdr>
      <w:divsChild>
        <w:div w:id="610479242">
          <w:marLeft w:val="0"/>
          <w:marRight w:val="0"/>
          <w:marTop w:val="0"/>
          <w:marBottom w:val="0"/>
          <w:divBdr>
            <w:top w:val="none" w:sz="0" w:space="0" w:color="auto"/>
            <w:left w:val="none" w:sz="0" w:space="0" w:color="auto"/>
            <w:bottom w:val="none" w:sz="0" w:space="0" w:color="auto"/>
            <w:right w:val="none" w:sz="0" w:space="0" w:color="auto"/>
          </w:divBdr>
          <w:divsChild>
            <w:div w:id="9780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6965">
      <w:bodyDiv w:val="1"/>
      <w:marLeft w:val="0"/>
      <w:marRight w:val="0"/>
      <w:marTop w:val="0"/>
      <w:marBottom w:val="0"/>
      <w:divBdr>
        <w:top w:val="none" w:sz="0" w:space="0" w:color="auto"/>
        <w:left w:val="none" w:sz="0" w:space="0" w:color="auto"/>
        <w:bottom w:val="none" w:sz="0" w:space="0" w:color="auto"/>
        <w:right w:val="none" w:sz="0" w:space="0" w:color="auto"/>
      </w:divBdr>
      <w:divsChild>
        <w:div w:id="929851070">
          <w:marLeft w:val="0"/>
          <w:marRight w:val="0"/>
          <w:marTop w:val="0"/>
          <w:marBottom w:val="0"/>
          <w:divBdr>
            <w:top w:val="none" w:sz="0" w:space="0" w:color="auto"/>
            <w:left w:val="none" w:sz="0" w:space="0" w:color="auto"/>
            <w:bottom w:val="none" w:sz="0" w:space="0" w:color="auto"/>
            <w:right w:val="none" w:sz="0" w:space="0" w:color="auto"/>
          </w:divBdr>
          <w:divsChild>
            <w:div w:id="19530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1097">
      <w:bodyDiv w:val="1"/>
      <w:marLeft w:val="0"/>
      <w:marRight w:val="0"/>
      <w:marTop w:val="0"/>
      <w:marBottom w:val="0"/>
      <w:divBdr>
        <w:top w:val="none" w:sz="0" w:space="0" w:color="auto"/>
        <w:left w:val="none" w:sz="0" w:space="0" w:color="auto"/>
        <w:bottom w:val="none" w:sz="0" w:space="0" w:color="auto"/>
        <w:right w:val="none" w:sz="0" w:space="0" w:color="auto"/>
      </w:divBdr>
      <w:divsChild>
        <w:div w:id="803962794">
          <w:marLeft w:val="0"/>
          <w:marRight w:val="0"/>
          <w:marTop w:val="0"/>
          <w:marBottom w:val="0"/>
          <w:divBdr>
            <w:top w:val="none" w:sz="0" w:space="0" w:color="auto"/>
            <w:left w:val="none" w:sz="0" w:space="0" w:color="auto"/>
            <w:bottom w:val="none" w:sz="0" w:space="0" w:color="auto"/>
            <w:right w:val="none" w:sz="0" w:space="0" w:color="auto"/>
          </w:divBdr>
          <w:divsChild>
            <w:div w:id="189589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255166">
      <w:bodyDiv w:val="1"/>
      <w:marLeft w:val="0"/>
      <w:marRight w:val="0"/>
      <w:marTop w:val="0"/>
      <w:marBottom w:val="0"/>
      <w:divBdr>
        <w:top w:val="none" w:sz="0" w:space="0" w:color="auto"/>
        <w:left w:val="none" w:sz="0" w:space="0" w:color="auto"/>
        <w:bottom w:val="none" w:sz="0" w:space="0" w:color="auto"/>
        <w:right w:val="none" w:sz="0" w:space="0" w:color="auto"/>
      </w:divBdr>
      <w:divsChild>
        <w:div w:id="550963899">
          <w:marLeft w:val="0"/>
          <w:marRight w:val="0"/>
          <w:marTop w:val="0"/>
          <w:marBottom w:val="0"/>
          <w:divBdr>
            <w:top w:val="none" w:sz="0" w:space="0" w:color="auto"/>
            <w:left w:val="none" w:sz="0" w:space="0" w:color="auto"/>
            <w:bottom w:val="none" w:sz="0" w:space="0" w:color="auto"/>
            <w:right w:val="none" w:sz="0" w:space="0" w:color="auto"/>
          </w:divBdr>
          <w:divsChild>
            <w:div w:id="202663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82120">
      <w:bodyDiv w:val="1"/>
      <w:marLeft w:val="0"/>
      <w:marRight w:val="0"/>
      <w:marTop w:val="0"/>
      <w:marBottom w:val="0"/>
      <w:divBdr>
        <w:top w:val="none" w:sz="0" w:space="0" w:color="auto"/>
        <w:left w:val="none" w:sz="0" w:space="0" w:color="auto"/>
        <w:bottom w:val="none" w:sz="0" w:space="0" w:color="auto"/>
        <w:right w:val="none" w:sz="0" w:space="0" w:color="auto"/>
      </w:divBdr>
      <w:divsChild>
        <w:div w:id="689070175">
          <w:marLeft w:val="0"/>
          <w:marRight w:val="0"/>
          <w:marTop w:val="0"/>
          <w:marBottom w:val="0"/>
          <w:divBdr>
            <w:top w:val="none" w:sz="0" w:space="0" w:color="auto"/>
            <w:left w:val="none" w:sz="0" w:space="0" w:color="auto"/>
            <w:bottom w:val="none" w:sz="0" w:space="0" w:color="auto"/>
            <w:right w:val="none" w:sz="0" w:space="0" w:color="auto"/>
          </w:divBdr>
          <w:divsChild>
            <w:div w:id="8889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392">
      <w:bodyDiv w:val="1"/>
      <w:marLeft w:val="0"/>
      <w:marRight w:val="0"/>
      <w:marTop w:val="0"/>
      <w:marBottom w:val="0"/>
      <w:divBdr>
        <w:top w:val="none" w:sz="0" w:space="0" w:color="auto"/>
        <w:left w:val="none" w:sz="0" w:space="0" w:color="auto"/>
        <w:bottom w:val="none" w:sz="0" w:space="0" w:color="auto"/>
        <w:right w:val="none" w:sz="0" w:space="0" w:color="auto"/>
      </w:divBdr>
      <w:divsChild>
        <w:div w:id="88238239">
          <w:marLeft w:val="0"/>
          <w:marRight w:val="0"/>
          <w:marTop w:val="0"/>
          <w:marBottom w:val="0"/>
          <w:divBdr>
            <w:top w:val="none" w:sz="0" w:space="0" w:color="auto"/>
            <w:left w:val="none" w:sz="0" w:space="0" w:color="auto"/>
            <w:bottom w:val="none" w:sz="0" w:space="0" w:color="auto"/>
            <w:right w:val="none" w:sz="0" w:space="0" w:color="auto"/>
          </w:divBdr>
          <w:divsChild>
            <w:div w:id="13795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9201">
      <w:bodyDiv w:val="1"/>
      <w:marLeft w:val="0"/>
      <w:marRight w:val="0"/>
      <w:marTop w:val="0"/>
      <w:marBottom w:val="0"/>
      <w:divBdr>
        <w:top w:val="none" w:sz="0" w:space="0" w:color="auto"/>
        <w:left w:val="none" w:sz="0" w:space="0" w:color="auto"/>
        <w:bottom w:val="none" w:sz="0" w:space="0" w:color="auto"/>
        <w:right w:val="none" w:sz="0" w:space="0" w:color="auto"/>
      </w:divBdr>
      <w:divsChild>
        <w:div w:id="242228945">
          <w:marLeft w:val="0"/>
          <w:marRight w:val="0"/>
          <w:marTop w:val="0"/>
          <w:marBottom w:val="0"/>
          <w:divBdr>
            <w:top w:val="none" w:sz="0" w:space="0" w:color="auto"/>
            <w:left w:val="none" w:sz="0" w:space="0" w:color="auto"/>
            <w:bottom w:val="none" w:sz="0" w:space="0" w:color="auto"/>
            <w:right w:val="none" w:sz="0" w:space="0" w:color="auto"/>
          </w:divBdr>
          <w:divsChild>
            <w:div w:id="15561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23415">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6">
          <w:marLeft w:val="0"/>
          <w:marRight w:val="0"/>
          <w:marTop w:val="0"/>
          <w:marBottom w:val="0"/>
          <w:divBdr>
            <w:top w:val="none" w:sz="0" w:space="0" w:color="auto"/>
            <w:left w:val="none" w:sz="0" w:space="0" w:color="auto"/>
            <w:bottom w:val="none" w:sz="0" w:space="0" w:color="auto"/>
            <w:right w:val="none" w:sz="0" w:space="0" w:color="auto"/>
          </w:divBdr>
          <w:divsChild>
            <w:div w:id="783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5039">
      <w:bodyDiv w:val="1"/>
      <w:marLeft w:val="0"/>
      <w:marRight w:val="0"/>
      <w:marTop w:val="0"/>
      <w:marBottom w:val="0"/>
      <w:divBdr>
        <w:top w:val="none" w:sz="0" w:space="0" w:color="auto"/>
        <w:left w:val="none" w:sz="0" w:space="0" w:color="auto"/>
        <w:bottom w:val="none" w:sz="0" w:space="0" w:color="auto"/>
        <w:right w:val="none" w:sz="0" w:space="0" w:color="auto"/>
      </w:divBdr>
      <w:divsChild>
        <w:div w:id="1882858497">
          <w:marLeft w:val="0"/>
          <w:marRight w:val="0"/>
          <w:marTop w:val="0"/>
          <w:marBottom w:val="0"/>
          <w:divBdr>
            <w:top w:val="none" w:sz="0" w:space="0" w:color="auto"/>
            <w:left w:val="none" w:sz="0" w:space="0" w:color="auto"/>
            <w:bottom w:val="none" w:sz="0" w:space="0" w:color="auto"/>
            <w:right w:val="none" w:sz="0" w:space="0" w:color="auto"/>
          </w:divBdr>
          <w:divsChild>
            <w:div w:id="21054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4799">
      <w:bodyDiv w:val="1"/>
      <w:marLeft w:val="0"/>
      <w:marRight w:val="0"/>
      <w:marTop w:val="0"/>
      <w:marBottom w:val="0"/>
      <w:divBdr>
        <w:top w:val="none" w:sz="0" w:space="0" w:color="auto"/>
        <w:left w:val="none" w:sz="0" w:space="0" w:color="auto"/>
        <w:bottom w:val="none" w:sz="0" w:space="0" w:color="auto"/>
        <w:right w:val="none" w:sz="0" w:space="0" w:color="auto"/>
      </w:divBdr>
      <w:divsChild>
        <w:div w:id="1690526125">
          <w:marLeft w:val="0"/>
          <w:marRight w:val="0"/>
          <w:marTop w:val="0"/>
          <w:marBottom w:val="0"/>
          <w:divBdr>
            <w:top w:val="none" w:sz="0" w:space="0" w:color="auto"/>
            <w:left w:val="none" w:sz="0" w:space="0" w:color="auto"/>
            <w:bottom w:val="none" w:sz="0" w:space="0" w:color="auto"/>
            <w:right w:val="none" w:sz="0" w:space="0" w:color="auto"/>
          </w:divBdr>
          <w:divsChild>
            <w:div w:id="4753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94563">
      <w:bodyDiv w:val="1"/>
      <w:marLeft w:val="0"/>
      <w:marRight w:val="0"/>
      <w:marTop w:val="0"/>
      <w:marBottom w:val="0"/>
      <w:divBdr>
        <w:top w:val="none" w:sz="0" w:space="0" w:color="auto"/>
        <w:left w:val="none" w:sz="0" w:space="0" w:color="auto"/>
        <w:bottom w:val="none" w:sz="0" w:space="0" w:color="auto"/>
        <w:right w:val="none" w:sz="0" w:space="0" w:color="auto"/>
      </w:divBdr>
      <w:divsChild>
        <w:div w:id="635842032">
          <w:marLeft w:val="0"/>
          <w:marRight w:val="0"/>
          <w:marTop w:val="0"/>
          <w:marBottom w:val="0"/>
          <w:divBdr>
            <w:top w:val="none" w:sz="0" w:space="0" w:color="auto"/>
            <w:left w:val="none" w:sz="0" w:space="0" w:color="auto"/>
            <w:bottom w:val="none" w:sz="0" w:space="0" w:color="auto"/>
            <w:right w:val="none" w:sz="0" w:space="0" w:color="auto"/>
          </w:divBdr>
          <w:divsChild>
            <w:div w:id="10215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4486">
      <w:bodyDiv w:val="1"/>
      <w:marLeft w:val="0"/>
      <w:marRight w:val="0"/>
      <w:marTop w:val="0"/>
      <w:marBottom w:val="0"/>
      <w:divBdr>
        <w:top w:val="none" w:sz="0" w:space="0" w:color="auto"/>
        <w:left w:val="none" w:sz="0" w:space="0" w:color="auto"/>
        <w:bottom w:val="none" w:sz="0" w:space="0" w:color="auto"/>
        <w:right w:val="none" w:sz="0" w:space="0" w:color="auto"/>
      </w:divBdr>
      <w:divsChild>
        <w:div w:id="303240593">
          <w:marLeft w:val="0"/>
          <w:marRight w:val="0"/>
          <w:marTop w:val="0"/>
          <w:marBottom w:val="0"/>
          <w:divBdr>
            <w:top w:val="none" w:sz="0" w:space="0" w:color="auto"/>
            <w:left w:val="none" w:sz="0" w:space="0" w:color="auto"/>
            <w:bottom w:val="none" w:sz="0" w:space="0" w:color="auto"/>
            <w:right w:val="none" w:sz="0" w:space="0" w:color="auto"/>
          </w:divBdr>
          <w:divsChild>
            <w:div w:id="78126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6035">
      <w:bodyDiv w:val="1"/>
      <w:marLeft w:val="0"/>
      <w:marRight w:val="0"/>
      <w:marTop w:val="0"/>
      <w:marBottom w:val="0"/>
      <w:divBdr>
        <w:top w:val="none" w:sz="0" w:space="0" w:color="auto"/>
        <w:left w:val="none" w:sz="0" w:space="0" w:color="auto"/>
        <w:bottom w:val="none" w:sz="0" w:space="0" w:color="auto"/>
        <w:right w:val="none" w:sz="0" w:space="0" w:color="auto"/>
      </w:divBdr>
      <w:divsChild>
        <w:div w:id="1876503818">
          <w:marLeft w:val="0"/>
          <w:marRight w:val="0"/>
          <w:marTop w:val="0"/>
          <w:marBottom w:val="0"/>
          <w:divBdr>
            <w:top w:val="none" w:sz="0" w:space="0" w:color="auto"/>
            <w:left w:val="none" w:sz="0" w:space="0" w:color="auto"/>
            <w:bottom w:val="none" w:sz="0" w:space="0" w:color="auto"/>
            <w:right w:val="none" w:sz="0" w:space="0" w:color="auto"/>
          </w:divBdr>
          <w:divsChild>
            <w:div w:id="88548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79050">
      <w:bodyDiv w:val="1"/>
      <w:marLeft w:val="0"/>
      <w:marRight w:val="0"/>
      <w:marTop w:val="0"/>
      <w:marBottom w:val="0"/>
      <w:divBdr>
        <w:top w:val="none" w:sz="0" w:space="0" w:color="auto"/>
        <w:left w:val="none" w:sz="0" w:space="0" w:color="auto"/>
        <w:bottom w:val="none" w:sz="0" w:space="0" w:color="auto"/>
        <w:right w:val="none" w:sz="0" w:space="0" w:color="auto"/>
      </w:divBdr>
      <w:divsChild>
        <w:div w:id="67464456">
          <w:marLeft w:val="0"/>
          <w:marRight w:val="0"/>
          <w:marTop w:val="0"/>
          <w:marBottom w:val="0"/>
          <w:divBdr>
            <w:top w:val="none" w:sz="0" w:space="0" w:color="auto"/>
            <w:left w:val="none" w:sz="0" w:space="0" w:color="auto"/>
            <w:bottom w:val="none" w:sz="0" w:space="0" w:color="auto"/>
            <w:right w:val="none" w:sz="0" w:space="0" w:color="auto"/>
          </w:divBdr>
          <w:divsChild>
            <w:div w:id="19714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50718">
      <w:bodyDiv w:val="1"/>
      <w:marLeft w:val="0"/>
      <w:marRight w:val="0"/>
      <w:marTop w:val="0"/>
      <w:marBottom w:val="0"/>
      <w:divBdr>
        <w:top w:val="none" w:sz="0" w:space="0" w:color="auto"/>
        <w:left w:val="none" w:sz="0" w:space="0" w:color="auto"/>
        <w:bottom w:val="none" w:sz="0" w:space="0" w:color="auto"/>
        <w:right w:val="none" w:sz="0" w:space="0" w:color="auto"/>
      </w:divBdr>
      <w:divsChild>
        <w:div w:id="1375041527">
          <w:marLeft w:val="0"/>
          <w:marRight w:val="0"/>
          <w:marTop w:val="0"/>
          <w:marBottom w:val="0"/>
          <w:divBdr>
            <w:top w:val="none" w:sz="0" w:space="0" w:color="auto"/>
            <w:left w:val="none" w:sz="0" w:space="0" w:color="auto"/>
            <w:bottom w:val="none" w:sz="0" w:space="0" w:color="auto"/>
            <w:right w:val="none" w:sz="0" w:space="0" w:color="auto"/>
          </w:divBdr>
          <w:divsChild>
            <w:div w:id="6150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6859">
      <w:bodyDiv w:val="1"/>
      <w:marLeft w:val="0"/>
      <w:marRight w:val="0"/>
      <w:marTop w:val="0"/>
      <w:marBottom w:val="0"/>
      <w:divBdr>
        <w:top w:val="none" w:sz="0" w:space="0" w:color="auto"/>
        <w:left w:val="none" w:sz="0" w:space="0" w:color="auto"/>
        <w:bottom w:val="none" w:sz="0" w:space="0" w:color="auto"/>
        <w:right w:val="none" w:sz="0" w:space="0" w:color="auto"/>
      </w:divBdr>
      <w:divsChild>
        <w:div w:id="1155028494">
          <w:marLeft w:val="0"/>
          <w:marRight w:val="0"/>
          <w:marTop w:val="0"/>
          <w:marBottom w:val="0"/>
          <w:divBdr>
            <w:top w:val="none" w:sz="0" w:space="0" w:color="auto"/>
            <w:left w:val="none" w:sz="0" w:space="0" w:color="auto"/>
            <w:bottom w:val="none" w:sz="0" w:space="0" w:color="auto"/>
            <w:right w:val="none" w:sz="0" w:space="0" w:color="auto"/>
          </w:divBdr>
          <w:divsChild>
            <w:div w:id="128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11803">
      <w:bodyDiv w:val="1"/>
      <w:marLeft w:val="0"/>
      <w:marRight w:val="0"/>
      <w:marTop w:val="0"/>
      <w:marBottom w:val="0"/>
      <w:divBdr>
        <w:top w:val="none" w:sz="0" w:space="0" w:color="auto"/>
        <w:left w:val="none" w:sz="0" w:space="0" w:color="auto"/>
        <w:bottom w:val="none" w:sz="0" w:space="0" w:color="auto"/>
        <w:right w:val="none" w:sz="0" w:space="0" w:color="auto"/>
      </w:divBdr>
      <w:divsChild>
        <w:div w:id="862666742">
          <w:marLeft w:val="0"/>
          <w:marRight w:val="0"/>
          <w:marTop w:val="0"/>
          <w:marBottom w:val="0"/>
          <w:divBdr>
            <w:top w:val="none" w:sz="0" w:space="0" w:color="auto"/>
            <w:left w:val="none" w:sz="0" w:space="0" w:color="auto"/>
            <w:bottom w:val="none" w:sz="0" w:space="0" w:color="auto"/>
            <w:right w:val="none" w:sz="0" w:space="0" w:color="auto"/>
          </w:divBdr>
          <w:divsChild>
            <w:div w:id="71620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28031">
      <w:bodyDiv w:val="1"/>
      <w:marLeft w:val="0"/>
      <w:marRight w:val="0"/>
      <w:marTop w:val="0"/>
      <w:marBottom w:val="0"/>
      <w:divBdr>
        <w:top w:val="none" w:sz="0" w:space="0" w:color="auto"/>
        <w:left w:val="none" w:sz="0" w:space="0" w:color="auto"/>
        <w:bottom w:val="none" w:sz="0" w:space="0" w:color="auto"/>
        <w:right w:val="none" w:sz="0" w:space="0" w:color="auto"/>
      </w:divBdr>
      <w:divsChild>
        <w:div w:id="1587809647">
          <w:marLeft w:val="0"/>
          <w:marRight w:val="0"/>
          <w:marTop w:val="0"/>
          <w:marBottom w:val="0"/>
          <w:divBdr>
            <w:top w:val="none" w:sz="0" w:space="0" w:color="auto"/>
            <w:left w:val="none" w:sz="0" w:space="0" w:color="auto"/>
            <w:bottom w:val="none" w:sz="0" w:space="0" w:color="auto"/>
            <w:right w:val="none" w:sz="0" w:space="0" w:color="auto"/>
          </w:divBdr>
          <w:divsChild>
            <w:div w:id="109124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5877">
      <w:bodyDiv w:val="1"/>
      <w:marLeft w:val="0"/>
      <w:marRight w:val="0"/>
      <w:marTop w:val="0"/>
      <w:marBottom w:val="0"/>
      <w:divBdr>
        <w:top w:val="none" w:sz="0" w:space="0" w:color="auto"/>
        <w:left w:val="none" w:sz="0" w:space="0" w:color="auto"/>
        <w:bottom w:val="none" w:sz="0" w:space="0" w:color="auto"/>
        <w:right w:val="none" w:sz="0" w:space="0" w:color="auto"/>
      </w:divBdr>
      <w:divsChild>
        <w:div w:id="637997597">
          <w:marLeft w:val="0"/>
          <w:marRight w:val="0"/>
          <w:marTop w:val="0"/>
          <w:marBottom w:val="0"/>
          <w:divBdr>
            <w:top w:val="none" w:sz="0" w:space="0" w:color="auto"/>
            <w:left w:val="none" w:sz="0" w:space="0" w:color="auto"/>
            <w:bottom w:val="none" w:sz="0" w:space="0" w:color="auto"/>
            <w:right w:val="none" w:sz="0" w:space="0" w:color="auto"/>
          </w:divBdr>
          <w:divsChild>
            <w:div w:id="21351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2458">
      <w:bodyDiv w:val="1"/>
      <w:marLeft w:val="0"/>
      <w:marRight w:val="0"/>
      <w:marTop w:val="0"/>
      <w:marBottom w:val="0"/>
      <w:divBdr>
        <w:top w:val="none" w:sz="0" w:space="0" w:color="auto"/>
        <w:left w:val="none" w:sz="0" w:space="0" w:color="auto"/>
        <w:bottom w:val="none" w:sz="0" w:space="0" w:color="auto"/>
        <w:right w:val="none" w:sz="0" w:space="0" w:color="auto"/>
      </w:divBdr>
      <w:divsChild>
        <w:div w:id="461311180">
          <w:marLeft w:val="0"/>
          <w:marRight w:val="0"/>
          <w:marTop w:val="0"/>
          <w:marBottom w:val="0"/>
          <w:divBdr>
            <w:top w:val="none" w:sz="0" w:space="0" w:color="auto"/>
            <w:left w:val="none" w:sz="0" w:space="0" w:color="auto"/>
            <w:bottom w:val="none" w:sz="0" w:space="0" w:color="auto"/>
            <w:right w:val="none" w:sz="0" w:space="0" w:color="auto"/>
          </w:divBdr>
          <w:divsChild>
            <w:div w:id="2271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3336">
      <w:bodyDiv w:val="1"/>
      <w:marLeft w:val="0"/>
      <w:marRight w:val="0"/>
      <w:marTop w:val="0"/>
      <w:marBottom w:val="0"/>
      <w:divBdr>
        <w:top w:val="none" w:sz="0" w:space="0" w:color="auto"/>
        <w:left w:val="none" w:sz="0" w:space="0" w:color="auto"/>
        <w:bottom w:val="none" w:sz="0" w:space="0" w:color="auto"/>
        <w:right w:val="none" w:sz="0" w:space="0" w:color="auto"/>
      </w:divBdr>
      <w:divsChild>
        <w:div w:id="1820804651">
          <w:marLeft w:val="0"/>
          <w:marRight w:val="0"/>
          <w:marTop w:val="0"/>
          <w:marBottom w:val="0"/>
          <w:divBdr>
            <w:top w:val="none" w:sz="0" w:space="0" w:color="auto"/>
            <w:left w:val="none" w:sz="0" w:space="0" w:color="auto"/>
            <w:bottom w:val="none" w:sz="0" w:space="0" w:color="auto"/>
            <w:right w:val="none" w:sz="0" w:space="0" w:color="auto"/>
          </w:divBdr>
          <w:divsChild>
            <w:div w:id="102899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19399">
      <w:bodyDiv w:val="1"/>
      <w:marLeft w:val="0"/>
      <w:marRight w:val="0"/>
      <w:marTop w:val="0"/>
      <w:marBottom w:val="0"/>
      <w:divBdr>
        <w:top w:val="none" w:sz="0" w:space="0" w:color="auto"/>
        <w:left w:val="none" w:sz="0" w:space="0" w:color="auto"/>
        <w:bottom w:val="none" w:sz="0" w:space="0" w:color="auto"/>
        <w:right w:val="none" w:sz="0" w:space="0" w:color="auto"/>
      </w:divBdr>
      <w:divsChild>
        <w:div w:id="2099017990">
          <w:marLeft w:val="0"/>
          <w:marRight w:val="0"/>
          <w:marTop w:val="0"/>
          <w:marBottom w:val="0"/>
          <w:divBdr>
            <w:top w:val="none" w:sz="0" w:space="0" w:color="auto"/>
            <w:left w:val="none" w:sz="0" w:space="0" w:color="auto"/>
            <w:bottom w:val="none" w:sz="0" w:space="0" w:color="auto"/>
            <w:right w:val="none" w:sz="0" w:space="0" w:color="auto"/>
          </w:divBdr>
          <w:divsChild>
            <w:div w:id="12839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8563">
      <w:bodyDiv w:val="1"/>
      <w:marLeft w:val="0"/>
      <w:marRight w:val="0"/>
      <w:marTop w:val="0"/>
      <w:marBottom w:val="0"/>
      <w:divBdr>
        <w:top w:val="none" w:sz="0" w:space="0" w:color="auto"/>
        <w:left w:val="none" w:sz="0" w:space="0" w:color="auto"/>
        <w:bottom w:val="none" w:sz="0" w:space="0" w:color="auto"/>
        <w:right w:val="none" w:sz="0" w:space="0" w:color="auto"/>
      </w:divBdr>
      <w:divsChild>
        <w:div w:id="2060780297">
          <w:marLeft w:val="0"/>
          <w:marRight w:val="0"/>
          <w:marTop w:val="0"/>
          <w:marBottom w:val="0"/>
          <w:divBdr>
            <w:top w:val="none" w:sz="0" w:space="0" w:color="auto"/>
            <w:left w:val="none" w:sz="0" w:space="0" w:color="auto"/>
            <w:bottom w:val="none" w:sz="0" w:space="0" w:color="auto"/>
            <w:right w:val="none" w:sz="0" w:space="0" w:color="auto"/>
          </w:divBdr>
          <w:divsChild>
            <w:div w:id="14245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mu.gov.ua/npas/pro-vnesennya-zmin-do-poryadku-elektronnogo-administruvannya-podatku-na-dodanu-vartist-1024" TargetMode="External"/><Relationship Id="rId13" Type="http://schemas.openxmlformats.org/officeDocument/2006/relationships/hyperlink" Target="https://cabinet.tax.gov.u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webSettings" Target="webSettings.xml"/><Relationship Id="rId21" Type="http://schemas.openxmlformats.org/officeDocument/2006/relationships/hyperlink" Target="https://acskidd.gov.ua/manage-certificates" TargetMode="External"/><Relationship Id="rId34" Type="http://schemas.openxmlformats.org/officeDocument/2006/relationships/hyperlink" Target="https://tax.gov.ua/baneryi/programni-rro/programniy-reestrator-rozrahunkovih-operatsiy/" TargetMode="External"/><Relationship Id="rId7" Type="http://schemas.openxmlformats.org/officeDocument/2006/relationships/hyperlink" Target="https://zir.tax.gov.ua/" TargetMode="Externa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settings" Target="settings.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acskidd.gov.u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styles" Target="styles.xml"/><Relationship Id="rId6" Type="http://schemas.openxmlformats.org/officeDocument/2006/relationships/hyperlink" Target="https://tax.gov.u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theme" Target="theme/theme1.xml"/><Relationship Id="rId5" Type="http://schemas.openxmlformats.org/officeDocument/2006/relationships/hyperlink" Target="mailto:zvernennya_dps@tax.gov.ua"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fontTable" Target="fontTable.xml"/><Relationship Id="rId10" Type="http://schemas.openxmlformats.org/officeDocument/2006/relationships/hyperlink" Target="https://www.kmu.gov.ua/news/zatverdzheno-proceduru-napravlennya-povidomlennya-nerezidentam-pro-vzyattya-na-oblik-yak-platnikiv-podatkiv"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hyperlink" Target="http://cabinet.tax.gov.ua/" TargetMode="External"/><Relationship Id="rId9" Type="http://schemas.openxmlformats.org/officeDocument/2006/relationships/hyperlink" Target="https://www.kmu.gov.ua/npas/pro-vnesennya-zmin-do-perelikiv-zatverdzhenih-postanovami-kabinetu-ministriv-ukrayini-vid-20-bereznya-2020-r-224-i-225-i281020-1033"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www.youtube.com/watch?v=abVjwGuWZSU"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tax.gov.ua/baneryi/programni-rro/video-lessons/684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11761</Words>
  <Characters>67038</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2020-11-27T08:44:00Z</dcterms:created>
  <dcterms:modified xsi:type="dcterms:W3CDTF">2020-11-27T08:50:00Z</dcterms:modified>
</cp:coreProperties>
</file>