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35C" w:rsidRPr="00B912E5" w:rsidRDefault="00C3535C" w:rsidP="00B912E5">
      <w:pPr>
        <w:spacing w:after="0" w:line="240" w:lineRule="auto"/>
        <w:jc w:val="both"/>
        <w:rPr>
          <w:rFonts w:ascii="Times New Roman" w:hAnsi="Times New Roman" w:cs="Times New Roman"/>
          <w:b/>
          <w:bCs/>
          <w:sz w:val="20"/>
          <w:szCs w:val="20"/>
          <w:lang w:val="uk-UA"/>
        </w:rPr>
      </w:pPr>
      <w:r w:rsidRPr="00B912E5">
        <w:rPr>
          <w:rFonts w:ascii="Times New Roman" w:hAnsi="Times New Roman" w:cs="Times New Roman"/>
          <w:b/>
          <w:sz w:val="20"/>
          <w:szCs w:val="20"/>
          <w:lang w:val="uk-UA"/>
        </w:rPr>
        <w:t xml:space="preserve">Внесено зміни до Порядку відрахування до державного бюджету частини чистого прибутку (доходу) державними унітарними підприємствами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Інформуємо, що 27.04.2019 набрала чинності постанова Кабінету Міністрів України від                            24 квітня 2019 року № 363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 та визнання такими, що втратили чинність, деяких постанов Кабінету Міністрів України» (далі – Постанова № 363).</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Для забезпечення надходжень до державного бюджету у 2019 році частини чистого прибутку (доходу) Постановою № 363 змінено норматив відрахування державними підприємствами частини чистого прибутку до державного бюджету.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Так, державні підприємства, обсяг чистого прибутку яких менше                              50 </w:t>
      </w:r>
      <w:proofErr w:type="spellStart"/>
      <w:r w:rsidRPr="00B912E5">
        <w:rPr>
          <w:rFonts w:ascii="Times New Roman" w:hAnsi="Times New Roman" w:cs="Times New Roman"/>
          <w:sz w:val="20"/>
          <w:szCs w:val="20"/>
          <w:lang w:val="uk-UA"/>
        </w:rPr>
        <w:t>млн</w:t>
      </w:r>
      <w:proofErr w:type="spellEnd"/>
      <w:r w:rsidRPr="00B912E5">
        <w:rPr>
          <w:rFonts w:ascii="Times New Roman" w:hAnsi="Times New Roman" w:cs="Times New Roman"/>
          <w:sz w:val="20"/>
          <w:szCs w:val="20"/>
          <w:lang w:val="uk-UA"/>
        </w:rPr>
        <w:t xml:space="preserve"> </w:t>
      </w:r>
      <w:proofErr w:type="spellStart"/>
      <w:r w:rsidRPr="00B912E5">
        <w:rPr>
          <w:rFonts w:ascii="Times New Roman" w:hAnsi="Times New Roman" w:cs="Times New Roman"/>
          <w:sz w:val="20"/>
          <w:szCs w:val="20"/>
          <w:lang w:val="uk-UA"/>
        </w:rPr>
        <w:t>грн</w:t>
      </w:r>
      <w:proofErr w:type="spellEnd"/>
      <w:r w:rsidRPr="00B912E5">
        <w:rPr>
          <w:rFonts w:ascii="Times New Roman" w:hAnsi="Times New Roman" w:cs="Times New Roman"/>
          <w:sz w:val="20"/>
          <w:szCs w:val="20"/>
          <w:lang w:val="uk-UA"/>
        </w:rPr>
        <w:t>, сплачуватимуть до державного бюджету відрахування у розмірі                  50 відсотків, інші підприємства – 90 відсотків.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При цьому для державних підприємств, які задіяні в реалізації важливих, суспільно значущих проектів, зокрема, в оборонній галузі, збережено мінімальний законодавчо встановлений рівень – 30 відсотків.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Крім того, Постановою № 363 встановлено, що втратили чинність, зокрема, постанови Кабінету Міністрів України: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від 13 грудня 2017 року № 959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від 14 березня 2018 року № 173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від 11 квітня 2018 року № 259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від 07 листопада 2018 року № 928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від 27 грудня 2018 року № 1148 «Про внесення зміни до пункту 1 Порядку відрахування до державного бюджету частини чистого прибутку (доходу) державними унітарними підприємствами та їх об’єднаннями».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bCs/>
          <w:sz w:val="20"/>
          <w:szCs w:val="20"/>
          <w:lang w:val="uk-UA"/>
        </w:rPr>
        <w:t>Постанову № 363 опубліковано в офіційному виданні «</w:t>
      </w:r>
      <w:r w:rsidRPr="00B912E5">
        <w:rPr>
          <w:rFonts w:ascii="Times New Roman" w:hAnsi="Times New Roman" w:cs="Times New Roman"/>
          <w:sz w:val="20"/>
          <w:szCs w:val="20"/>
          <w:lang w:val="uk-UA"/>
        </w:rPr>
        <w:t xml:space="preserve">Урядовий кур’єр» від 27.04.2019 № 82. </w:t>
      </w:r>
    </w:p>
    <w:p w:rsidR="00C3535C" w:rsidRPr="00B912E5" w:rsidRDefault="00C3535C" w:rsidP="00B912E5">
      <w:pPr>
        <w:spacing w:after="0" w:line="240" w:lineRule="auto"/>
        <w:jc w:val="both"/>
        <w:rPr>
          <w:rFonts w:ascii="Times New Roman" w:hAnsi="Times New Roman" w:cs="Times New Roman"/>
          <w:b/>
          <w:bCs/>
          <w:sz w:val="20"/>
          <w:szCs w:val="20"/>
          <w:lang w:val="uk-UA"/>
        </w:rPr>
      </w:pPr>
    </w:p>
    <w:p w:rsidR="00C3535C" w:rsidRPr="00B912E5" w:rsidRDefault="00C3535C" w:rsidP="00B912E5">
      <w:pPr>
        <w:spacing w:after="0" w:line="240" w:lineRule="auto"/>
        <w:jc w:val="both"/>
        <w:rPr>
          <w:rFonts w:ascii="Times New Roman" w:hAnsi="Times New Roman" w:cs="Times New Roman"/>
          <w:b/>
          <w:bCs/>
          <w:sz w:val="20"/>
          <w:szCs w:val="20"/>
          <w:lang w:val="uk-UA"/>
        </w:rPr>
      </w:pPr>
      <w:r w:rsidRPr="00B912E5">
        <w:rPr>
          <w:rFonts w:ascii="Times New Roman" w:hAnsi="Times New Roman" w:cs="Times New Roman"/>
          <w:b/>
          <w:bCs/>
          <w:sz w:val="20"/>
          <w:szCs w:val="20"/>
          <w:lang w:val="uk-UA"/>
        </w:rPr>
        <w:t>Міністерством фінансів України затверджено нові Узагальнюючі податкові консультації</w:t>
      </w: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sz w:val="20"/>
          <w:szCs w:val="20"/>
          <w:lang w:val="uk-UA"/>
        </w:rPr>
        <w:t xml:space="preserve">Міністерство фінансів України наказом від 26.04.2019 № 181 (далі –   Наказ № 181) затвердило нові Узагальнюючі податкові консультації, а саме: </w:t>
      </w:r>
    </w:p>
    <w:p w:rsidR="00C3535C" w:rsidRPr="00B912E5" w:rsidRDefault="00C3535C" w:rsidP="00B912E5">
      <w:pPr>
        <w:pStyle w:val="a5"/>
        <w:tabs>
          <w:tab w:val="left" w:pos="0"/>
          <w:tab w:val="left" w:pos="709"/>
        </w:tabs>
        <w:spacing w:before="0" w:beforeAutospacing="0" w:after="0" w:afterAutospacing="0"/>
        <w:jc w:val="both"/>
        <w:rPr>
          <w:sz w:val="20"/>
          <w:szCs w:val="20"/>
          <w:lang w:val="uk-UA"/>
        </w:rPr>
      </w:pPr>
      <w:r w:rsidRPr="00B912E5">
        <w:rPr>
          <w:sz w:val="20"/>
          <w:szCs w:val="20"/>
          <w:lang w:val="uk-UA"/>
        </w:rPr>
        <w:t>► щодо оподаткування податком на доходи фізичних осіб і військовим збором суми доходу, виплаченого роботодавцем працівнику за товари (роботи, послуги), що були придбані таким працівником за рахунок власних готівкових коштів;</w:t>
      </w:r>
    </w:p>
    <w:p w:rsidR="00C3535C" w:rsidRPr="00B912E5" w:rsidRDefault="00C3535C" w:rsidP="00B912E5">
      <w:pPr>
        <w:pStyle w:val="a5"/>
        <w:tabs>
          <w:tab w:val="left" w:pos="0"/>
          <w:tab w:val="left" w:pos="709"/>
        </w:tabs>
        <w:spacing w:before="0" w:beforeAutospacing="0" w:after="0" w:afterAutospacing="0"/>
        <w:jc w:val="both"/>
        <w:rPr>
          <w:sz w:val="20"/>
          <w:szCs w:val="20"/>
          <w:lang w:val="uk-UA"/>
        </w:rPr>
      </w:pPr>
      <w:r w:rsidRPr="00B912E5">
        <w:rPr>
          <w:sz w:val="20"/>
          <w:szCs w:val="20"/>
          <w:lang w:val="uk-UA"/>
        </w:rPr>
        <w:t>► щодо оподаткування операцій обов’язкового продажу акцій акціонерами на вимогу особи, яка є власником домінуючого контрольного пакета.</w:t>
      </w:r>
    </w:p>
    <w:p w:rsidR="00C3535C" w:rsidRPr="00B912E5" w:rsidRDefault="00C3535C" w:rsidP="00B912E5">
      <w:pPr>
        <w:pStyle w:val="a5"/>
        <w:tabs>
          <w:tab w:val="left" w:pos="0"/>
        </w:tabs>
        <w:spacing w:before="0" w:beforeAutospacing="0" w:after="0" w:afterAutospacing="0"/>
        <w:jc w:val="both"/>
        <w:rPr>
          <w:sz w:val="20"/>
          <w:szCs w:val="20"/>
          <w:lang w:val="uk-UA"/>
        </w:rPr>
      </w:pPr>
      <w:r w:rsidRPr="00B912E5">
        <w:rPr>
          <w:sz w:val="20"/>
          <w:szCs w:val="20"/>
          <w:lang w:val="uk-UA"/>
        </w:rPr>
        <w:t>Податкові консультації необхідно застосовувати у частині, що не суперечать Узагальнюючим податковим консультаціям, затверджених Наказом № 181.</w:t>
      </w:r>
    </w:p>
    <w:p w:rsidR="00C3535C" w:rsidRPr="00B912E5" w:rsidRDefault="00C3535C" w:rsidP="00B912E5">
      <w:pPr>
        <w:pStyle w:val="a5"/>
        <w:tabs>
          <w:tab w:val="left" w:pos="0"/>
        </w:tabs>
        <w:spacing w:before="0" w:beforeAutospacing="0" w:after="0" w:afterAutospacing="0"/>
        <w:jc w:val="both"/>
        <w:rPr>
          <w:sz w:val="20"/>
          <w:szCs w:val="20"/>
          <w:lang w:val="uk-UA"/>
        </w:rPr>
      </w:pPr>
      <w:r w:rsidRPr="00B912E5">
        <w:rPr>
          <w:sz w:val="20"/>
          <w:szCs w:val="20"/>
          <w:lang w:val="uk-UA"/>
        </w:rPr>
        <w:t xml:space="preserve">Наказ № 181 і вищезазначені Узагальнюючі податкові консультації розміщено на офіційному </w:t>
      </w:r>
      <w:proofErr w:type="spellStart"/>
      <w:r w:rsidRPr="00B912E5">
        <w:rPr>
          <w:sz w:val="20"/>
          <w:szCs w:val="20"/>
          <w:lang w:val="uk-UA"/>
        </w:rPr>
        <w:t>веб-сайті</w:t>
      </w:r>
      <w:proofErr w:type="spellEnd"/>
      <w:r w:rsidRPr="00B912E5">
        <w:rPr>
          <w:sz w:val="20"/>
          <w:szCs w:val="20"/>
          <w:lang w:val="uk-UA"/>
        </w:rPr>
        <w:t xml:space="preserve"> Міністерства фінансів України за посиланням</w:t>
      </w:r>
    </w:p>
    <w:p w:rsidR="00C3535C" w:rsidRPr="00B912E5" w:rsidRDefault="003C7C4C" w:rsidP="00B912E5">
      <w:pPr>
        <w:spacing w:after="0" w:line="240" w:lineRule="auto"/>
        <w:jc w:val="both"/>
        <w:rPr>
          <w:rFonts w:ascii="Times New Roman" w:hAnsi="Times New Roman" w:cs="Times New Roman"/>
          <w:b/>
          <w:sz w:val="20"/>
          <w:szCs w:val="20"/>
          <w:lang w:val="uk-UA"/>
        </w:rPr>
      </w:pPr>
      <w:hyperlink r:id="rId5" w:history="1">
        <w:r w:rsidR="00C3535C" w:rsidRPr="00B912E5">
          <w:rPr>
            <w:rStyle w:val="a3"/>
            <w:rFonts w:ascii="Times New Roman" w:hAnsi="Times New Roman" w:cs="Times New Roman"/>
            <w:b/>
            <w:sz w:val="20"/>
            <w:szCs w:val="20"/>
            <w:u w:val="none"/>
            <w:lang w:val="uk-UA"/>
          </w:rPr>
          <w:t>https://www.minfin.gov.ua/news/view/nakazy-ministerstva-finansiv-ukrainy--?category=organi-v-kompetencii-mfu</w:t>
        </w:r>
      </w:hyperlink>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 xml:space="preserve">Класифікацію доходів бюджету доповнено новими позиціями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Міністерством фінансів України наказом від 26.04.2019 № 182 «Про внесення змін до наказу Міністерства фінансів України від 14 січня    2011 року № 11» (далі – Наказ № 182) внесено зміни до наказу від 14.01.2011    № 11 «Про бюджетну класифікацію».</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Так, Класифікацію доходів бюджету доповнено новими позиціями: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b/>
          <w:sz w:val="20"/>
          <w:szCs w:val="20"/>
          <w:lang w:val="uk-UA"/>
        </w:rPr>
        <w:t>22013100</w:t>
      </w:r>
      <w:r w:rsidRPr="00B912E5">
        <w:rPr>
          <w:rFonts w:ascii="Times New Roman" w:hAnsi="Times New Roman" w:cs="Times New Roman"/>
          <w:sz w:val="20"/>
          <w:szCs w:val="20"/>
          <w:lang w:val="uk-UA"/>
        </w:rPr>
        <w:t xml:space="preserve"> – Плата за ліцензії на виробництво пального;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b/>
          <w:sz w:val="20"/>
          <w:szCs w:val="20"/>
          <w:lang w:val="uk-UA"/>
        </w:rPr>
        <w:t>22013200</w:t>
      </w:r>
      <w:r w:rsidRPr="00B912E5">
        <w:rPr>
          <w:rFonts w:ascii="Times New Roman" w:hAnsi="Times New Roman" w:cs="Times New Roman"/>
          <w:sz w:val="20"/>
          <w:szCs w:val="20"/>
          <w:lang w:val="uk-UA"/>
        </w:rPr>
        <w:t xml:space="preserve"> – Плата за ліцензії на право оптової торгівлі пальним;</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b/>
          <w:sz w:val="20"/>
          <w:szCs w:val="20"/>
          <w:lang w:val="uk-UA"/>
        </w:rPr>
        <w:t>22013300</w:t>
      </w:r>
      <w:r w:rsidRPr="00B912E5">
        <w:rPr>
          <w:rFonts w:ascii="Times New Roman" w:hAnsi="Times New Roman" w:cs="Times New Roman"/>
          <w:sz w:val="20"/>
          <w:szCs w:val="20"/>
          <w:lang w:val="uk-UA"/>
        </w:rPr>
        <w:t xml:space="preserve"> – Плата за ліцензії на право роздрібної торгівлі пальним;</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b/>
          <w:sz w:val="20"/>
          <w:szCs w:val="20"/>
          <w:lang w:val="uk-UA"/>
        </w:rPr>
        <w:t>22013400</w:t>
      </w:r>
      <w:r w:rsidRPr="00B912E5">
        <w:rPr>
          <w:rFonts w:ascii="Times New Roman" w:hAnsi="Times New Roman" w:cs="Times New Roman"/>
          <w:sz w:val="20"/>
          <w:szCs w:val="20"/>
          <w:lang w:val="uk-UA"/>
        </w:rPr>
        <w:t xml:space="preserve"> – Плата за ліцензії на право зберігання пального.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Наказ № 182 розміщено на офіційному </w:t>
      </w:r>
      <w:proofErr w:type="spellStart"/>
      <w:r w:rsidRPr="00B912E5">
        <w:rPr>
          <w:rFonts w:ascii="Times New Roman" w:hAnsi="Times New Roman" w:cs="Times New Roman"/>
          <w:sz w:val="20"/>
          <w:szCs w:val="20"/>
          <w:lang w:val="uk-UA"/>
        </w:rPr>
        <w:t>веб-сайті</w:t>
      </w:r>
      <w:proofErr w:type="spellEnd"/>
      <w:r w:rsidRPr="00B912E5">
        <w:rPr>
          <w:rFonts w:ascii="Times New Roman" w:hAnsi="Times New Roman" w:cs="Times New Roman"/>
          <w:sz w:val="20"/>
          <w:szCs w:val="20"/>
          <w:lang w:val="uk-UA"/>
        </w:rPr>
        <w:t xml:space="preserve"> Міністерства фінансів України за посиланням</w:t>
      </w:r>
    </w:p>
    <w:p w:rsidR="00C3535C" w:rsidRPr="00B912E5" w:rsidRDefault="003C7C4C" w:rsidP="00B912E5">
      <w:pPr>
        <w:spacing w:after="0" w:line="240" w:lineRule="auto"/>
        <w:jc w:val="both"/>
        <w:rPr>
          <w:rFonts w:ascii="Times New Roman" w:hAnsi="Times New Roman" w:cs="Times New Roman"/>
          <w:b/>
          <w:sz w:val="20"/>
          <w:szCs w:val="20"/>
          <w:lang w:val="uk-UA"/>
        </w:rPr>
      </w:pPr>
      <w:hyperlink r:id="rId6" w:history="1">
        <w:r w:rsidR="00C3535C" w:rsidRPr="00B912E5">
          <w:rPr>
            <w:rStyle w:val="a3"/>
            <w:rFonts w:ascii="Times New Roman" w:hAnsi="Times New Roman" w:cs="Times New Roman"/>
            <w:b/>
            <w:sz w:val="20"/>
            <w:szCs w:val="20"/>
            <w:u w:val="none"/>
            <w:lang w:val="uk-UA"/>
          </w:rPr>
          <w:t>https://www.minfin.gov.ua/news/view/nakazy-ministerstva-finansiv-ukrainy--?category=aspekti-roboti&amp;subcategory=zakonodavstvo</w:t>
        </w:r>
      </w:hyperlink>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Задекларували доходи – сплатіть зобов’язання з ПДФО та військового збору не пізніше 30 липня!</w:t>
      </w:r>
    </w:p>
    <w:p w:rsidR="00C3535C" w:rsidRPr="00B912E5" w:rsidRDefault="00C3535C" w:rsidP="00B912E5">
      <w:pPr>
        <w:tabs>
          <w:tab w:val="left" w:pos="708"/>
          <w:tab w:val="center" w:pos="4677"/>
        </w:tabs>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Нагадуємо, що фізична особа, яка задекларувала доходи, отримані у минулому році, зобов’язана самостійно до 1 серпня року, що настає за звітним, сплатити суму податкового зобов’язання, зазначену у поданій нею податковій декларації про майновий стан і доходи (далі – Декларація).</w:t>
      </w:r>
    </w:p>
    <w:p w:rsidR="00C3535C" w:rsidRPr="00B912E5" w:rsidRDefault="00C3535C" w:rsidP="00B912E5">
      <w:pPr>
        <w:tabs>
          <w:tab w:val="left" w:pos="708"/>
          <w:tab w:val="center" w:pos="4677"/>
        </w:tabs>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Таким чином, самостійно нараховані фізичною особою у Декларації            за 2018 рік зобов’язання з податку на доходи фізичних осіб (далі – ПДФО) та військового збору необхідно сплатити не пізніше 30 липня поточного року.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Звертаємо увагу, що сума податкових зобов’язань, донарахована контролюючим органом, сплачується до відповідного бюджету у строки, встановлені Податковим кодексом України (далі –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Норми визначені п. 179.7 ст. 179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Водночас, сума, що має бути повернена платнику ПДФО, зараховується на його банківський рахунок, відкритий у будь-якому комерційному банку, або надсилається поштовим переказом на адресу, зазначену у Декларації, протягом 60-ти календарних днів після надходження такої податкової Декларації (п. 179.8 ст. 179 ПКУ).</w:t>
      </w:r>
    </w:p>
    <w:p w:rsidR="00B912E5" w:rsidRPr="00B912E5" w:rsidRDefault="00B912E5" w:rsidP="00B912E5">
      <w:pPr>
        <w:spacing w:after="0" w:line="240" w:lineRule="auto"/>
        <w:jc w:val="both"/>
        <w:rPr>
          <w:rFonts w:ascii="Times New Roman" w:hAnsi="Times New Roman" w:cs="Times New Roman"/>
          <w:sz w:val="20"/>
          <w:szCs w:val="20"/>
          <w:lang w:val="uk-UA"/>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t xml:space="preserve">Сергія </w:t>
      </w:r>
      <w:proofErr w:type="spellStart"/>
      <w:r w:rsidRPr="00B912E5">
        <w:rPr>
          <w:rFonts w:ascii="Times New Roman" w:eastAsia="Times New Roman" w:hAnsi="Times New Roman" w:cs="Times New Roman"/>
          <w:b/>
          <w:bCs/>
          <w:kern w:val="36"/>
          <w:sz w:val="20"/>
          <w:szCs w:val="20"/>
          <w:lang w:val="uk-UA" w:eastAsia="ru-RU"/>
        </w:rPr>
        <w:t>Верланова</w:t>
      </w:r>
      <w:proofErr w:type="spellEnd"/>
      <w:r w:rsidRPr="00B912E5">
        <w:rPr>
          <w:rFonts w:ascii="Times New Roman" w:eastAsia="Times New Roman" w:hAnsi="Times New Roman" w:cs="Times New Roman"/>
          <w:b/>
          <w:bCs/>
          <w:kern w:val="36"/>
          <w:sz w:val="20"/>
          <w:szCs w:val="20"/>
          <w:lang w:val="uk-UA" w:eastAsia="ru-RU"/>
        </w:rPr>
        <w:t xml:space="preserve"> призначено Головою Державної податкової служби України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8 травня, Кабінет Міністрів України призначив Сергія </w:t>
      </w:r>
      <w:proofErr w:type="spellStart"/>
      <w:r w:rsidRPr="00B912E5">
        <w:rPr>
          <w:rFonts w:ascii="Times New Roman" w:eastAsia="Times New Roman" w:hAnsi="Times New Roman" w:cs="Times New Roman"/>
          <w:sz w:val="20"/>
          <w:szCs w:val="20"/>
          <w:lang w:val="uk-UA" w:eastAsia="ru-RU"/>
        </w:rPr>
        <w:t>Верланова</w:t>
      </w:r>
      <w:proofErr w:type="spellEnd"/>
      <w:r w:rsidRPr="00B912E5">
        <w:rPr>
          <w:rFonts w:ascii="Times New Roman" w:eastAsia="Times New Roman" w:hAnsi="Times New Roman" w:cs="Times New Roman"/>
          <w:sz w:val="20"/>
          <w:szCs w:val="20"/>
          <w:lang w:val="uk-UA" w:eastAsia="ru-RU"/>
        </w:rPr>
        <w:t xml:space="preserve"> Головою Державної податкової служби (ДПС) як переможця конкурсу на посаду Голови ДПС. Конкурс був оголошений 20 березня 2019 року Кабінетом Міністрів України в рамках реформи Державної фіскальної служби України розпорядженням №163.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lastRenderedPageBreak/>
        <w:t xml:space="preserve">«Податкова служба потребує прозорості та відкритості, як і митна служба. Завдання стоїть – організувати європейську службу: відкриту, прозору та доброзичливу до бізнесу», – зазначив під час засідання Уряду Прем’єр-Міністр України Володимир </w:t>
      </w:r>
      <w:proofErr w:type="spellStart"/>
      <w:r w:rsidRPr="00B912E5">
        <w:rPr>
          <w:rFonts w:ascii="Times New Roman" w:eastAsia="Times New Roman" w:hAnsi="Times New Roman" w:cs="Times New Roman"/>
          <w:sz w:val="20"/>
          <w:szCs w:val="20"/>
          <w:lang w:val="uk-UA" w:eastAsia="ru-RU"/>
        </w:rPr>
        <w:t>Гройсман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В свою чергу, </w:t>
      </w:r>
      <w:proofErr w:type="spellStart"/>
      <w:r w:rsidRPr="00B912E5">
        <w:rPr>
          <w:rFonts w:ascii="Times New Roman" w:eastAsia="Times New Roman" w:hAnsi="Times New Roman" w:cs="Times New Roman"/>
          <w:sz w:val="20"/>
          <w:szCs w:val="20"/>
          <w:lang w:val="uk-UA" w:eastAsia="ru-RU"/>
        </w:rPr>
        <w:t>в.о</w:t>
      </w:r>
      <w:proofErr w:type="spellEnd"/>
      <w:r w:rsidRPr="00B912E5">
        <w:rPr>
          <w:rFonts w:ascii="Times New Roman" w:eastAsia="Times New Roman" w:hAnsi="Times New Roman" w:cs="Times New Roman"/>
          <w:sz w:val="20"/>
          <w:szCs w:val="20"/>
          <w:lang w:val="uk-UA" w:eastAsia="ru-RU"/>
        </w:rPr>
        <w:t xml:space="preserve">. Голови ДФС Олександр Власов повідомив, що наступними кроками після призначення </w:t>
      </w:r>
      <w:proofErr w:type="spellStart"/>
      <w:r w:rsidRPr="00B912E5">
        <w:rPr>
          <w:rFonts w:ascii="Times New Roman" w:eastAsia="Times New Roman" w:hAnsi="Times New Roman" w:cs="Times New Roman"/>
          <w:sz w:val="20"/>
          <w:szCs w:val="20"/>
          <w:lang w:val="uk-UA" w:eastAsia="ru-RU"/>
        </w:rPr>
        <w:t>очільника</w:t>
      </w:r>
      <w:proofErr w:type="spellEnd"/>
      <w:r w:rsidRPr="00B912E5">
        <w:rPr>
          <w:rFonts w:ascii="Times New Roman" w:eastAsia="Times New Roman" w:hAnsi="Times New Roman" w:cs="Times New Roman"/>
          <w:sz w:val="20"/>
          <w:szCs w:val="20"/>
          <w:lang w:val="uk-UA" w:eastAsia="ru-RU"/>
        </w:rPr>
        <w:t xml:space="preserve"> ДПС мають стати реєстрація ДПС як юридичної особи, переведення працівників ДФС до Державної податкової служби (не менше 30% штатної чисельності) та прийняття Кабінетом Міністрів України розпорядження про початок роботи нової структури.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«Ми  очікуємо не лише процесу розділення, що було вимогою МВФ, а й продовження реформування. Це надзвичайно важкий, відповідальний процес, адже податковий блок забезпечує понад 49% всіх доходів держбюджету і 57% – зведеного. Водночас, це і надзвичайно цікавий процес. Ми знаходимося в постійному контакті з бізнесом і весь цей час прислухалися, консультувалися і, більше того, виконували вимогу бізнесу», – наголосив Олександр Власов.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Нагадаємо, що конкурс на посаду </w:t>
      </w:r>
      <w:proofErr w:type="spellStart"/>
      <w:r w:rsidRPr="00B912E5">
        <w:rPr>
          <w:rFonts w:ascii="Times New Roman" w:eastAsia="Times New Roman" w:hAnsi="Times New Roman" w:cs="Times New Roman"/>
          <w:sz w:val="20"/>
          <w:szCs w:val="20"/>
          <w:lang w:val="uk-UA" w:eastAsia="ru-RU"/>
        </w:rPr>
        <w:t>очільника</w:t>
      </w:r>
      <w:proofErr w:type="spellEnd"/>
      <w:r w:rsidRPr="00B912E5">
        <w:rPr>
          <w:rFonts w:ascii="Times New Roman" w:eastAsia="Times New Roman" w:hAnsi="Times New Roman" w:cs="Times New Roman"/>
          <w:sz w:val="20"/>
          <w:szCs w:val="20"/>
          <w:lang w:val="uk-UA" w:eastAsia="ru-RU"/>
        </w:rPr>
        <w:t xml:space="preserve"> ДПС проводила Комісія з питань вищого корпусу державної служби. Він складався з трьох етапів, був відкритим для громадськості, у процесі перевірки та оцінювання робіт брали участь українські та іноземні експерти.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23 квітня 2019 року, відповідно до п. 5 ч. 4 ст. 27 Закону України «Про державну службу» за результатами загального рейтингу переможцем конкурсу Комісія визначила Сергія </w:t>
      </w:r>
      <w:proofErr w:type="spellStart"/>
      <w:r w:rsidRPr="00B912E5">
        <w:rPr>
          <w:rFonts w:ascii="Times New Roman" w:eastAsia="Times New Roman" w:hAnsi="Times New Roman" w:cs="Times New Roman"/>
          <w:sz w:val="20"/>
          <w:szCs w:val="20"/>
          <w:lang w:val="uk-UA" w:eastAsia="ru-RU"/>
        </w:rPr>
        <w:t>Верланова</w:t>
      </w:r>
      <w:proofErr w:type="spellEnd"/>
      <w:r w:rsidRPr="00B912E5">
        <w:rPr>
          <w:rFonts w:ascii="Times New Roman" w:eastAsia="Times New Roman" w:hAnsi="Times New Roman" w:cs="Times New Roman"/>
          <w:sz w:val="20"/>
          <w:szCs w:val="20"/>
          <w:lang w:val="uk-UA" w:eastAsia="ru-RU"/>
        </w:rPr>
        <w:t xml:space="preserve"> та рекомендувала його Уряду для призначення на посаду керівника ДПС. </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outlineLvl w:val="0"/>
        <w:rPr>
          <w:rFonts w:ascii="Times New Roman" w:hAnsi="Times New Roman" w:cs="Times New Roman"/>
          <w:b/>
          <w:bCs/>
          <w:kern w:val="36"/>
          <w:sz w:val="20"/>
          <w:szCs w:val="20"/>
          <w:lang w:val="uk-UA"/>
        </w:rPr>
      </w:pPr>
      <w:r w:rsidRPr="00B912E5">
        <w:rPr>
          <w:rFonts w:ascii="Times New Roman" w:hAnsi="Times New Roman" w:cs="Times New Roman"/>
          <w:b/>
          <w:bCs/>
          <w:kern w:val="36"/>
          <w:sz w:val="20"/>
          <w:szCs w:val="20"/>
          <w:lang w:val="uk-UA"/>
        </w:rPr>
        <w:t xml:space="preserve">Слідчі підрозділи фінансових розслідувань органів ДФС у Дніпропетровській області забезпечили відшкодування </w:t>
      </w:r>
    </w:p>
    <w:p w:rsidR="00C3535C" w:rsidRPr="00B912E5" w:rsidRDefault="00C3535C" w:rsidP="00B912E5">
      <w:pPr>
        <w:spacing w:after="0" w:line="240" w:lineRule="auto"/>
        <w:jc w:val="both"/>
        <w:outlineLvl w:val="0"/>
        <w:rPr>
          <w:rFonts w:ascii="Times New Roman" w:hAnsi="Times New Roman" w:cs="Times New Roman"/>
          <w:b/>
          <w:bCs/>
          <w:kern w:val="36"/>
          <w:sz w:val="20"/>
          <w:szCs w:val="20"/>
          <w:lang w:val="uk-UA"/>
        </w:rPr>
      </w:pPr>
      <w:r w:rsidRPr="00B912E5">
        <w:rPr>
          <w:rFonts w:ascii="Times New Roman" w:hAnsi="Times New Roman" w:cs="Times New Roman"/>
          <w:b/>
          <w:bCs/>
          <w:kern w:val="36"/>
          <w:sz w:val="20"/>
          <w:szCs w:val="20"/>
          <w:lang w:val="uk-UA"/>
        </w:rPr>
        <w:t xml:space="preserve">понад 40 </w:t>
      </w:r>
      <w:proofErr w:type="spellStart"/>
      <w:r w:rsidRPr="00B912E5">
        <w:rPr>
          <w:rFonts w:ascii="Times New Roman" w:hAnsi="Times New Roman" w:cs="Times New Roman"/>
          <w:b/>
          <w:bCs/>
          <w:kern w:val="36"/>
          <w:sz w:val="20"/>
          <w:szCs w:val="20"/>
          <w:lang w:val="uk-UA"/>
        </w:rPr>
        <w:t>млн</w:t>
      </w:r>
      <w:proofErr w:type="spellEnd"/>
      <w:r w:rsidRPr="00B912E5">
        <w:rPr>
          <w:rFonts w:ascii="Times New Roman" w:hAnsi="Times New Roman" w:cs="Times New Roman"/>
          <w:b/>
          <w:bCs/>
          <w:kern w:val="36"/>
          <w:sz w:val="20"/>
          <w:szCs w:val="20"/>
          <w:lang w:val="uk-UA"/>
        </w:rPr>
        <w:t xml:space="preserve"> </w:t>
      </w:r>
      <w:proofErr w:type="spellStart"/>
      <w:r w:rsidRPr="00B912E5">
        <w:rPr>
          <w:rFonts w:ascii="Times New Roman" w:hAnsi="Times New Roman" w:cs="Times New Roman"/>
          <w:b/>
          <w:bCs/>
          <w:kern w:val="36"/>
          <w:sz w:val="20"/>
          <w:szCs w:val="20"/>
          <w:lang w:val="uk-UA"/>
        </w:rPr>
        <w:t>грн</w:t>
      </w:r>
      <w:proofErr w:type="spellEnd"/>
      <w:r w:rsidRPr="00B912E5">
        <w:rPr>
          <w:rFonts w:ascii="Times New Roman" w:hAnsi="Times New Roman" w:cs="Times New Roman"/>
          <w:b/>
          <w:bCs/>
          <w:kern w:val="36"/>
          <w:sz w:val="20"/>
          <w:szCs w:val="20"/>
          <w:lang w:val="uk-UA"/>
        </w:rPr>
        <w:t xml:space="preserve"> збитків, завданих державі</w:t>
      </w:r>
    </w:p>
    <w:p w:rsidR="00C3535C" w:rsidRPr="00B912E5" w:rsidRDefault="00C3535C" w:rsidP="00B912E5">
      <w:pPr>
        <w:pStyle w:val="a5"/>
        <w:spacing w:before="0" w:beforeAutospacing="0" w:after="0" w:afterAutospacing="0"/>
        <w:jc w:val="both"/>
        <w:rPr>
          <w:sz w:val="20"/>
          <w:szCs w:val="20"/>
          <w:lang w:val="uk-UA"/>
        </w:rPr>
      </w:pPr>
      <w:r w:rsidRPr="00B912E5">
        <w:rPr>
          <w:sz w:val="20"/>
          <w:szCs w:val="20"/>
          <w:lang w:val="uk-UA"/>
        </w:rPr>
        <w:t xml:space="preserve">Протягом січня – квітня 2019 року в провадженні слідчих підрозділів фінансових розслідувань органів ДФС у Дніпропетровській області перебувало 289 кримінальних проваджень, з яких 136 – прийнято до провадження у поточному році.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Із загальної кількості кримінальних проваджень, які розслідувались працівниками слідчого управління фінансових розслідувань, закінчено 64 кримінальні провадження, з яких: направлено до суду з обвинувальним актом – 35; направлено до суду з клопотанням про звільнення від кримінальної відповідальності – 6; закрито у зв’язку із відсутністю в діянні складу кримінального правопорушення – 23.</w:t>
      </w:r>
    </w:p>
    <w:p w:rsidR="00C3535C" w:rsidRPr="00B912E5" w:rsidRDefault="00C3535C" w:rsidP="00B912E5">
      <w:pPr>
        <w:pStyle w:val="ab"/>
        <w:rPr>
          <w:iCs/>
          <w:sz w:val="20"/>
        </w:rPr>
      </w:pPr>
      <w:r w:rsidRPr="00B912E5">
        <w:rPr>
          <w:iCs/>
          <w:sz w:val="20"/>
        </w:rPr>
        <w:t xml:space="preserve">Крім того, </w:t>
      </w:r>
      <w:r w:rsidRPr="00B912E5">
        <w:rPr>
          <w:sz w:val="20"/>
        </w:rPr>
        <w:t>за 4 місяці 2019 року</w:t>
      </w:r>
      <w:r w:rsidRPr="00B912E5">
        <w:rPr>
          <w:iCs/>
          <w:sz w:val="20"/>
        </w:rPr>
        <w:t xml:space="preserve"> за підслідністю направлено  24 кримінальні провадження, приєднано до інших проваджень – 39.</w:t>
      </w:r>
    </w:p>
    <w:p w:rsidR="00C3535C" w:rsidRPr="00B912E5" w:rsidRDefault="00C3535C" w:rsidP="00B912E5">
      <w:pPr>
        <w:pStyle w:val="a5"/>
        <w:spacing w:before="0" w:beforeAutospacing="0" w:after="0" w:afterAutospacing="0"/>
        <w:jc w:val="both"/>
        <w:rPr>
          <w:sz w:val="20"/>
          <w:szCs w:val="20"/>
          <w:lang w:val="uk-UA"/>
        </w:rPr>
      </w:pPr>
      <w:r w:rsidRPr="00B912E5">
        <w:rPr>
          <w:sz w:val="20"/>
          <w:szCs w:val="20"/>
          <w:lang w:val="uk-UA"/>
        </w:rPr>
        <w:t xml:space="preserve">Завдяки розслідуваним справам слідчими ДФС Дніпропетровської області впродовж поточного року відшкодована сума нанесених державі збитків у розмірі 40 </w:t>
      </w:r>
      <w:proofErr w:type="spellStart"/>
      <w:r w:rsidRPr="00B912E5">
        <w:rPr>
          <w:sz w:val="20"/>
          <w:szCs w:val="20"/>
          <w:lang w:val="uk-UA"/>
        </w:rPr>
        <w:t>млн</w:t>
      </w:r>
      <w:proofErr w:type="spellEnd"/>
      <w:r w:rsidRPr="00B912E5">
        <w:rPr>
          <w:sz w:val="20"/>
          <w:szCs w:val="20"/>
          <w:lang w:val="uk-UA"/>
        </w:rPr>
        <w:t xml:space="preserve"> 634 тис. гривень. </w:t>
      </w:r>
    </w:p>
    <w:p w:rsidR="00C3535C"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DD6BCC" w:rsidRPr="00B912E5" w:rsidRDefault="00DD6BCC" w:rsidP="00DD6BCC">
      <w:pPr>
        <w:shd w:val="clear" w:color="auto" w:fill="FFFFFF"/>
        <w:spacing w:after="0" w:line="240" w:lineRule="auto"/>
        <w:jc w:val="both"/>
        <w:outlineLvl w:val="0"/>
        <w:rPr>
          <w:rFonts w:ascii="Times New Roman" w:hAnsi="Times New Roman" w:cs="Times New Roman"/>
          <w:b/>
          <w:kern w:val="36"/>
          <w:sz w:val="20"/>
          <w:szCs w:val="20"/>
          <w:lang w:val="uk-UA" w:eastAsia="uk-UA"/>
        </w:rPr>
      </w:pPr>
      <w:r w:rsidRPr="00B912E5">
        <w:rPr>
          <w:rFonts w:ascii="Times New Roman" w:hAnsi="Times New Roman" w:cs="Times New Roman"/>
          <w:b/>
          <w:kern w:val="36"/>
          <w:sz w:val="20"/>
          <w:szCs w:val="20"/>
          <w:lang w:val="uk-UA" w:eastAsia="uk-UA"/>
        </w:rPr>
        <w:t>Особливості заповнення платіжних документів на сплату ЄСВ</w:t>
      </w:r>
    </w:p>
    <w:p w:rsidR="00C3535C" w:rsidRPr="00B912E5" w:rsidRDefault="00C3535C" w:rsidP="00B912E5">
      <w:pPr>
        <w:shd w:val="clear" w:color="auto" w:fill="FFFFFF"/>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Повідомляємо, що з 02.05.2019 вступили в дію нові </w:t>
      </w:r>
      <w:proofErr w:type="spellStart"/>
      <w:r w:rsidRPr="00B912E5">
        <w:rPr>
          <w:rFonts w:ascii="Times New Roman" w:hAnsi="Times New Roman" w:cs="Times New Roman"/>
          <w:sz w:val="20"/>
          <w:szCs w:val="20"/>
          <w:lang w:val="uk-UA"/>
        </w:rPr>
        <w:t>небюджетні</w:t>
      </w:r>
      <w:proofErr w:type="spellEnd"/>
      <w:r w:rsidRPr="00B912E5">
        <w:rPr>
          <w:rFonts w:ascii="Times New Roman" w:hAnsi="Times New Roman" w:cs="Times New Roman"/>
          <w:sz w:val="20"/>
          <w:szCs w:val="20"/>
          <w:lang w:val="uk-UA"/>
        </w:rPr>
        <w:t xml:space="preserve"> рахунки 3719, відкриті на ім’я територіальних органів ДФС України для сплати коштів єдиного внеску на загальнообов</w:t>
      </w:r>
      <w:r w:rsidRPr="00B912E5">
        <w:rPr>
          <w:rFonts w:ascii="Times New Roman" w:eastAsia="Calibri" w:hAnsi="Times New Roman" w:cs="Times New Roman"/>
          <w:spacing w:val="4"/>
          <w:sz w:val="20"/>
          <w:szCs w:val="20"/>
          <w:lang w:val="uk-UA"/>
        </w:rPr>
        <w:t>’</w:t>
      </w:r>
      <w:r w:rsidRPr="00B912E5">
        <w:rPr>
          <w:rFonts w:ascii="Times New Roman" w:hAnsi="Times New Roman" w:cs="Times New Roman"/>
          <w:sz w:val="20"/>
          <w:szCs w:val="20"/>
          <w:lang w:val="uk-UA"/>
        </w:rPr>
        <w:t>язкове державне соціальне страхування (далі – ЄСВ) та фінансових санкцій.</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Вимоги щодо заповнення платіжних документів на сплату ЄСВ визначені Порядком заповнення документів на переказ у разі сплати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(далі – Порядок), затвердженим наказом Міністерства фінансів України  від 24.07.2015 № 666, із змінами і доповненнями.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Згідно з п. 5 Порядку при сплаті ЄСВ поле «Призначення платежу» розрахункового документа заповнюється таким чином:</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1 – зазначається службовий код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2 – друкується розділовий знак «;» та код виду сплати («101» – сплата суми ЄСВ);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3 – друкується розділовий знак «;» та код за ЄДРПОУ платника, який здійснює сплату;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4 – друкується розділовий знак «;» та роз’яснювальна інформація про призначення платежу;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5 – друкується розділовий знак «;», поле не заповнюється;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6 – друкується розділовий знак «;», поле не заповнюється;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у полі № 7 – друкується розділовий знак «;», поле не заповнюється.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Пунктом 15 додатка 7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із змінами визначено, що при заповненні </w:t>
      </w:r>
      <w:proofErr w:type="spellStart"/>
      <w:r w:rsidRPr="00B912E5">
        <w:rPr>
          <w:rFonts w:ascii="Times New Roman" w:hAnsi="Times New Roman" w:cs="Times New Roman"/>
          <w:sz w:val="20"/>
          <w:szCs w:val="20"/>
          <w:lang w:val="uk-UA"/>
        </w:rPr>
        <w:t>реквізита</w:t>
      </w:r>
      <w:proofErr w:type="spellEnd"/>
      <w:r w:rsidRPr="00B912E5">
        <w:rPr>
          <w:rFonts w:ascii="Times New Roman" w:hAnsi="Times New Roman" w:cs="Times New Roman"/>
          <w:sz w:val="20"/>
          <w:szCs w:val="20"/>
          <w:lang w:val="uk-UA"/>
        </w:rPr>
        <w:t xml:space="preserve"> «</w:t>
      </w:r>
      <w:proofErr w:type="spellStart"/>
      <w:r w:rsidRPr="00B912E5">
        <w:rPr>
          <w:rFonts w:ascii="Times New Roman" w:hAnsi="Times New Roman" w:cs="Times New Roman"/>
          <w:sz w:val="20"/>
          <w:szCs w:val="20"/>
          <w:lang w:val="uk-UA"/>
        </w:rPr>
        <w:t>Отримувач</w:t>
      </w:r>
      <w:proofErr w:type="spellEnd"/>
      <w:r w:rsidRPr="00B912E5">
        <w:rPr>
          <w:rFonts w:ascii="Times New Roman" w:hAnsi="Times New Roman" w:cs="Times New Roman"/>
          <w:sz w:val="20"/>
          <w:szCs w:val="20"/>
          <w:lang w:val="uk-UA"/>
        </w:rPr>
        <w:t>»:</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 зазначаються найменування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що відповідає найменуванню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яке заявлене в банку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в картці із зразками підписів, або його скорочене найменування, яке відповідає зареєстрованому в установчих документах;</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 зазначається прізвище, ім’я, по батькові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що відповідає прізвищу, імені, по батькові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яке заявлене в банку </w:t>
      </w:r>
      <w:proofErr w:type="spellStart"/>
      <w:r w:rsidRPr="00B912E5">
        <w:rPr>
          <w:rFonts w:ascii="Times New Roman" w:hAnsi="Times New Roman" w:cs="Times New Roman"/>
          <w:sz w:val="20"/>
          <w:szCs w:val="20"/>
          <w:lang w:val="uk-UA"/>
        </w:rPr>
        <w:t>отримувача</w:t>
      </w:r>
      <w:proofErr w:type="spellEnd"/>
      <w:r w:rsidRPr="00B912E5">
        <w:rPr>
          <w:rFonts w:ascii="Times New Roman" w:hAnsi="Times New Roman" w:cs="Times New Roman"/>
          <w:sz w:val="20"/>
          <w:szCs w:val="20"/>
          <w:lang w:val="uk-UA"/>
        </w:rPr>
        <w:t xml:space="preserve"> в картці із зразками підписів;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Зазначений порядок розповсюджується і на платників ЄСВ.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Відповідно до частини шостої ст. 9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для зарахування ЄСВ в центральному органі виконавчої влади, що реалізує державну політику у сфері казначейського обслуговування бюджетних коштів, та його територіальних органах відкриваються в установленому порядку </w:t>
      </w:r>
      <w:proofErr w:type="spellStart"/>
      <w:r w:rsidRPr="00B912E5">
        <w:rPr>
          <w:rFonts w:ascii="Times New Roman" w:hAnsi="Times New Roman" w:cs="Times New Roman"/>
          <w:sz w:val="20"/>
          <w:szCs w:val="20"/>
          <w:lang w:val="uk-UA"/>
        </w:rPr>
        <w:t>небюджетні</w:t>
      </w:r>
      <w:proofErr w:type="spellEnd"/>
      <w:r w:rsidRPr="00B912E5">
        <w:rPr>
          <w:rFonts w:ascii="Times New Roman" w:hAnsi="Times New Roman" w:cs="Times New Roman"/>
          <w:sz w:val="20"/>
          <w:szCs w:val="20"/>
          <w:lang w:val="uk-UA"/>
        </w:rPr>
        <w:t xml:space="preserve"> рахунки відповідному органу доходів і зборів.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Отже, оскільки ЄСВ не належить до доходів бюджету, то код бюджетної класифікації не вказується, а у полі «</w:t>
      </w:r>
      <w:proofErr w:type="spellStart"/>
      <w:r w:rsidRPr="00B912E5">
        <w:rPr>
          <w:rFonts w:ascii="Times New Roman" w:hAnsi="Times New Roman" w:cs="Times New Roman"/>
          <w:sz w:val="20"/>
          <w:szCs w:val="20"/>
          <w:lang w:val="uk-UA"/>
        </w:rPr>
        <w:t>Отримувач</w:t>
      </w:r>
      <w:proofErr w:type="spellEnd"/>
      <w:r w:rsidRPr="00B912E5">
        <w:rPr>
          <w:rFonts w:ascii="Times New Roman" w:hAnsi="Times New Roman" w:cs="Times New Roman"/>
          <w:sz w:val="20"/>
          <w:szCs w:val="20"/>
          <w:lang w:val="uk-UA"/>
        </w:rPr>
        <w:t>» платіжного доручення зазначаються найменування органу ДФС та його код ЄДРПОУ.</w:t>
      </w:r>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lastRenderedPageBreak/>
        <w:t xml:space="preserve">До уваги платників акцизного податку – </w:t>
      </w:r>
      <w:proofErr w:type="spellStart"/>
      <w:r w:rsidRPr="00B912E5">
        <w:rPr>
          <w:rFonts w:ascii="Times New Roman" w:hAnsi="Times New Roman" w:cs="Times New Roman"/>
          <w:b/>
          <w:sz w:val="20"/>
          <w:szCs w:val="20"/>
          <w:lang w:val="uk-UA"/>
        </w:rPr>
        <w:t>реалізаторів</w:t>
      </w:r>
      <w:proofErr w:type="spellEnd"/>
      <w:r w:rsidRPr="00B912E5">
        <w:rPr>
          <w:rFonts w:ascii="Times New Roman" w:hAnsi="Times New Roman" w:cs="Times New Roman"/>
          <w:b/>
          <w:sz w:val="20"/>
          <w:szCs w:val="20"/>
          <w:lang w:val="uk-UA"/>
        </w:rPr>
        <w:t xml:space="preserve"> пального та спирту етилового!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Звертаємо увагу платників акцизного податку,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w:t>
      </w:r>
      <w:proofErr w:type="spellStart"/>
      <w:r w:rsidRPr="00B912E5">
        <w:rPr>
          <w:rFonts w:ascii="Times New Roman" w:hAnsi="Times New Roman" w:cs="Times New Roman"/>
          <w:sz w:val="20"/>
          <w:szCs w:val="20"/>
          <w:lang w:val="uk-UA"/>
        </w:rPr>
        <w:t>внесенно</w:t>
      </w:r>
      <w:proofErr w:type="spellEnd"/>
      <w:r w:rsidRPr="00B912E5">
        <w:rPr>
          <w:rFonts w:ascii="Times New Roman" w:hAnsi="Times New Roman" w:cs="Times New Roman"/>
          <w:sz w:val="20"/>
          <w:szCs w:val="20"/>
          <w:lang w:val="uk-UA"/>
        </w:rPr>
        <w:t xml:space="preserve"> зміни, зокрема до п. 14.1 ст. 14 Податкового кодексу України (далі – ПКУ), який доповнено новим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14.1.6¹, що визначає поняття «акцизний склад пересувний».</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Так, акцизний склад пересувний – це транспортний засіб (автомобільний, залізничний, морський, річковий, повітряний, магістральний трубопровід), на якому переміщується та/або зберігається пальне або спирт етиловий на митній території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Транспортний засіб набуває статусу акцизного складу пересувного протягом періоду його використання для: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а) переміщення в ньому митною територією України пального або спирту етилового, що реалізується (крім пального або спирту етилового, що переміщується митною територією України прохідним транзитом або внутрішнім транзитом, визначеним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«а» п. 2 частини другої ст. 91 Митного кодексу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б) зберігання в ньому пального або спирту етилового на митній території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 ввезення пального або спирту етилового на митну територію України, з якого сплачено акцизний податок або на умовах, визначених ст. 229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Не є акцизним складом пересувним транспортний засіб, що використовується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для потреб власного споживання чи промислової переробки.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Норми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xml:space="preserve">. 14.1.6¹ п. 14.1 ст. 14 ПКУ набирають чинності з </w:t>
      </w:r>
      <w:r w:rsidRPr="00B912E5">
        <w:rPr>
          <w:rFonts w:ascii="Times New Roman" w:hAnsi="Times New Roman" w:cs="Times New Roman"/>
          <w:b/>
          <w:sz w:val="20"/>
          <w:szCs w:val="20"/>
          <w:lang w:val="uk-UA"/>
        </w:rPr>
        <w:t>01.07.2019</w:t>
      </w:r>
      <w:r w:rsidRPr="00B912E5">
        <w:rPr>
          <w:rFonts w:ascii="Times New Roman" w:hAnsi="Times New Roman" w:cs="Times New Roman"/>
          <w:sz w:val="20"/>
          <w:szCs w:val="20"/>
          <w:lang w:val="uk-UA"/>
        </w:rPr>
        <w:t>.</w:t>
      </w:r>
    </w:p>
    <w:p w:rsidR="00C3535C" w:rsidRPr="00B912E5" w:rsidRDefault="00C3535C" w:rsidP="00B912E5">
      <w:pPr>
        <w:pStyle w:val="a5"/>
        <w:shd w:val="clear" w:color="auto" w:fill="FFFFFF"/>
        <w:spacing w:before="0" w:beforeAutospacing="0" w:after="0" w:afterAutospacing="0"/>
        <w:jc w:val="both"/>
        <w:rPr>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Відповідальність за несплату ЄСВ для «незалежників» та членів фермерських господарств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Нагадуємо, що платники єдиного внеску на загальнообов</w:t>
      </w:r>
      <w:r w:rsidRPr="00B912E5">
        <w:rPr>
          <w:rFonts w:ascii="Times New Roman" w:eastAsia="Calibri" w:hAnsi="Times New Roman" w:cs="Times New Roman"/>
          <w:spacing w:val="4"/>
          <w:sz w:val="20"/>
          <w:szCs w:val="20"/>
          <w:lang w:val="uk-UA"/>
        </w:rPr>
        <w:t>’</w:t>
      </w:r>
      <w:r w:rsidRPr="00B912E5">
        <w:rPr>
          <w:rFonts w:ascii="Times New Roman" w:hAnsi="Times New Roman" w:cs="Times New Roman"/>
          <w:sz w:val="20"/>
          <w:szCs w:val="20"/>
          <w:lang w:val="uk-UA"/>
        </w:rPr>
        <w:t>язкове державне соціальне страхування  (далі – ЄСВ) зобов’язані своєчасно та в повному обсязі нараховувати, обчислювати і сплачувати ЄСВ.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Норми визначені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1 п. 2 ст. 6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ЄСВ підлягає сплаті незалежно від фінансового стану платника (частина дванадцята ст. 9 Закону № 2464).</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За несплату (неперерахування) або несвоєчасну сплату (несвоєчасне перерахування) ЄСВ особи, які провадять незалежну професійну діяльність, та члени фермерських господарств несуть фінансову відповідальність відповідно до ст. 25 Закону № 2464, а особи, які провадять незалежну професійну діяльність, також несуть адміністративну відповідальність відповідно до ст. 165¹ Кодексу України про адміністративні правопорушення від 07 грудня 1984 року № 8073-Х із змінами та доповненнями (далі – </w:t>
      </w:r>
      <w:proofErr w:type="spellStart"/>
      <w:r w:rsidRPr="00B912E5">
        <w:rPr>
          <w:rFonts w:ascii="Times New Roman" w:hAnsi="Times New Roman" w:cs="Times New Roman"/>
          <w:sz w:val="20"/>
          <w:szCs w:val="20"/>
          <w:lang w:val="uk-UA"/>
        </w:rPr>
        <w:t>КУпАП</w:t>
      </w:r>
      <w:proofErr w:type="spellEnd"/>
      <w:r w:rsidRPr="00B912E5">
        <w:rPr>
          <w:rFonts w:ascii="Times New Roman" w:hAnsi="Times New Roman" w:cs="Times New Roman"/>
          <w:sz w:val="20"/>
          <w:szCs w:val="20"/>
          <w:lang w:val="uk-UA"/>
        </w:rPr>
        <w:t>).</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Водночас слід зазначити, що для членів фермерських господарств адміністративна відповідальність відповідно до ст. 165¹ </w:t>
      </w:r>
      <w:proofErr w:type="spellStart"/>
      <w:r w:rsidRPr="00B912E5">
        <w:rPr>
          <w:rFonts w:ascii="Times New Roman" w:hAnsi="Times New Roman" w:cs="Times New Roman"/>
          <w:sz w:val="20"/>
          <w:szCs w:val="20"/>
          <w:lang w:val="uk-UA"/>
        </w:rPr>
        <w:t>КУпАП</w:t>
      </w:r>
      <w:proofErr w:type="spellEnd"/>
      <w:r w:rsidRPr="00B912E5">
        <w:rPr>
          <w:rFonts w:ascii="Times New Roman" w:hAnsi="Times New Roman" w:cs="Times New Roman"/>
          <w:sz w:val="20"/>
          <w:szCs w:val="20"/>
          <w:lang w:val="uk-UA"/>
        </w:rPr>
        <w:t xml:space="preserve"> не передбачена.</w:t>
      </w:r>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 xml:space="preserve">Нерухомість </w:t>
      </w:r>
      <w:proofErr w:type="spellStart"/>
      <w:r w:rsidRPr="00B912E5">
        <w:rPr>
          <w:rFonts w:ascii="Times New Roman" w:hAnsi="Times New Roman" w:cs="Times New Roman"/>
          <w:b/>
          <w:sz w:val="20"/>
          <w:szCs w:val="20"/>
          <w:lang w:val="uk-UA"/>
        </w:rPr>
        <w:t>сільськогосптоваровиробника</w:t>
      </w:r>
      <w:proofErr w:type="spellEnd"/>
      <w:r w:rsidRPr="00B912E5">
        <w:rPr>
          <w:rFonts w:ascii="Times New Roman" w:hAnsi="Times New Roman" w:cs="Times New Roman"/>
          <w:b/>
          <w:sz w:val="20"/>
          <w:szCs w:val="20"/>
          <w:lang w:val="uk-UA"/>
        </w:rPr>
        <w:t>, частка якої здається її власником в оренду, оподатковується податком на нерухоме майно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Інформуємо, що об’єктом оподаткування податком на нерухоме майно, відмінне від земельної ділянки (далі – податок на нерухомість), є об’єкт житлової та нежитлової нерухомості, у тому числі його частка.</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Норми встановлені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266.2.1 п. 266.2 ст. 266 Податкового кодексу України (далі –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Не є об’єктом оподаткування податком на нерухомість 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w:t>
      </w:r>
      <w:proofErr w:type="spellStart"/>
      <w:r w:rsidRPr="00B912E5">
        <w:rPr>
          <w:rFonts w:ascii="Times New Roman" w:hAnsi="Times New Roman" w:cs="Times New Roman"/>
          <w:sz w:val="20"/>
          <w:szCs w:val="20"/>
          <w:lang w:val="uk-UA"/>
        </w:rPr>
        <w:t>ДК</w:t>
      </w:r>
      <w:proofErr w:type="spellEnd"/>
      <w:r w:rsidRPr="00B912E5">
        <w:rPr>
          <w:rFonts w:ascii="Times New Roman" w:hAnsi="Times New Roman" w:cs="Times New Roman"/>
          <w:sz w:val="20"/>
          <w:szCs w:val="20"/>
          <w:lang w:val="uk-UA"/>
        </w:rPr>
        <w:t xml:space="preserve"> 018-2000 (далі – Класифікатор), та не здаються їх власниками в оренду, лізинг, позичку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xml:space="preserve">. «ж»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266.2.2 п. 266.2 ст. 266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Якщо частка будівлі (споруди) сільськогосподарського товаровиробника (юридичної особи або фізичної особи), віднесена до класу «Будівлі сільськогосподарського призначення, лісівництва та рибного господарства» код 1271) Класифікатора, здається їх власником в оренду, лізинг, позичку, то така будівля (споруда) оподатковується податком на нерухомість на загальних підставах.</w:t>
      </w:r>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Нелегальна праця має негативні наслідки для найманих працівників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Звертаємо увагу, що боротьба з «тіньовою» зайнятістю та виплатою заробітної плати без оподаткування – один з пріоритетних напрямів роботи органів ДФС.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Адже від надходжень до бюджетів за рахунок оподаткування доходів, які отримують громадяни, залежить вчасне фінансування закладів освіти, охорони здоров’я, оборони, безпеки, культури, забезпечення надання грошової допомоги багатосімейним і малозабезпеченим громадянам та інших виплат соціального напряму. Нелегальна праця знижує доходи, зокрема до місцевих бюджетів, бюджетів Пенсійного фонду України та фондів соціального страхування.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Крім того, «тіньова» зарплата має негативні наслідки для найманих працівників. Зокрема, це відсутність соціальних гарантій, передбачених для працівника, – права на відпустку (у тому числі на час вагітності та пологів), страхування від нещасних випадків на виробництві та професійних захворювань, права на оплату листків непрацездатності. Також громадяни втрачають пенсійний стаж та можливість отримання допомоги у разі втрати роботи.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Неофіційно працевлаштована особа позбавлена законодавчого захисту та повністю залежить від роботодавця та його дій по відношенню до такого працівника.</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Отже, виявлення порушників податкового законодавства у частині виплати заробітної плати – один з кроків захисту інтересів працівників. Тому ДФС бере участь у діяльності робочих груп, створених при обласних державних адміністраціях з метою виявлення найманих працівників, які працюють неофіційно, та залучення їх до оподаткування.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Зауважуємо, що офіційне працевлаштування – це обов’язок роботодавця, адже тільки офіційне працевлаштування надає гарантію соціальних, економічних та трудових прав для працівників і є запорукою підвищення надходжень до бюджетів України. </w:t>
      </w:r>
    </w:p>
    <w:p w:rsidR="00B912E5" w:rsidRPr="00B912E5" w:rsidRDefault="00B912E5" w:rsidP="00B912E5">
      <w:pPr>
        <w:spacing w:after="0" w:line="240" w:lineRule="auto"/>
        <w:jc w:val="both"/>
        <w:rPr>
          <w:rFonts w:ascii="Times New Roman" w:hAnsi="Times New Roman" w:cs="Times New Roman"/>
          <w:sz w:val="20"/>
          <w:szCs w:val="20"/>
          <w:lang w:val="uk-UA"/>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lastRenderedPageBreak/>
        <w:t xml:space="preserve">Протягом січня-квітня 2019 року платникам відшкодовано 57,2 </w:t>
      </w:r>
      <w:proofErr w:type="spellStart"/>
      <w:r w:rsidRPr="00B912E5">
        <w:rPr>
          <w:rFonts w:ascii="Times New Roman" w:eastAsia="Times New Roman" w:hAnsi="Times New Roman" w:cs="Times New Roman"/>
          <w:b/>
          <w:bCs/>
          <w:kern w:val="36"/>
          <w:sz w:val="20"/>
          <w:szCs w:val="20"/>
          <w:lang w:val="uk-UA" w:eastAsia="ru-RU"/>
        </w:rPr>
        <w:t>млрд</w:t>
      </w:r>
      <w:proofErr w:type="spellEnd"/>
      <w:r w:rsidRPr="00B912E5">
        <w:rPr>
          <w:rFonts w:ascii="Times New Roman" w:eastAsia="Times New Roman" w:hAnsi="Times New Roman" w:cs="Times New Roman"/>
          <w:b/>
          <w:bCs/>
          <w:kern w:val="36"/>
          <w:sz w:val="20"/>
          <w:szCs w:val="20"/>
          <w:lang w:val="uk-UA" w:eastAsia="ru-RU"/>
        </w:rPr>
        <w:t xml:space="preserve"> </w:t>
      </w:r>
      <w:proofErr w:type="spellStart"/>
      <w:r w:rsidRPr="00B912E5">
        <w:rPr>
          <w:rFonts w:ascii="Times New Roman" w:eastAsia="Times New Roman" w:hAnsi="Times New Roman" w:cs="Times New Roman"/>
          <w:b/>
          <w:bCs/>
          <w:kern w:val="36"/>
          <w:sz w:val="20"/>
          <w:szCs w:val="20"/>
          <w:lang w:val="uk-UA" w:eastAsia="ru-RU"/>
        </w:rPr>
        <w:t>грн</w:t>
      </w:r>
      <w:proofErr w:type="spellEnd"/>
      <w:r w:rsidRPr="00B912E5">
        <w:rPr>
          <w:rFonts w:ascii="Times New Roman" w:eastAsia="Times New Roman" w:hAnsi="Times New Roman" w:cs="Times New Roman"/>
          <w:b/>
          <w:bCs/>
          <w:kern w:val="36"/>
          <w:sz w:val="20"/>
          <w:szCs w:val="20"/>
          <w:lang w:val="uk-UA" w:eastAsia="ru-RU"/>
        </w:rPr>
        <w:t xml:space="preserve"> ПДВ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Протягом січня-квітня 2019 року Державна фіскальна служба України відшкодувала платникам 57,2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податку на додану вартість.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Порівняно з відповідним періодом минулого року сума відшкодування зросла на 31,2%, або на 13,6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У січні-квітні 2018 року платникам було відшкодовано 43,6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Сума середньомісячного відшкодування ПДВ у 2019 році склала 14,3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Протягом 2018 року сума середньомісячного відшкодування ПДВ становила 11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У квітні 2019 року платникам було повернуто 11,8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ПДВ.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Нагадаємо, що на сьогодні відсутні будь-які можливості для маніпуляцій з відшкодуванням ПДВ, оскільки весь процес автоматичний та прозорий. Процедура відшкодування податку на додану вартість відбувається у строки, встановлені законом. Жодних термінів порушення проведення перевірок не встановлено. </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 xml:space="preserve">Перевірки бізнесу Дніпропетровщини забезпечили надходження до бюджету 106,1 </w:t>
      </w:r>
      <w:proofErr w:type="spellStart"/>
      <w:r w:rsidRPr="00B912E5">
        <w:rPr>
          <w:rFonts w:ascii="Times New Roman" w:hAnsi="Times New Roman" w:cs="Times New Roman"/>
          <w:b/>
          <w:sz w:val="20"/>
          <w:szCs w:val="20"/>
          <w:lang w:val="uk-UA"/>
        </w:rPr>
        <w:t>млн</w:t>
      </w:r>
      <w:proofErr w:type="spellEnd"/>
      <w:r w:rsidRPr="00B912E5">
        <w:rPr>
          <w:rFonts w:ascii="Times New Roman" w:hAnsi="Times New Roman" w:cs="Times New Roman"/>
          <w:b/>
          <w:sz w:val="20"/>
          <w:szCs w:val="20"/>
          <w:lang w:val="uk-UA"/>
        </w:rPr>
        <w:t xml:space="preserve"> гривень</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 початку 2019 року підрозділами аудиту Головного управління ДФС у Дніпропетровській області проведено 586 документальних перевірок, за результатами яких надійшло до бюджету 105,8 </w:t>
      </w:r>
      <w:proofErr w:type="spellStart"/>
      <w:r w:rsidRPr="00B912E5">
        <w:rPr>
          <w:rFonts w:ascii="Times New Roman" w:hAnsi="Times New Roman" w:cs="Times New Roman"/>
          <w:sz w:val="20"/>
          <w:szCs w:val="20"/>
          <w:lang w:val="uk-UA"/>
        </w:rPr>
        <w:t>млн</w:t>
      </w:r>
      <w:proofErr w:type="spellEnd"/>
      <w:r w:rsidRPr="00B912E5">
        <w:rPr>
          <w:rFonts w:ascii="Times New Roman" w:hAnsi="Times New Roman" w:cs="Times New Roman"/>
          <w:sz w:val="20"/>
          <w:szCs w:val="20"/>
          <w:lang w:val="uk-UA"/>
        </w:rPr>
        <w:t xml:space="preserve"> </w:t>
      </w:r>
      <w:proofErr w:type="spellStart"/>
      <w:r w:rsidRPr="00B912E5">
        <w:rPr>
          <w:rFonts w:ascii="Times New Roman" w:hAnsi="Times New Roman" w:cs="Times New Roman"/>
          <w:sz w:val="20"/>
          <w:szCs w:val="20"/>
          <w:lang w:val="uk-UA"/>
        </w:rPr>
        <w:t>грн</w:t>
      </w:r>
      <w:proofErr w:type="spellEnd"/>
      <w:r w:rsidRPr="00B912E5">
        <w:rPr>
          <w:rFonts w:ascii="Times New Roman" w:hAnsi="Times New Roman" w:cs="Times New Roman"/>
          <w:sz w:val="20"/>
          <w:szCs w:val="20"/>
          <w:lang w:val="uk-UA"/>
        </w:rPr>
        <w:t xml:space="preserve"> грошових зобов’язань, що в 6 разів більше, ніж за січень – квітень минулого року.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Також проведено 272 фактичні перевірки суб’єктів господарювання, які використовують РРО, за результатами яких до бюджету надійшло фінансових санкцій більше в 1,4 рази, ніж за аналогічний період минулого року, а саме:                          272,0 тис. </w:t>
      </w:r>
      <w:proofErr w:type="spellStart"/>
      <w:r w:rsidRPr="00B912E5">
        <w:rPr>
          <w:rFonts w:ascii="Times New Roman" w:hAnsi="Times New Roman" w:cs="Times New Roman"/>
          <w:sz w:val="20"/>
          <w:szCs w:val="20"/>
          <w:lang w:val="uk-UA"/>
        </w:rPr>
        <w:t>грн</w:t>
      </w:r>
      <w:proofErr w:type="spellEnd"/>
      <w:r w:rsidRPr="00B912E5">
        <w:rPr>
          <w:rFonts w:ascii="Times New Roman" w:hAnsi="Times New Roman" w:cs="Times New Roman"/>
          <w:sz w:val="20"/>
          <w:szCs w:val="20"/>
          <w:lang w:val="uk-UA"/>
        </w:rPr>
        <w:t xml:space="preserve"> проти 192,0 тис. гривень.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На сьогодні головним принципом контрольно-перевірочної роботи є вибірковість контролю на основі оцінки та опрацювання ризиків в діяльності платника, що цілком відповідає міжнародній практиці та дає змогу значно зменшити тиск на сумлінних платників, а також зосередити увагу фіскальних органів на ризикових платниках.</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Про податкову знижку</w:t>
      </w:r>
    </w:p>
    <w:p w:rsidR="00C3535C" w:rsidRPr="00B912E5" w:rsidRDefault="00C3535C" w:rsidP="00B912E5">
      <w:pPr>
        <w:shd w:val="clear" w:color="auto" w:fill="FFFFFF"/>
        <w:spacing w:after="0" w:line="240" w:lineRule="auto"/>
        <w:jc w:val="both"/>
        <w:outlineLvl w:val="0"/>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ДФС України на офіційному </w:t>
      </w:r>
      <w:proofErr w:type="spellStart"/>
      <w:r w:rsidRPr="00B912E5">
        <w:rPr>
          <w:rFonts w:ascii="Times New Roman" w:hAnsi="Times New Roman" w:cs="Times New Roman"/>
          <w:sz w:val="20"/>
          <w:szCs w:val="20"/>
          <w:lang w:val="uk-UA"/>
        </w:rPr>
        <w:t>веб-порталі</w:t>
      </w:r>
      <w:proofErr w:type="spellEnd"/>
      <w:r w:rsidRPr="00B912E5">
        <w:rPr>
          <w:rFonts w:ascii="Times New Roman" w:hAnsi="Times New Roman" w:cs="Times New Roman"/>
          <w:sz w:val="20"/>
          <w:szCs w:val="20"/>
          <w:lang w:val="uk-UA"/>
        </w:rPr>
        <w:t xml:space="preserve"> за посиланням </w:t>
      </w:r>
      <w:hyperlink r:id="rId7" w:history="1">
        <w:r w:rsidRPr="00B912E5">
          <w:rPr>
            <w:rStyle w:val="a3"/>
            <w:rFonts w:ascii="Times New Roman" w:hAnsi="Times New Roman" w:cs="Times New Roman"/>
            <w:sz w:val="20"/>
            <w:szCs w:val="20"/>
            <w:lang w:val="uk-UA"/>
          </w:rPr>
          <w:t>http://sfs.gov.ua/nove-pro-podatki--novini-/377595.html</w:t>
        </w:r>
      </w:hyperlink>
      <w:r w:rsidRPr="00B912E5">
        <w:rPr>
          <w:rFonts w:ascii="Times New Roman" w:hAnsi="Times New Roman" w:cs="Times New Roman"/>
          <w:sz w:val="20"/>
          <w:szCs w:val="20"/>
          <w:lang w:val="uk-UA"/>
        </w:rPr>
        <w:t xml:space="preserve"> надала відповіді на наступні питання щодо податкової знижки.</w:t>
      </w:r>
    </w:p>
    <w:p w:rsidR="00C3535C" w:rsidRPr="00B912E5" w:rsidRDefault="00C3535C" w:rsidP="00B912E5">
      <w:pPr>
        <w:shd w:val="clear" w:color="auto" w:fill="FFFFFF"/>
        <w:spacing w:after="0" w:line="240" w:lineRule="auto"/>
        <w:jc w:val="both"/>
        <w:outlineLvl w:val="0"/>
        <w:rPr>
          <w:rFonts w:ascii="Times New Roman" w:hAnsi="Times New Roman" w:cs="Times New Roman"/>
          <w:sz w:val="20"/>
          <w:szCs w:val="20"/>
          <w:lang w:val="uk-UA"/>
        </w:rPr>
      </w:pPr>
      <w:r w:rsidRPr="00B912E5">
        <w:rPr>
          <w:rFonts w:ascii="Times New Roman" w:hAnsi="Times New Roman" w:cs="Times New Roman"/>
          <w:sz w:val="20"/>
          <w:szCs w:val="20"/>
          <w:lang w:val="uk-UA"/>
        </w:rPr>
        <w:t>Питання: «</w:t>
      </w:r>
      <w:r w:rsidRPr="00B912E5">
        <w:rPr>
          <w:rFonts w:ascii="Times New Roman" w:hAnsi="Times New Roman" w:cs="Times New Roman"/>
          <w:i/>
          <w:sz w:val="20"/>
          <w:szCs w:val="20"/>
          <w:lang w:val="uk-UA"/>
        </w:rPr>
        <w:t xml:space="preserve">У 2018 році мати сплачувала за навчання дочки (сина) в університеті. Який термін подання документів для застосування права на податкову знижку? Чи можна подати документи </w:t>
      </w:r>
      <w:proofErr w:type="spellStart"/>
      <w:r w:rsidRPr="00B912E5">
        <w:rPr>
          <w:rFonts w:ascii="Times New Roman" w:hAnsi="Times New Roman" w:cs="Times New Roman"/>
          <w:i/>
          <w:sz w:val="20"/>
          <w:szCs w:val="20"/>
          <w:lang w:val="uk-UA"/>
        </w:rPr>
        <w:t>онлайн</w:t>
      </w:r>
      <w:proofErr w:type="spellEnd"/>
      <w:r w:rsidRPr="00B912E5">
        <w:rPr>
          <w:rFonts w:ascii="Times New Roman" w:hAnsi="Times New Roman" w:cs="Times New Roman"/>
          <w:i/>
          <w:sz w:val="20"/>
          <w:szCs w:val="20"/>
          <w:lang w:val="uk-UA"/>
        </w:rPr>
        <w:t>?</w:t>
      </w:r>
      <w:r w:rsidRPr="00B912E5">
        <w:rPr>
          <w:rFonts w:ascii="Times New Roman" w:hAnsi="Times New Roman" w:cs="Times New Roman"/>
          <w:sz w:val="20"/>
          <w:szCs w:val="20"/>
          <w:lang w:val="uk-UA"/>
        </w:rPr>
        <w:t>»</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Відповідь: Підстави для нарахування податкової знижки із зазначенням конкретних сум відображаються платником податку на доходи фізичних осіб (далі – податок) у річній податковій декларації про майновий стан і доходи    (далі – податкова декларація), яка подається по 31 грудня включно наступного за звітним податкового року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166.1.2 ст. 166 Податкового кодексу України  (далі –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Податкова декларація подається контролюючому органу, в якому перебуває на обліку платник податків (п. 49.1 ст. 49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При цьому, за вибором платника податкова декларація може бути подана в один із таких способів: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особисто або уповноваженою на це особою;</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надсилається поштою з повідомленням про вручення та з описом вкладення;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засобами електронного зв’язку в електронній формі з дотриманням вимог законів щодо електронного документообігу.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 метою підвищення рівня добровільності декларування доходів громадян, підвищення якості адміністрування, ДФС запроваджено новий електронний сервіс в «Електронному кабінеті», у тому числі заповнення та подання податкової декларації платниками податків – фізичними особами в електронному вигляді.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Крім того, на офіційному </w:t>
      </w:r>
      <w:proofErr w:type="spellStart"/>
      <w:r w:rsidRPr="00B912E5">
        <w:rPr>
          <w:rFonts w:ascii="Times New Roman" w:hAnsi="Times New Roman" w:cs="Times New Roman"/>
          <w:sz w:val="20"/>
          <w:szCs w:val="20"/>
          <w:lang w:val="uk-UA"/>
        </w:rPr>
        <w:t>веб-порталі</w:t>
      </w:r>
      <w:proofErr w:type="spellEnd"/>
      <w:r w:rsidRPr="00B912E5">
        <w:rPr>
          <w:rFonts w:ascii="Times New Roman" w:hAnsi="Times New Roman" w:cs="Times New Roman"/>
          <w:sz w:val="20"/>
          <w:szCs w:val="20"/>
          <w:lang w:val="uk-UA"/>
        </w:rPr>
        <w:t xml:space="preserve"> ДФС (</w:t>
      </w:r>
      <w:proofErr w:type="spellStart"/>
      <w:r w:rsidRPr="00B912E5">
        <w:rPr>
          <w:rFonts w:ascii="Times New Roman" w:hAnsi="Times New Roman" w:cs="Times New Roman"/>
          <w:sz w:val="20"/>
          <w:szCs w:val="20"/>
          <w:lang w:val="uk-UA"/>
        </w:rPr>
        <w:t>sfs.gov.ua</w:t>
      </w:r>
      <w:proofErr w:type="spellEnd"/>
      <w:r w:rsidRPr="00B912E5">
        <w:rPr>
          <w:rFonts w:ascii="Times New Roman" w:hAnsi="Times New Roman" w:cs="Times New Roman"/>
          <w:sz w:val="20"/>
          <w:szCs w:val="20"/>
          <w:lang w:val="uk-UA"/>
        </w:rPr>
        <w:t>) у банері «Деклараційна кампанія 2019» розміщено електронні форми податкової декларації та приклади її заповнення.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Слід зазначити, що у разі якщо платник податку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Про витрати, які мають право враховувати приватні виконавці при визначенні сукупного доходу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Повідомляємо, що приватні виконавці, які мають намір здійснювати незалежну професійну діяльність, зобов’язані стати на облік у контролюючих органах за місцем свого постійного проживання як </w:t>
      </w:r>
      <w:proofErr w:type="spellStart"/>
      <w:r w:rsidRPr="00B912E5">
        <w:rPr>
          <w:rFonts w:ascii="Times New Roman" w:hAnsi="Times New Roman" w:cs="Times New Roman"/>
          <w:sz w:val="20"/>
          <w:szCs w:val="20"/>
          <w:lang w:val="uk-UA"/>
        </w:rPr>
        <w:t>самозайняті</w:t>
      </w:r>
      <w:proofErr w:type="spellEnd"/>
      <w:r w:rsidRPr="00B912E5">
        <w:rPr>
          <w:rFonts w:ascii="Times New Roman" w:hAnsi="Times New Roman" w:cs="Times New Roman"/>
          <w:sz w:val="20"/>
          <w:szCs w:val="20"/>
          <w:lang w:val="uk-UA"/>
        </w:rPr>
        <w:t xml:space="preserve"> особи та отримати довідку про взяття на облік згідно зі ст. 65 Податкового кодексу України (далі –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Оподаткування доходів фізичних осіб, які провадять незалежну професійну діяльність, здійснюється відповідно до положень ст. 178 розділу IV «Податок на доходи фізичних осіб»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Згідно з п. 178.3 ст. 178 ПКУ 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При цьому, ПКУ не передбачено будь-якого переліку витрат для </w:t>
      </w:r>
      <w:proofErr w:type="spellStart"/>
      <w:r w:rsidRPr="00B912E5">
        <w:rPr>
          <w:rFonts w:ascii="Times New Roman" w:hAnsi="Times New Roman" w:cs="Times New Roman"/>
          <w:sz w:val="20"/>
          <w:szCs w:val="20"/>
          <w:lang w:val="uk-UA"/>
        </w:rPr>
        <w:t>самозайнятих</w:t>
      </w:r>
      <w:proofErr w:type="spellEnd"/>
      <w:r w:rsidRPr="00B912E5">
        <w:rPr>
          <w:rFonts w:ascii="Times New Roman" w:hAnsi="Times New Roman" w:cs="Times New Roman"/>
          <w:sz w:val="20"/>
          <w:szCs w:val="20"/>
          <w:lang w:val="uk-UA"/>
        </w:rPr>
        <w:t xml:space="preserve"> осіб, у тому числі для фізичних осіб, які здійснюють незалежну діяльність приватних виконавців.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Крім того, положенням ст. 178 ПКУ не передбачено затвердження нормативно-правового акту щодо визначення переліку витрат осіб, що здійснюють незалежну професійну діяльність.</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Водночас, п. 3 ст. 42 Закону України від 02 червня 2016 року № 1404 «Про виконавче провадження» (далі – Закон № 1404) визначено, що витрати виконавчого провадження приватних виконавців здійснюються за рахунок авансового внеску </w:t>
      </w:r>
      <w:proofErr w:type="spellStart"/>
      <w:r w:rsidRPr="00B912E5">
        <w:rPr>
          <w:rFonts w:ascii="Times New Roman" w:hAnsi="Times New Roman" w:cs="Times New Roman"/>
          <w:sz w:val="20"/>
          <w:szCs w:val="20"/>
          <w:lang w:val="uk-UA"/>
        </w:rPr>
        <w:t>стягувача</w:t>
      </w:r>
      <w:proofErr w:type="spellEnd"/>
      <w:r w:rsidRPr="00B912E5">
        <w:rPr>
          <w:rFonts w:ascii="Times New Roman" w:hAnsi="Times New Roman" w:cs="Times New Roman"/>
          <w:sz w:val="20"/>
          <w:szCs w:val="20"/>
          <w:lang w:val="uk-UA"/>
        </w:rPr>
        <w:t>, стягнутих з боржника коштів на витрати виконавчого провадження. Витрати виконавчого провадження можуть здійснюватися приватним виконавцем за рахунок власних коштів. Відповідно до абзацу 3 п. 3 ст. 42 Закону № 1404 розмір та види витрат виконавчого провадження встановлюються Міністерством юстиції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lastRenderedPageBreak/>
        <w:t>Наказом Міністерства юстиції України від 29.09.2016 № 2830/5 «Про встановлення Видів та розмірів витрат виконавчого провадження» із змінами (далі – Наказ № 2830/5) затверджено перелік та розмір витрат виконавчого провадження.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Отже, при визначенні сукупного доходу до витрат фізичної особи, яка здійснює незалежну діяльність приватних виконавців, можуть бути віднесені документально підтверджені витрати, які пов’язані з організацією такої діяльності та обумовлені вимогами Закону № 1404 та Наказу № 2830/5.</w:t>
      </w:r>
    </w:p>
    <w:p w:rsidR="00C3535C" w:rsidRPr="00B912E5" w:rsidRDefault="00C3535C" w:rsidP="00B912E5">
      <w:pPr>
        <w:shd w:val="clear" w:color="auto" w:fill="FFFFFF"/>
        <w:spacing w:after="0" w:line="240" w:lineRule="auto"/>
        <w:jc w:val="both"/>
        <w:outlineLvl w:val="0"/>
        <w:rPr>
          <w:rFonts w:ascii="Times New Roman" w:hAnsi="Times New Roman" w:cs="Times New Roman"/>
          <w:color w:val="000000"/>
          <w:sz w:val="20"/>
          <w:szCs w:val="20"/>
          <w:shd w:val="clear" w:color="auto" w:fill="FFFFFF"/>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ПТКС, призначений для переказу готівки до установи банку, має бути включений до Державного реєстру РРО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Звертаємо увагу, що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що підтверджують виконання розрахункових операцій, видавати особі, яка отримує послугу або відмовляється від неї, включаючи ті, замовлення або оплата яких здійснюється з використанням мережі Інтернет, розрахунковий документ встановленої форми на повну суму проведеної операції та застосовувати РРО, що включені до Державного реєстру реєстраторів розрахункових операцій, з додержанням встановленого порядку їх застосування.</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Норми визначені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Відповідно до ст. 2 Закону № 265 до РРО відносяться: електронний контрольно-касовий апарат, електронний контрольно-касовий реєстратор, комп’ютерно-касова система, електронний таксометр, автомат з продажу товарів (послуг) тощо.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РРО – пристрій або програмно-технічний комплекс, зокрема, програмно технічний комплекс самообслуговування (далі – ПТКС), в якому реалізовані фіскальні функції і який призначений для реєстрації розрахункових операцій при продажу товарів (наданні послуг), операцій з купівлі-продажу іноземної валюти та/або реєстрації кількості проданих товарів (наданих послуг).</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Якщо ПТКС призначається для переказу готівки до установи банку, то такий ПТКС є РРО і має бути включений до Державного реєстру реєстраторів розрахункових операцій.</w:t>
      </w:r>
    </w:p>
    <w:p w:rsidR="00C3535C" w:rsidRPr="00B912E5" w:rsidRDefault="00C3535C" w:rsidP="00B912E5">
      <w:pPr>
        <w:shd w:val="clear" w:color="auto" w:fill="FFFFFF"/>
        <w:spacing w:after="0" w:line="240" w:lineRule="auto"/>
        <w:jc w:val="both"/>
        <w:outlineLvl w:val="0"/>
        <w:rPr>
          <w:rFonts w:ascii="Times New Roman" w:hAnsi="Times New Roman" w:cs="Times New Roman"/>
          <w:color w:val="000000"/>
          <w:sz w:val="20"/>
          <w:szCs w:val="20"/>
          <w:shd w:val="clear" w:color="auto" w:fill="FFFFFF"/>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 xml:space="preserve">Зміни для постачальників електричної енергії, які застосовуються з 01.07.2019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Нагадуємо, що згідно з положеннями Закону України від 13 квітня 2017 року № 2019-VIII «Про ринок електричної енергії» (далі – Закон № 2019), починаючи з 01 липня 2019 року, купівлю-продаж електричної енергії за двосторонніми договорами здійснюють виробники, </w:t>
      </w:r>
      <w:proofErr w:type="spellStart"/>
      <w:r w:rsidRPr="00B912E5">
        <w:rPr>
          <w:rFonts w:ascii="Times New Roman" w:hAnsi="Times New Roman" w:cs="Times New Roman"/>
          <w:sz w:val="20"/>
          <w:szCs w:val="20"/>
          <w:lang w:val="uk-UA"/>
        </w:rPr>
        <w:t>електропостачальники</w:t>
      </w:r>
      <w:proofErr w:type="spellEnd"/>
      <w:r w:rsidRPr="00B912E5">
        <w:rPr>
          <w:rFonts w:ascii="Times New Roman" w:hAnsi="Times New Roman" w:cs="Times New Roman"/>
          <w:sz w:val="20"/>
          <w:szCs w:val="20"/>
          <w:lang w:val="uk-UA"/>
        </w:rPr>
        <w:t xml:space="preserve">, оператор системи передачі, оператори систем розподілу, </w:t>
      </w:r>
      <w:proofErr w:type="spellStart"/>
      <w:r w:rsidRPr="00B912E5">
        <w:rPr>
          <w:rFonts w:ascii="Times New Roman" w:hAnsi="Times New Roman" w:cs="Times New Roman"/>
          <w:sz w:val="20"/>
          <w:szCs w:val="20"/>
          <w:lang w:val="uk-UA"/>
        </w:rPr>
        <w:t>трейдери</w:t>
      </w:r>
      <w:proofErr w:type="spellEnd"/>
      <w:r w:rsidRPr="00B912E5">
        <w:rPr>
          <w:rFonts w:ascii="Times New Roman" w:hAnsi="Times New Roman" w:cs="Times New Roman"/>
          <w:sz w:val="20"/>
          <w:szCs w:val="20"/>
          <w:lang w:val="uk-UA"/>
        </w:rPr>
        <w:t>, гарантований покупець та споживачі (ст. 66 Закону № 2019).</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Нормами ст. 212 Податкового кодексу України (далі – ПКУ) встановлено, що платниками акцизного податку з електричної енергії є:</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особа, яка виробляє підакцизні товари (продукцію) на митній території України, у тому числі з давальницької сировини;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особа – суб’єкт господарювання, яка ввозить підакцизні товари (продукцію) на митну територію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оптовий постачальник електричної енергії;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виробники електричної енергії, які мають ліцензію на право здійснення підприємницької діяльності з виробництва електричної енергії і продають її поза оптовим ринком електричної енергії.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Не є платниками акцизного податку особи, які здійснюють діяльність з виробництва електричної енергії за умови її продажу на оптовому ринку електричної енергії та/або з постачання електричної енергії, крім платників, зазначених у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212.1.12 п. 212.1 ст. 212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Відповідно до ст. 213 ПКУ об’єктом оподаткування акцизним податком є операції з:</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реалізації вироблених в Україні підакцизних товарів (продукції);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оптового постачання електричної енергії.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Базою оподаткування акцизним податком згідно з нормами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214.1.3                  п. 214.1 ст. 214 ПКУ є вартість реалізованої електричної енергії без податку на додану вартість, виходячи з якої обчислюється сума податкового зобов’язання із врахуванням ставки у розмірі 3,2 %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215.3.9 п. 215.3 ст. 215 ПКУ), а також дати виникнення податкових зобов’язань щодо постачання електричної енергії – дата підписання акта прийому-передачі електроенергії (п. 216.10 ст. 216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Не підлягають оподаткуванню операції з реалізації електричної енергії, виробленої кваліфікованими </w:t>
      </w:r>
      <w:proofErr w:type="spellStart"/>
      <w:r w:rsidRPr="00B912E5">
        <w:rPr>
          <w:rFonts w:ascii="Times New Roman" w:hAnsi="Times New Roman" w:cs="Times New Roman"/>
          <w:sz w:val="20"/>
          <w:szCs w:val="20"/>
          <w:lang w:val="uk-UA"/>
        </w:rPr>
        <w:t>когенераційними</w:t>
      </w:r>
      <w:proofErr w:type="spellEnd"/>
      <w:r w:rsidRPr="00B912E5">
        <w:rPr>
          <w:rFonts w:ascii="Times New Roman" w:hAnsi="Times New Roman" w:cs="Times New Roman"/>
          <w:sz w:val="20"/>
          <w:szCs w:val="20"/>
          <w:lang w:val="uk-UA"/>
        </w:rPr>
        <w:t xml:space="preserve"> установками та/або з відновлюваних джерел енергії (</w:t>
      </w:r>
      <w:proofErr w:type="spellStart"/>
      <w:r w:rsidRPr="00B912E5">
        <w:rPr>
          <w:rFonts w:ascii="Times New Roman" w:hAnsi="Times New Roman" w:cs="Times New Roman"/>
          <w:sz w:val="20"/>
          <w:szCs w:val="20"/>
          <w:lang w:val="uk-UA"/>
        </w:rPr>
        <w:t>п.п</w:t>
      </w:r>
      <w:proofErr w:type="spellEnd"/>
      <w:r w:rsidRPr="00B912E5">
        <w:rPr>
          <w:rFonts w:ascii="Times New Roman" w:hAnsi="Times New Roman" w:cs="Times New Roman"/>
          <w:sz w:val="20"/>
          <w:szCs w:val="20"/>
          <w:lang w:val="uk-UA"/>
        </w:rPr>
        <w:t>. 213.2.8 п. 213.2 ст. 213 ПКУ).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Зауважуємо, що платники, які здійснюють операції з реалізації електричної енергії, виробленої кваліфікованими </w:t>
      </w:r>
      <w:proofErr w:type="spellStart"/>
      <w:r w:rsidRPr="00B912E5">
        <w:rPr>
          <w:rFonts w:ascii="Times New Roman" w:hAnsi="Times New Roman" w:cs="Times New Roman"/>
          <w:sz w:val="20"/>
          <w:szCs w:val="20"/>
          <w:lang w:val="uk-UA"/>
        </w:rPr>
        <w:t>когенераційними</w:t>
      </w:r>
      <w:proofErr w:type="spellEnd"/>
      <w:r w:rsidRPr="00B912E5">
        <w:rPr>
          <w:rFonts w:ascii="Times New Roman" w:hAnsi="Times New Roman" w:cs="Times New Roman"/>
          <w:sz w:val="20"/>
          <w:szCs w:val="20"/>
          <w:lang w:val="uk-UA"/>
        </w:rPr>
        <w:t xml:space="preserve"> установками та/або з відновлюваних джерел енергії і мають відповідні ліцензії на здійснення таких операцій, зобов’язані за кожний встановлений ПКУ звітний період подавати податкові декларації з акцизного податку незалежно від того, чи провадили такі платники господарську діяльність у звітному періоді.</w:t>
      </w:r>
    </w:p>
    <w:p w:rsidR="00B912E5" w:rsidRPr="00B912E5" w:rsidRDefault="00B912E5" w:rsidP="00B912E5">
      <w:pPr>
        <w:spacing w:after="0" w:line="240" w:lineRule="auto"/>
        <w:jc w:val="both"/>
        <w:rPr>
          <w:rFonts w:ascii="Times New Roman" w:hAnsi="Times New Roman" w:cs="Times New Roman"/>
          <w:sz w:val="20"/>
          <w:szCs w:val="20"/>
          <w:lang w:val="uk-UA"/>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t xml:space="preserve">У 2019 році зафіксовано 2,6 тис. випадків призупинення митного оформлення товарів через можливе порушення прав інтелектуальної власності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Протягом січня-квітня 2019 року митницями зафіксовано майже 2,6 тис. випадків призупинення митного оформлення товарів за підозрою у порушенні прав інтелектуальної власності.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Митницями ДФС з початку 2019 року порушено 3 справи про порушення митних правил за фактами ввезення товарів з порушенням прав інтелектуальної власності на загальну суму понад 25,2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грн.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lastRenderedPageBreak/>
        <w:t xml:space="preserve">Ці справи порушені Одеською митницею ДФС за статтею 476 Митного кодексу України. Предметами правопорушень були такі товари, як автозапчастини «TOYOTA» (вартістю близько 23,5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автокосметика (вартістю близько 1,7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взуття з позначеннями, схоже на торговельну марку «три смужки» (вартістю близько 117 тис.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Загалом, станом на 1 травня 2019 року у митний реєстр об’єктів права інтелектуальної власності за заявами правовласників внесено 4015 об’єктів. З них 48 –  внесено з початку 2019 року.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Нагадаємо, що для сприяння захисту прав інтелектуальної власності під час  зовнішньоекономічної діяльності  Державна фіскальна служба України веде митний реєстр об’єктів права інтелектуальної власності. До них належать об’єкти авторського права і суміжних прав, винаходи, корисні моделі, промислові зразки, торговельні марки, географічні зазначення (зазначення походження товарів) та сорти рослин.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t xml:space="preserve">Олександр Власов: Громадяни задекларували 83,6 </w:t>
      </w:r>
      <w:proofErr w:type="spellStart"/>
      <w:r w:rsidRPr="00B912E5">
        <w:rPr>
          <w:rFonts w:ascii="Times New Roman" w:eastAsia="Times New Roman" w:hAnsi="Times New Roman" w:cs="Times New Roman"/>
          <w:b/>
          <w:bCs/>
          <w:kern w:val="36"/>
          <w:sz w:val="20"/>
          <w:szCs w:val="20"/>
          <w:lang w:val="uk-UA" w:eastAsia="ru-RU"/>
        </w:rPr>
        <w:t>млрд</w:t>
      </w:r>
      <w:proofErr w:type="spellEnd"/>
      <w:r w:rsidRPr="00B912E5">
        <w:rPr>
          <w:rFonts w:ascii="Times New Roman" w:eastAsia="Times New Roman" w:hAnsi="Times New Roman" w:cs="Times New Roman"/>
          <w:b/>
          <w:bCs/>
          <w:kern w:val="36"/>
          <w:sz w:val="20"/>
          <w:szCs w:val="20"/>
          <w:lang w:val="uk-UA" w:eastAsia="ru-RU"/>
        </w:rPr>
        <w:t xml:space="preserve"> </w:t>
      </w:r>
      <w:proofErr w:type="spellStart"/>
      <w:r w:rsidRPr="00B912E5">
        <w:rPr>
          <w:rFonts w:ascii="Times New Roman" w:eastAsia="Times New Roman" w:hAnsi="Times New Roman" w:cs="Times New Roman"/>
          <w:b/>
          <w:bCs/>
          <w:kern w:val="36"/>
          <w:sz w:val="20"/>
          <w:szCs w:val="20"/>
          <w:lang w:val="uk-UA" w:eastAsia="ru-RU"/>
        </w:rPr>
        <w:t>грн</w:t>
      </w:r>
      <w:proofErr w:type="spellEnd"/>
      <w:r w:rsidRPr="00B912E5">
        <w:rPr>
          <w:rFonts w:ascii="Times New Roman" w:eastAsia="Times New Roman" w:hAnsi="Times New Roman" w:cs="Times New Roman"/>
          <w:b/>
          <w:bCs/>
          <w:kern w:val="36"/>
          <w:sz w:val="20"/>
          <w:szCs w:val="20"/>
          <w:lang w:val="uk-UA" w:eastAsia="ru-RU"/>
        </w:rPr>
        <w:t xml:space="preserve"> доходів, отриманих у минулому році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У ході деклараційної кампанії громадянами подано майже 529 тис. податкових декларацій про майновий стан і доходи та задекларовано загальний дохід у сумі 83,6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що майже на 26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або на 45 відсотків більше ніж у минулому році. Про це повідомив </w:t>
      </w:r>
      <w:proofErr w:type="spellStart"/>
      <w:r w:rsidRPr="00B912E5">
        <w:rPr>
          <w:rFonts w:ascii="Times New Roman" w:eastAsia="Times New Roman" w:hAnsi="Times New Roman" w:cs="Times New Roman"/>
          <w:sz w:val="20"/>
          <w:szCs w:val="20"/>
          <w:lang w:val="uk-UA" w:eastAsia="ru-RU"/>
        </w:rPr>
        <w:t>в.о</w:t>
      </w:r>
      <w:proofErr w:type="spellEnd"/>
      <w:r w:rsidRPr="00B912E5">
        <w:rPr>
          <w:rFonts w:ascii="Times New Roman" w:eastAsia="Times New Roman" w:hAnsi="Times New Roman" w:cs="Times New Roman"/>
          <w:sz w:val="20"/>
          <w:szCs w:val="20"/>
          <w:lang w:val="uk-UA" w:eastAsia="ru-RU"/>
        </w:rPr>
        <w:t xml:space="preserve">. Голови ДФС Олександр Власов.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«Цьогорічна кампанія декларування є достатньо успішною. Це пояснюється, перш за все, підвищенням сумлінності платників податків та ефективній роз’яснювальній роботі, яку проводили фахівці фіскальної служби», - зазначив Олександр Власов.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 його словами, громадяни визначили до сплати податкові зобов’язання з податку на доходи фізичних осіб на суму більше ніж 3,2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Це більше порівняно з минулим роком на 57 відсотків, або на 1,2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Сума військового збору до сплати становить 465,5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що на 205,7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більше, ніж у попередньому році.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Кількість громадян, які задекларували доходи у сумі понад 1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в порівнянні з минулим роком збільшилась на 27 відсотків і становить – 5143 особи (станом на 02.05.2018 – 4063). Традиційно найбільша кількість мільйонерів обліковується в м. Києві (2194 особи), Київській (378 осіб), Харківський (339 осіб), Дніпропетровській (333 особи) областях.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Із загальної кількості мільйонерів, які задекларували свої доходи, найбільшу частину, або 58 відсотків складають особи віком від 40 до 60 років (2981 особа),  особи віком від 30 до 40 років – 23 відсотка із загальної кількості (1171 особа), молодше 30 років задекларували 4 відсотка із загальної кількості осіб (211 особи).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«Найбільша кількість (70 відсотків, або 3609 осіб) мільйонерів задекларували отримані доходи у сумі від 1 до 5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грн. Вони найбільше декларували доходи, отримані від операцій з продажу об'єктів рухомого та нерухомого майна, доходи від надання майна в лізинг, оренду, житловий найм та іноземні доходи тощо», – розповів Олександр Власов.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Трьома громадянами задекларовано отримані доходи у сумі понад 1,0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з них однією особою задекларовано дохід понад 10,0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грн.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Податкові зобов’язання зі сплати в бюджет податку на доходи фізичних осіб та військового збору у сумі більше ніж 1,0 </w:t>
      </w:r>
      <w:proofErr w:type="spellStart"/>
      <w:r w:rsidRPr="00B912E5">
        <w:rPr>
          <w:rFonts w:ascii="Times New Roman" w:eastAsia="Times New Roman" w:hAnsi="Times New Roman" w:cs="Times New Roman"/>
          <w:sz w:val="20"/>
          <w:szCs w:val="20"/>
          <w:lang w:val="uk-UA" w:eastAsia="ru-RU"/>
        </w:rPr>
        <w:t>млрд</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задекларовано мешканцем м. Києва. Понад 100,0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до сплати задекларували також два мешканця м. Києва. Від 5,0 до 100,0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зазначили податкові зобов’язання 14 осіб, які мешкають в м. Києві, Київській, Харківській, Одеській та Сумській області.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«До цьогорічної кампанії декларування доходів долучилися майже 200 вітчизняних знаменитостей: зірки естради, музиканти, </w:t>
      </w:r>
      <w:proofErr w:type="spellStart"/>
      <w:r w:rsidRPr="00B912E5">
        <w:rPr>
          <w:rFonts w:ascii="Times New Roman" w:eastAsia="Times New Roman" w:hAnsi="Times New Roman" w:cs="Times New Roman"/>
          <w:sz w:val="20"/>
          <w:szCs w:val="20"/>
          <w:lang w:val="uk-UA" w:eastAsia="ru-RU"/>
        </w:rPr>
        <w:t>шоумени</w:t>
      </w:r>
      <w:proofErr w:type="spellEnd"/>
      <w:r w:rsidRPr="00B912E5">
        <w:rPr>
          <w:rFonts w:ascii="Times New Roman" w:eastAsia="Times New Roman" w:hAnsi="Times New Roman" w:cs="Times New Roman"/>
          <w:sz w:val="20"/>
          <w:szCs w:val="20"/>
          <w:lang w:val="uk-UA" w:eastAsia="ru-RU"/>
        </w:rPr>
        <w:t xml:space="preserve">, популярні ведучі та спортсмени. Ними  задекларовано доходи у сумі понад 416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та узгоджено до сплати податку на доходи фізичних осіб 44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та військового збору – 5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грн.», – зазначив </w:t>
      </w:r>
      <w:proofErr w:type="spellStart"/>
      <w:r w:rsidRPr="00B912E5">
        <w:rPr>
          <w:rFonts w:ascii="Times New Roman" w:eastAsia="Times New Roman" w:hAnsi="Times New Roman" w:cs="Times New Roman"/>
          <w:sz w:val="20"/>
          <w:szCs w:val="20"/>
          <w:lang w:val="uk-UA" w:eastAsia="ru-RU"/>
        </w:rPr>
        <w:t>очільник</w:t>
      </w:r>
      <w:proofErr w:type="spellEnd"/>
      <w:r w:rsidRPr="00B912E5">
        <w:rPr>
          <w:rFonts w:ascii="Times New Roman" w:eastAsia="Times New Roman" w:hAnsi="Times New Roman" w:cs="Times New Roman"/>
          <w:sz w:val="20"/>
          <w:szCs w:val="20"/>
          <w:lang w:val="uk-UA" w:eastAsia="ru-RU"/>
        </w:rPr>
        <w:t xml:space="preserve"> ДФС.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Крім того, значна кількість відомих та зіркових осіб обліковуються як суб’єкти підприємницької діяльності, застосовуючи спрощену систему оподаткування. Так, понад 127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доходу задекларували найбільш відомі особи, які здійснюють артистичну, мистецьку та театральну діяльність в межах підприємницької діяльності – а це понад 6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надходжень єдиного податку.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ТОП-рекордсмени шоу-бізнесу, що задекларували найбільші суми доходів: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Телевізійна ведуча – 158,8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Ведучий шоу-програм – 26,9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Співак - 11,8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Композитор (музикант) – 3,2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Футболіст - 26,2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Гуморист (на спрощеній системі оподаткування) – 4,7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w:t>
      </w:r>
      <w:proofErr w:type="spellStart"/>
      <w:r w:rsidRPr="00B912E5">
        <w:rPr>
          <w:rFonts w:ascii="Times New Roman" w:eastAsia="Times New Roman" w:hAnsi="Times New Roman" w:cs="Times New Roman"/>
          <w:sz w:val="20"/>
          <w:szCs w:val="20"/>
          <w:lang w:val="uk-UA" w:eastAsia="ru-RU"/>
        </w:rPr>
        <w:t>грн</w:t>
      </w:r>
      <w:proofErr w:type="spellEnd"/>
      <w:r w:rsidRPr="00B912E5">
        <w:rPr>
          <w:rFonts w:ascii="Times New Roman" w:eastAsia="Times New Roman" w:hAnsi="Times New Roman" w:cs="Times New Roman"/>
          <w:sz w:val="20"/>
          <w:szCs w:val="20"/>
          <w:lang w:val="uk-UA" w:eastAsia="ru-RU"/>
        </w:rPr>
        <w:t xml:space="preserve">;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 Ще один відомий гуморист (на спрощеній системі оподаткування) – 4,1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грн. </w:t>
      </w:r>
    </w:p>
    <w:p w:rsidR="0010513D" w:rsidRDefault="0010513D" w:rsidP="00B912E5">
      <w:pPr>
        <w:spacing w:after="0" w:line="240" w:lineRule="auto"/>
        <w:jc w:val="both"/>
        <w:rPr>
          <w:rFonts w:ascii="Times New Roman" w:hAnsi="Times New Roman" w:cs="Times New Roman"/>
          <w:b/>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Здійснення контролю за дотриманням антикорупційного законодавства в ГУ ДФС у Дніпропетровській області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Станом на 01 травня 2019 року закінчився період подачі декларацій про майно, доходи, витрати і зобов’язання фінансового характеру осіб, які уповноважені на виконання функцій держави, шляхом заповнення на офіційному </w:t>
      </w:r>
      <w:proofErr w:type="spellStart"/>
      <w:r w:rsidRPr="00B912E5">
        <w:rPr>
          <w:rFonts w:ascii="Times New Roman" w:hAnsi="Times New Roman" w:cs="Times New Roman"/>
          <w:sz w:val="20"/>
          <w:szCs w:val="20"/>
          <w:lang w:val="uk-UA"/>
        </w:rPr>
        <w:t>веб-сайті</w:t>
      </w:r>
      <w:proofErr w:type="spellEnd"/>
      <w:r w:rsidRPr="00B912E5">
        <w:rPr>
          <w:rFonts w:ascii="Times New Roman" w:hAnsi="Times New Roman" w:cs="Times New Roman"/>
          <w:sz w:val="20"/>
          <w:szCs w:val="20"/>
          <w:lang w:val="uk-UA"/>
        </w:rPr>
        <w:t xml:space="preserve"> Національного агентства з питань запобігання корупції.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В рамках забезпечення дотримання антикорупційного законодавства протягом І кварталу 2019 року відділом з питань запобігання та виявлення корупції ГУ ДФС у Дніпропетровській області проведені організаційні заходи щодо забезпечення своєчасного подання державними службовцями  ГУ ДФС у Дніпропетровській області е-декларацій, а саме: лекційні виступи, оглядові листи, методичні та консультативні заходи з суб’єктам декларування, індивідуальні співбесіди тощо.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Також, за січень – квітень 2019 року забезпечено перевірку 70 кандидатів на посади державних службовців ГУ ДФС у Дніпропетровській області, з яких відмовлено в призначенні – 1. Проведено 8 тематичних перевірок та 1 службове розслідування за приписом прокуратури.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Відомості щодо функціонування відділу, способу електронного та телефонного зв’язку, особливості його функціонування з урахуванням завдань щодо запобігання корупції містяться у розділі «Запобігання проявам корупції» </w:t>
      </w:r>
      <w:proofErr w:type="spellStart"/>
      <w:r w:rsidRPr="00B912E5">
        <w:rPr>
          <w:rFonts w:ascii="Times New Roman" w:hAnsi="Times New Roman" w:cs="Times New Roman"/>
          <w:sz w:val="20"/>
          <w:szCs w:val="20"/>
          <w:lang w:val="uk-UA"/>
        </w:rPr>
        <w:t>субсайту</w:t>
      </w:r>
      <w:proofErr w:type="spellEnd"/>
      <w:r w:rsidRPr="00B912E5">
        <w:rPr>
          <w:rFonts w:ascii="Times New Roman" w:hAnsi="Times New Roman" w:cs="Times New Roman"/>
          <w:sz w:val="20"/>
          <w:szCs w:val="20"/>
          <w:lang w:val="uk-UA"/>
        </w:rPr>
        <w:t xml:space="preserve"> «Територіальні органи ДФС у Дніпропетровській області».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lastRenderedPageBreak/>
        <w:t>Узагальнено відомості щодо фактичного подання е-декларацій особовим складом ГУ ДФС у Дніпропетровській області, за результатами якого підтверджено, що вимоги частини 1 статті 45 Закону України «Про запобігання корупції» діючими працівниками дотримані повністю і випадків неподання або несвоєчасного подання е-декларацій не зафіксовано.</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Уряд вніс зміни до Положення про митні декларації</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Повідомляємо, що 26.04.2019 набрала чинності постанова Кабінету Міністрів України від 24 квітня 2019 року № 344 «Про внесення змін до Положення про митні декларації» (далі – Постанова № 344).</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Постановою № 344 передбачено: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врегулювання питання завершення митного оформлення обсягів природного газу, ввезеного на митну територію України, щодо яких не оформлено актів приймання-передачі у зв’язку з тим, що частина товарів була переміщена на тимчасово окуповану територію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визначення способу реалізації прав органу доходів і зборів разом із відмовою у митному оформленні товарів за тимчасовою митною декларацією надавати розрахунок розміру фінансової гарантії, достатньої для сплати митних платежів;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можливість подання декларантом або уповноваженою ним особою додаткової декларації та оформлення її митним органом з метою сплати митних платежів у випадках, передбачених міжнародними договорами України, згода на обов’язковість яких надана Верховною Радою України.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Постанову № 344 опубліковано в офіційному виданні «Урядовий кур’єр» від 26.04.2019 № 81. </w:t>
      </w:r>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Втратив чинність наказ Державної податкової адміністрації України та Державного казначейства України від 03 лютого 2011 року № 68/23</w:t>
      </w:r>
    </w:p>
    <w:p w:rsidR="00C3535C" w:rsidRPr="00B912E5" w:rsidRDefault="009A50AA" w:rsidP="00B912E5">
      <w:pPr>
        <w:pStyle w:val="rvps6"/>
        <w:shd w:val="clear" w:color="auto" w:fill="FFFFFF"/>
        <w:tabs>
          <w:tab w:val="left" w:pos="9840"/>
        </w:tabs>
        <w:spacing w:before="0" w:beforeAutospacing="0" w:after="0" w:afterAutospacing="0"/>
        <w:ind w:right="23"/>
        <w:jc w:val="both"/>
        <w:rPr>
          <w:color w:val="000000"/>
          <w:sz w:val="20"/>
          <w:szCs w:val="20"/>
          <w:lang w:val="uk-UA"/>
        </w:rPr>
      </w:pPr>
      <w:r w:rsidRPr="00B912E5">
        <w:rPr>
          <w:sz w:val="20"/>
          <w:szCs w:val="20"/>
          <w:lang w:val="uk-UA"/>
        </w:rPr>
        <w:t>Доводимо</w:t>
      </w:r>
      <w:r w:rsidR="00C3535C" w:rsidRPr="00B912E5">
        <w:rPr>
          <w:sz w:val="20"/>
          <w:szCs w:val="20"/>
          <w:lang w:val="uk-UA"/>
        </w:rPr>
        <w:t xml:space="preserve"> до відома, що 19.04.2019 набрав чинності наказ Міністерства фінансів України від 04.03.2019 № 97 «</w:t>
      </w:r>
      <w:r w:rsidR="00C3535C" w:rsidRPr="00B912E5">
        <w:rPr>
          <w:rStyle w:val="rvts23"/>
          <w:bCs/>
          <w:color w:val="000000"/>
          <w:sz w:val="20"/>
          <w:szCs w:val="20"/>
          <w:lang w:val="uk-UA"/>
        </w:rPr>
        <w:t xml:space="preserve">Про визнання таким, що втратив чинність, наказу Державної податкової адміністрації України, Державного казначейства України від  03 лютого 2011 року № 68/23», зареєстрований у </w:t>
      </w:r>
      <w:r w:rsidR="00C3535C" w:rsidRPr="00B912E5">
        <w:rPr>
          <w:rStyle w:val="rvts9"/>
          <w:bCs/>
          <w:color w:val="000000"/>
          <w:sz w:val="20"/>
          <w:szCs w:val="20"/>
          <w:lang w:val="uk-UA"/>
        </w:rPr>
        <w:t>Міністерстві</w:t>
      </w:r>
      <w:r w:rsidR="00C3535C" w:rsidRPr="00B912E5">
        <w:rPr>
          <w:sz w:val="20"/>
          <w:szCs w:val="20"/>
          <w:lang w:val="uk-UA"/>
        </w:rPr>
        <w:t xml:space="preserve"> </w:t>
      </w:r>
      <w:r w:rsidR="00C3535C" w:rsidRPr="00B912E5">
        <w:rPr>
          <w:rStyle w:val="rvts9"/>
          <w:bCs/>
          <w:color w:val="000000"/>
          <w:sz w:val="20"/>
          <w:szCs w:val="20"/>
          <w:lang w:val="uk-UA"/>
        </w:rPr>
        <w:t>юстиції України</w:t>
      </w:r>
      <w:r w:rsidR="00C3535C" w:rsidRPr="00B912E5">
        <w:rPr>
          <w:sz w:val="20"/>
          <w:szCs w:val="20"/>
          <w:lang w:val="uk-UA"/>
        </w:rPr>
        <w:t xml:space="preserve"> </w:t>
      </w:r>
      <w:r w:rsidR="00C3535C" w:rsidRPr="00B912E5">
        <w:rPr>
          <w:rStyle w:val="rvts9"/>
          <w:bCs/>
          <w:color w:val="000000"/>
          <w:sz w:val="20"/>
          <w:szCs w:val="20"/>
          <w:lang w:val="uk-UA"/>
        </w:rPr>
        <w:t>22.03 2019 за № 289/33260 (далі – Наказ № 97).</w:t>
      </w:r>
    </w:p>
    <w:p w:rsidR="00C3535C" w:rsidRPr="00B912E5" w:rsidRDefault="00C3535C" w:rsidP="00B912E5">
      <w:pPr>
        <w:tabs>
          <w:tab w:val="left" w:pos="9840"/>
        </w:tabs>
        <w:spacing w:after="0" w:line="240" w:lineRule="auto"/>
        <w:ind w:right="23"/>
        <w:jc w:val="both"/>
        <w:rPr>
          <w:rFonts w:ascii="Times New Roman" w:hAnsi="Times New Roman" w:cs="Times New Roman"/>
          <w:sz w:val="20"/>
          <w:szCs w:val="20"/>
          <w:lang w:val="uk-UA"/>
        </w:rPr>
      </w:pPr>
      <w:bookmarkStart w:id="0" w:name="n5"/>
      <w:bookmarkEnd w:id="0"/>
      <w:r w:rsidRPr="00B912E5">
        <w:rPr>
          <w:rFonts w:ascii="Times New Roman" w:hAnsi="Times New Roman" w:cs="Times New Roman"/>
          <w:sz w:val="20"/>
          <w:szCs w:val="20"/>
          <w:lang w:val="uk-UA"/>
        </w:rPr>
        <w:t>Наказом № 97 скасовано наказ Державної податкової адміністрації України, Державного казначейства України від 03 лютого 2011 року № 68/23 «Про затвердження Порядку формування та надсилання узагальненої інформації про обсяги сум бюджетного відшкодування податку на додану вартість, визначені у висновках», зареєстрований у Міністерстві юстиції України 16.02.2011 за      № 199/18937.</w:t>
      </w:r>
    </w:p>
    <w:p w:rsidR="00C3535C" w:rsidRPr="00B912E5" w:rsidRDefault="00C3535C" w:rsidP="00B912E5">
      <w:pPr>
        <w:tabs>
          <w:tab w:val="left" w:pos="9840"/>
        </w:tabs>
        <w:spacing w:after="0" w:line="240" w:lineRule="auto"/>
        <w:ind w:right="23"/>
        <w:jc w:val="both"/>
        <w:rPr>
          <w:rFonts w:ascii="Times New Roman" w:hAnsi="Times New Roman" w:cs="Times New Roman"/>
          <w:sz w:val="20"/>
          <w:szCs w:val="20"/>
          <w:lang w:val="uk-UA"/>
        </w:rPr>
      </w:pPr>
      <w:bookmarkStart w:id="1" w:name="n7"/>
      <w:bookmarkEnd w:id="1"/>
      <w:r w:rsidRPr="00B912E5">
        <w:rPr>
          <w:rFonts w:ascii="Times New Roman" w:hAnsi="Times New Roman" w:cs="Times New Roman"/>
          <w:sz w:val="20"/>
          <w:szCs w:val="20"/>
          <w:lang w:val="uk-UA"/>
        </w:rPr>
        <w:t>Наказ № 97 опублікова</w:t>
      </w:r>
      <w:r w:rsidR="009A50AA" w:rsidRPr="00B912E5">
        <w:rPr>
          <w:rFonts w:ascii="Times New Roman" w:hAnsi="Times New Roman" w:cs="Times New Roman"/>
          <w:sz w:val="20"/>
          <w:szCs w:val="20"/>
          <w:lang w:val="uk-UA"/>
        </w:rPr>
        <w:t>н</w:t>
      </w:r>
      <w:r w:rsidRPr="00B912E5">
        <w:rPr>
          <w:rFonts w:ascii="Times New Roman" w:hAnsi="Times New Roman" w:cs="Times New Roman"/>
          <w:sz w:val="20"/>
          <w:szCs w:val="20"/>
          <w:lang w:val="uk-UA"/>
        </w:rPr>
        <w:t>о у бюлетені «Офіційний вісник України» 19.04.2019 № 30.</w:t>
      </w:r>
    </w:p>
    <w:p w:rsidR="00C3535C" w:rsidRPr="00B912E5" w:rsidRDefault="00C3535C" w:rsidP="00B912E5">
      <w:pPr>
        <w:spacing w:after="0" w:line="240" w:lineRule="auto"/>
        <w:jc w:val="both"/>
        <w:rPr>
          <w:rFonts w:ascii="Times New Roman" w:hAnsi="Times New Roman" w:cs="Times New Roman"/>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До уваги суб’єктів господарювання!</w:t>
      </w:r>
    </w:p>
    <w:p w:rsidR="00C3535C" w:rsidRPr="00B912E5" w:rsidRDefault="009A50AA"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w:t>
      </w:r>
      <w:r w:rsidR="00C3535C" w:rsidRPr="00B912E5">
        <w:rPr>
          <w:rFonts w:ascii="Times New Roman" w:hAnsi="Times New Roman" w:cs="Times New Roman"/>
          <w:sz w:val="20"/>
          <w:szCs w:val="20"/>
          <w:lang w:val="uk-UA"/>
        </w:rPr>
        <w:t xml:space="preserve">а офіційному </w:t>
      </w:r>
      <w:proofErr w:type="spellStart"/>
      <w:r w:rsidR="00C3535C" w:rsidRPr="00B912E5">
        <w:rPr>
          <w:rFonts w:ascii="Times New Roman" w:hAnsi="Times New Roman" w:cs="Times New Roman"/>
          <w:sz w:val="20"/>
          <w:szCs w:val="20"/>
          <w:lang w:val="uk-UA"/>
        </w:rPr>
        <w:t>веб-порталі</w:t>
      </w:r>
      <w:proofErr w:type="spellEnd"/>
      <w:r w:rsidR="00C3535C" w:rsidRPr="00B912E5">
        <w:rPr>
          <w:rFonts w:ascii="Times New Roman" w:hAnsi="Times New Roman" w:cs="Times New Roman"/>
          <w:sz w:val="20"/>
          <w:szCs w:val="20"/>
          <w:lang w:val="uk-UA"/>
        </w:rPr>
        <w:t xml:space="preserve"> ДФС України за посиланням </w:t>
      </w:r>
      <w:hyperlink r:id="rId8" w:history="1">
        <w:r w:rsidR="00C3535C" w:rsidRPr="00B912E5">
          <w:rPr>
            <w:rStyle w:val="a3"/>
            <w:rFonts w:ascii="Times New Roman" w:hAnsi="Times New Roman" w:cs="Times New Roman"/>
            <w:sz w:val="20"/>
            <w:szCs w:val="20"/>
            <w:u w:val="none"/>
            <w:lang w:val="uk-UA"/>
          </w:rPr>
          <w:t>http://sfs.gov.ua/dovidniki--</w:t>
        </w:r>
        <w:proofErr w:type="spellStart"/>
        <w:r w:rsidR="00C3535C" w:rsidRPr="00B912E5">
          <w:rPr>
            <w:rStyle w:val="a3"/>
            <w:rFonts w:ascii="Times New Roman" w:hAnsi="Times New Roman" w:cs="Times New Roman"/>
            <w:sz w:val="20"/>
            <w:szCs w:val="20"/>
            <w:u w:val="none"/>
            <w:lang w:val="uk-UA"/>
          </w:rPr>
          <w:t>reestri</w:t>
        </w:r>
        <w:proofErr w:type="spellEnd"/>
        <w:r w:rsidR="00C3535C" w:rsidRPr="00B912E5">
          <w:rPr>
            <w:rStyle w:val="a3"/>
            <w:rFonts w:ascii="Times New Roman" w:hAnsi="Times New Roman" w:cs="Times New Roman"/>
            <w:sz w:val="20"/>
            <w:szCs w:val="20"/>
            <w:u w:val="none"/>
            <w:lang w:val="uk-UA"/>
          </w:rPr>
          <w:t>--</w:t>
        </w:r>
        <w:proofErr w:type="spellStart"/>
        <w:r w:rsidR="00C3535C" w:rsidRPr="00B912E5">
          <w:rPr>
            <w:rStyle w:val="a3"/>
            <w:rFonts w:ascii="Times New Roman" w:hAnsi="Times New Roman" w:cs="Times New Roman"/>
            <w:sz w:val="20"/>
            <w:szCs w:val="20"/>
            <w:u w:val="none"/>
            <w:lang w:val="uk-UA"/>
          </w:rPr>
          <w:t>perelik</w:t>
        </w:r>
        <w:proofErr w:type="spellEnd"/>
        <w:r w:rsidR="00C3535C" w:rsidRPr="00B912E5">
          <w:rPr>
            <w:rStyle w:val="a3"/>
            <w:rFonts w:ascii="Times New Roman" w:hAnsi="Times New Roman" w:cs="Times New Roman"/>
            <w:sz w:val="20"/>
            <w:szCs w:val="20"/>
            <w:u w:val="none"/>
            <w:lang w:val="uk-UA"/>
          </w:rPr>
          <w:t>/</w:t>
        </w:r>
        <w:proofErr w:type="spellStart"/>
        <w:r w:rsidR="00C3535C" w:rsidRPr="00B912E5">
          <w:rPr>
            <w:rStyle w:val="a3"/>
            <w:rFonts w:ascii="Times New Roman" w:hAnsi="Times New Roman" w:cs="Times New Roman"/>
            <w:sz w:val="20"/>
            <w:szCs w:val="20"/>
            <w:u w:val="none"/>
            <w:lang w:val="uk-UA"/>
          </w:rPr>
          <w:t>reestri</w:t>
        </w:r>
        <w:proofErr w:type="spellEnd"/>
        <w:r w:rsidR="00C3535C" w:rsidRPr="00B912E5">
          <w:rPr>
            <w:rStyle w:val="a3"/>
            <w:rFonts w:ascii="Times New Roman" w:hAnsi="Times New Roman" w:cs="Times New Roman"/>
            <w:sz w:val="20"/>
            <w:szCs w:val="20"/>
            <w:u w:val="none"/>
            <w:lang w:val="uk-UA"/>
          </w:rPr>
          <w:t>/191577.html</w:t>
        </w:r>
      </w:hyperlink>
      <w:r w:rsidR="00C3535C" w:rsidRPr="00B912E5">
        <w:rPr>
          <w:rFonts w:ascii="Times New Roman" w:hAnsi="Times New Roman" w:cs="Times New Roman"/>
          <w:sz w:val="20"/>
          <w:szCs w:val="20"/>
          <w:lang w:val="uk-UA"/>
        </w:rPr>
        <w:t xml:space="preserve"> розміщено Єдиний державний реєстр обладнання для промислового виробництва сигарет та цигарок станом на 10.05.2019.</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hd w:val="clear" w:color="auto" w:fill="FFFFFF"/>
        <w:spacing w:after="0" w:line="240" w:lineRule="auto"/>
        <w:jc w:val="both"/>
        <w:outlineLvl w:val="0"/>
        <w:rPr>
          <w:rFonts w:ascii="Times New Roman" w:hAnsi="Times New Roman" w:cs="Times New Roman"/>
          <w:b/>
          <w:kern w:val="36"/>
          <w:sz w:val="20"/>
          <w:szCs w:val="20"/>
          <w:lang w:val="uk-UA" w:eastAsia="uk-UA"/>
        </w:rPr>
      </w:pPr>
      <w:r w:rsidRPr="00B912E5">
        <w:rPr>
          <w:rFonts w:ascii="Times New Roman" w:hAnsi="Times New Roman" w:cs="Times New Roman"/>
          <w:b/>
          <w:kern w:val="36"/>
          <w:sz w:val="20"/>
          <w:szCs w:val="20"/>
          <w:lang w:val="uk-UA" w:eastAsia="uk-UA"/>
        </w:rPr>
        <w:t xml:space="preserve">Виправлення помилок у звіті з єдиного внеску фізичними особами – підприємцями </w:t>
      </w:r>
    </w:p>
    <w:p w:rsidR="00C3535C" w:rsidRPr="00B912E5" w:rsidRDefault="009A50AA"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w:t>
      </w:r>
      <w:r w:rsidR="00C3535C" w:rsidRPr="00B912E5">
        <w:rPr>
          <w:rFonts w:ascii="Times New Roman" w:hAnsi="Times New Roman" w:cs="Times New Roman"/>
          <w:sz w:val="20"/>
          <w:szCs w:val="20"/>
          <w:lang w:val="uk-UA"/>
        </w:rPr>
        <w:t>овідомляє</w:t>
      </w:r>
      <w:r w:rsidRPr="00B912E5">
        <w:rPr>
          <w:rFonts w:ascii="Times New Roman" w:hAnsi="Times New Roman" w:cs="Times New Roman"/>
          <w:sz w:val="20"/>
          <w:szCs w:val="20"/>
          <w:lang w:val="uk-UA"/>
        </w:rPr>
        <w:t>мо</w:t>
      </w:r>
      <w:r w:rsidR="00C3535C" w:rsidRPr="00B912E5">
        <w:rPr>
          <w:rFonts w:ascii="Times New Roman" w:hAnsi="Times New Roman" w:cs="Times New Roman"/>
          <w:sz w:val="20"/>
          <w:szCs w:val="20"/>
          <w:lang w:val="uk-UA"/>
        </w:rPr>
        <w:t xml:space="preserve">, що усунення помилок, допущених, зокрема, фізичними особами – підприємцями (далі – </w:t>
      </w:r>
      <w:proofErr w:type="spellStart"/>
      <w:r w:rsidR="00C3535C" w:rsidRPr="00B912E5">
        <w:rPr>
          <w:rFonts w:ascii="Times New Roman" w:hAnsi="Times New Roman" w:cs="Times New Roman"/>
          <w:sz w:val="20"/>
          <w:szCs w:val="20"/>
          <w:lang w:val="uk-UA"/>
        </w:rPr>
        <w:t>ФОП</w:t>
      </w:r>
      <w:proofErr w:type="spellEnd"/>
      <w:r w:rsidR="00C3535C" w:rsidRPr="00B912E5">
        <w:rPr>
          <w:rFonts w:ascii="Times New Roman" w:hAnsi="Times New Roman" w:cs="Times New Roman"/>
          <w:sz w:val="20"/>
          <w:szCs w:val="20"/>
          <w:lang w:val="uk-UA"/>
        </w:rPr>
        <w:t xml:space="preserve">) у Звіті про суми нарахованого доходу застрахованих осіб та суми нарахованого єдиного внеску (далі – Звіт) здійснюється з урахуванням вимог наказу Міністерства фінансів України від 14.04.2015 № 435 (зареєстровано у Міністерстві юстиції України 23.04.2015 за № 460/26905) із змінами, яким затверджено Порядок формування та подання страхувальниками звіту щодо сум нарахованого єдиного внеску на загальнообов’язкове державне соціальне страхування (далі – Порядок № 435) </w:t>
      </w:r>
    </w:p>
    <w:p w:rsidR="00C3535C" w:rsidRPr="00B912E5" w:rsidRDefault="00C3535C" w:rsidP="00B912E5">
      <w:pPr>
        <w:shd w:val="clear" w:color="auto" w:fill="FFFFFF"/>
        <w:spacing w:after="0" w:line="240" w:lineRule="auto"/>
        <w:jc w:val="both"/>
        <w:outlineLvl w:val="0"/>
        <w:rPr>
          <w:rFonts w:ascii="Times New Roman" w:hAnsi="Times New Roman" w:cs="Times New Roman"/>
          <w:sz w:val="20"/>
          <w:szCs w:val="20"/>
          <w:lang w:val="uk-UA"/>
        </w:rPr>
      </w:pPr>
      <w:r w:rsidRPr="00B912E5">
        <w:rPr>
          <w:rFonts w:ascii="Times New Roman" w:hAnsi="Times New Roman" w:cs="Times New Roman"/>
          <w:kern w:val="36"/>
          <w:sz w:val="20"/>
          <w:szCs w:val="20"/>
          <w:lang w:val="uk-UA" w:eastAsia="uk-UA"/>
        </w:rPr>
        <w:t>Так, відповідно до розділу V «</w:t>
      </w:r>
      <w:r w:rsidRPr="00B912E5">
        <w:rPr>
          <w:rFonts w:ascii="Times New Roman" w:hAnsi="Times New Roman" w:cs="Times New Roman"/>
          <w:sz w:val="20"/>
          <w:szCs w:val="20"/>
          <w:lang w:val="uk-UA"/>
        </w:rPr>
        <w:t>Виправлення помилок</w:t>
      </w:r>
      <w:r w:rsidRPr="00B912E5">
        <w:rPr>
          <w:rFonts w:ascii="Times New Roman" w:hAnsi="Times New Roman" w:cs="Times New Roman"/>
          <w:kern w:val="36"/>
          <w:sz w:val="20"/>
          <w:szCs w:val="20"/>
          <w:lang w:val="uk-UA" w:eastAsia="uk-UA"/>
        </w:rPr>
        <w:t>» Порядку № 435 у</w:t>
      </w:r>
      <w:r w:rsidRPr="00B912E5">
        <w:rPr>
          <w:rFonts w:ascii="Times New Roman" w:hAnsi="Times New Roman" w:cs="Times New Roman"/>
          <w:sz w:val="20"/>
          <w:szCs w:val="20"/>
          <w:lang w:val="uk-UA"/>
        </w:rPr>
        <w:t xml:space="preserve"> разі виявлення помилки у Звіті до закінчення строку подання Звіту  </w:t>
      </w:r>
      <w:proofErr w:type="spellStart"/>
      <w:r w:rsidRPr="00B912E5">
        <w:rPr>
          <w:rFonts w:ascii="Times New Roman" w:hAnsi="Times New Roman" w:cs="Times New Roman"/>
          <w:sz w:val="20"/>
          <w:szCs w:val="20"/>
          <w:lang w:val="uk-UA"/>
        </w:rPr>
        <w:t>ФОП</w:t>
      </w:r>
      <w:proofErr w:type="spellEnd"/>
      <w:r w:rsidRPr="00B912E5">
        <w:rPr>
          <w:rFonts w:ascii="Times New Roman" w:hAnsi="Times New Roman" w:cs="Times New Roman"/>
          <w:sz w:val="20"/>
          <w:szCs w:val="20"/>
          <w:lang w:val="uk-UA"/>
        </w:rPr>
        <w:t xml:space="preserve"> – страхувальник повторно формує та подає Звіт у повному обсязі до органу доходів і зборів за основним місцем обліку за формою згідно з додатком 5 до Порядку № 435.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Чинним вважається останній електронний або паперовий Звіт, поданий таким страхувальником до закінчення строків подання звітності, визначених Порядком № 435, який пройшов всі контролі при завантаженні до Реєстру страхувальників та до Реєстру застрахованих осіб.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Якщо страхувальником до закінчення строку подання Звіту подаються за поточний звітний період лише окремі таблиці Звіту із зазначенням типу форми «</w:t>
      </w:r>
      <w:proofErr w:type="spellStart"/>
      <w:r w:rsidRPr="00B912E5">
        <w:rPr>
          <w:rFonts w:ascii="Times New Roman" w:hAnsi="Times New Roman" w:cs="Times New Roman"/>
          <w:sz w:val="20"/>
          <w:szCs w:val="20"/>
          <w:lang w:val="uk-UA"/>
        </w:rPr>
        <w:t>скасовуюча</w:t>
      </w:r>
      <w:proofErr w:type="spellEnd"/>
      <w:r w:rsidRPr="00B912E5">
        <w:rPr>
          <w:rFonts w:ascii="Times New Roman" w:hAnsi="Times New Roman" w:cs="Times New Roman"/>
          <w:sz w:val="20"/>
          <w:szCs w:val="20"/>
          <w:lang w:val="uk-UA"/>
        </w:rPr>
        <w:t xml:space="preserve">», «додаткова», цей Звіт не вважається Звітом і вважається таким, що не подавався. </w:t>
      </w:r>
    </w:p>
    <w:p w:rsidR="00C3535C" w:rsidRPr="00B912E5" w:rsidRDefault="00C3535C" w:rsidP="00B912E5">
      <w:pPr>
        <w:shd w:val="clear" w:color="auto" w:fill="FFFFFF"/>
        <w:spacing w:after="0" w:line="240" w:lineRule="auto"/>
        <w:jc w:val="both"/>
        <w:outlineLvl w:val="0"/>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Слід зазначити, що Звіти мають бути подані за формою, що діє з </w:t>
      </w:r>
      <w:r w:rsidRPr="00B912E5">
        <w:rPr>
          <w:rFonts w:ascii="Times New Roman" w:hAnsi="Times New Roman" w:cs="Times New Roman"/>
          <w:b/>
          <w:sz w:val="20"/>
          <w:szCs w:val="20"/>
          <w:lang w:val="uk-UA"/>
        </w:rPr>
        <w:t>01.08.2018</w:t>
      </w:r>
      <w:r w:rsidRPr="00B912E5">
        <w:rPr>
          <w:rFonts w:ascii="Times New Roman" w:hAnsi="Times New Roman" w:cs="Times New Roman"/>
          <w:sz w:val="20"/>
          <w:szCs w:val="20"/>
          <w:lang w:val="uk-UA"/>
        </w:rPr>
        <w:t>.</w:t>
      </w:r>
    </w:p>
    <w:p w:rsidR="00C3535C" w:rsidRPr="00B912E5" w:rsidRDefault="00C3535C" w:rsidP="00B912E5">
      <w:pPr>
        <w:shd w:val="clear" w:color="auto" w:fill="FFFFFF"/>
        <w:spacing w:after="0" w:line="240" w:lineRule="auto"/>
        <w:jc w:val="both"/>
        <w:outlineLvl w:val="0"/>
        <w:rPr>
          <w:rFonts w:ascii="Times New Roman" w:hAnsi="Times New Roman" w:cs="Times New Roman"/>
          <w:sz w:val="20"/>
          <w:szCs w:val="20"/>
          <w:lang w:val="uk-UA"/>
        </w:rPr>
      </w:pPr>
      <w:r w:rsidRPr="00B912E5">
        <w:rPr>
          <w:rFonts w:ascii="Times New Roman" w:hAnsi="Times New Roman" w:cs="Times New Roman"/>
          <w:sz w:val="20"/>
          <w:szCs w:val="20"/>
          <w:lang w:val="uk-UA"/>
        </w:rPr>
        <w:t>Звертаємо увагу, що за неподання, подання не за встановленою формою звітності з єдиного внеску на загальнообов’язкове державне соціальне страхування, подання недостовірних відомостей, що використовуються в Державному реєстрі загальнообов’язкового державного соціального страхування, інших відомостей, передбачених Законом України від 0</w:t>
      </w:r>
      <w:r w:rsidRPr="00B912E5">
        <w:rPr>
          <w:rFonts w:ascii="Times New Roman" w:hAnsi="Times New Roman" w:cs="Times New Roman"/>
          <w:bCs/>
          <w:sz w:val="20"/>
          <w:szCs w:val="20"/>
          <w:lang w:val="uk-UA"/>
        </w:rPr>
        <w:t>8 липня 2010 року                       № 2464-VI</w:t>
      </w:r>
      <w:r w:rsidRPr="00B912E5">
        <w:rPr>
          <w:rFonts w:ascii="Times New Roman" w:hAnsi="Times New Roman" w:cs="Times New Roman"/>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 страхувальники несуть фінансову та адміністративну відповідальність відповідно до ст. 25 Закону № 2464 та ст. 165¹ Кодексу України про адміністративні правопорушення від 07 грудня 1984 року № 8073-Х із змінами та доповненнями.</w:t>
      </w:r>
    </w:p>
    <w:p w:rsidR="0010513D" w:rsidRDefault="0010513D" w:rsidP="00B912E5">
      <w:pPr>
        <w:spacing w:after="0" w:line="240" w:lineRule="auto"/>
        <w:jc w:val="both"/>
        <w:rPr>
          <w:rFonts w:ascii="Times New Roman" w:hAnsi="Times New Roman" w:cs="Times New Roman"/>
          <w:b/>
          <w:sz w:val="20"/>
          <w:szCs w:val="20"/>
          <w:lang w:val="uk-UA"/>
        </w:rPr>
      </w:pPr>
    </w:p>
    <w:p w:rsidR="00C3535C" w:rsidRPr="00B912E5" w:rsidRDefault="00C3535C" w:rsidP="00B912E5">
      <w:pPr>
        <w:spacing w:after="0" w:line="240" w:lineRule="auto"/>
        <w:jc w:val="both"/>
        <w:rPr>
          <w:rFonts w:ascii="Times New Roman" w:hAnsi="Times New Roman" w:cs="Times New Roman"/>
          <w:b/>
          <w:sz w:val="20"/>
          <w:szCs w:val="20"/>
          <w:lang w:val="uk-UA"/>
        </w:rPr>
      </w:pPr>
      <w:proofErr w:type="spellStart"/>
      <w:r w:rsidRPr="00B912E5">
        <w:rPr>
          <w:rFonts w:ascii="Times New Roman" w:hAnsi="Times New Roman" w:cs="Times New Roman"/>
          <w:b/>
          <w:sz w:val="20"/>
          <w:szCs w:val="20"/>
          <w:lang w:val="uk-UA"/>
        </w:rPr>
        <w:t>Автозаповнення</w:t>
      </w:r>
      <w:proofErr w:type="spellEnd"/>
      <w:r w:rsidRPr="00B912E5">
        <w:rPr>
          <w:rFonts w:ascii="Times New Roman" w:hAnsi="Times New Roman" w:cs="Times New Roman"/>
          <w:b/>
          <w:sz w:val="20"/>
          <w:szCs w:val="20"/>
          <w:lang w:val="uk-UA"/>
        </w:rPr>
        <w:t xml:space="preserve"> платіжних доручень для сплати податків фізичними особами доступно в «Електронному кабінеті»</w:t>
      </w:r>
    </w:p>
    <w:p w:rsidR="00C3535C" w:rsidRPr="00B912E5" w:rsidRDefault="009A50AA"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w:t>
      </w:r>
      <w:r w:rsidR="00C3535C" w:rsidRPr="00B912E5">
        <w:rPr>
          <w:rFonts w:ascii="Times New Roman" w:hAnsi="Times New Roman" w:cs="Times New Roman"/>
          <w:sz w:val="20"/>
          <w:szCs w:val="20"/>
          <w:lang w:val="uk-UA"/>
        </w:rPr>
        <w:t>вертає</w:t>
      </w:r>
      <w:r w:rsidRPr="00B912E5">
        <w:rPr>
          <w:rFonts w:ascii="Times New Roman" w:hAnsi="Times New Roman" w:cs="Times New Roman"/>
          <w:sz w:val="20"/>
          <w:szCs w:val="20"/>
          <w:lang w:val="uk-UA"/>
        </w:rPr>
        <w:t>мо</w:t>
      </w:r>
      <w:r w:rsidR="00C3535C" w:rsidRPr="00B912E5">
        <w:rPr>
          <w:rFonts w:ascii="Times New Roman" w:hAnsi="Times New Roman" w:cs="Times New Roman"/>
          <w:sz w:val="20"/>
          <w:szCs w:val="20"/>
          <w:lang w:val="uk-UA"/>
        </w:rPr>
        <w:t xml:space="preserve"> увагу, що в «Електронному кабінеті» для фізичних осіб реалізовано автоматичне заповнення основних реквізитів платіжного доручення на підставі облікових даних платника, відомостей щодо рахунків для зарахування платежів до бюджетів.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Цей сервіс надає можливість платникам податків (фізичним особам):</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скоротити час при заповненні платіжних документів;</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lastRenderedPageBreak/>
        <w:t>● мінімізувати помилки при заповненні;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сплатити податки.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Для користування електронним сервісом необхідно в меню «</w:t>
      </w:r>
      <w:r w:rsidRPr="00B912E5">
        <w:rPr>
          <w:rFonts w:ascii="Times New Roman" w:hAnsi="Times New Roman" w:cs="Times New Roman"/>
          <w:i/>
          <w:sz w:val="20"/>
          <w:szCs w:val="20"/>
          <w:lang w:val="uk-UA"/>
        </w:rPr>
        <w:t>Стан розрахунків з бюджетом»</w:t>
      </w:r>
      <w:r w:rsidRPr="00B912E5">
        <w:rPr>
          <w:rFonts w:ascii="Times New Roman" w:hAnsi="Times New Roman" w:cs="Times New Roman"/>
          <w:sz w:val="20"/>
          <w:szCs w:val="20"/>
          <w:lang w:val="uk-UA"/>
        </w:rPr>
        <w:t xml:space="preserve"> приватної частини «Електронного кабінету» обрати один з податків (платежів) та вибрати одну із платіжних систем.</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Після переходу на сайт платіжної системи платнику достатньо вказати суму платежу та підтвердити операцію.</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Звертаємо увагу, що оплата рахунків платником здійснюється з використанням платіжної карти клієнта банку, інші реквізити заповнюються автоматично.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Додатково повідомляємо, що у разі виникнення питань щодо користування «Електронним кабінетом», платники податків мають можливість звернутися до ДФС за телефоном: </w:t>
      </w:r>
      <w:r w:rsidRPr="00B912E5">
        <w:rPr>
          <w:rFonts w:ascii="Times New Roman" w:hAnsi="Times New Roman" w:cs="Times New Roman"/>
          <w:b/>
          <w:sz w:val="20"/>
          <w:szCs w:val="20"/>
          <w:lang w:val="uk-UA"/>
        </w:rPr>
        <w:t>0 800 501 007</w:t>
      </w:r>
      <w:r w:rsidRPr="00B912E5">
        <w:rPr>
          <w:rFonts w:ascii="Times New Roman" w:hAnsi="Times New Roman" w:cs="Times New Roman"/>
          <w:sz w:val="20"/>
          <w:szCs w:val="20"/>
          <w:lang w:val="uk-UA"/>
        </w:rPr>
        <w:t>.</w:t>
      </w:r>
    </w:p>
    <w:p w:rsidR="00C3535C" w:rsidRPr="00B912E5" w:rsidRDefault="00C3535C" w:rsidP="00B912E5">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C3535C" w:rsidRPr="00B912E5" w:rsidRDefault="00C3535C" w:rsidP="00B912E5">
      <w:pPr>
        <w:spacing w:after="0" w:line="240" w:lineRule="auto"/>
        <w:jc w:val="both"/>
        <w:rPr>
          <w:rFonts w:ascii="Times New Roman" w:hAnsi="Times New Roman" w:cs="Times New Roman"/>
          <w:b/>
          <w:sz w:val="20"/>
          <w:szCs w:val="20"/>
          <w:lang w:val="uk-UA"/>
        </w:rPr>
      </w:pPr>
      <w:r w:rsidRPr="00B912E5">
        <w:rPr>
          <w:rFonts w:ascii="Times New Roman" w:hAnsi="Times New Roman" w:cs="Times New Roman"/>
          <w:b/>
          <w:sz w:val="20"/>
          <w:szCs w:val="20"/>
          <w:lang w:val="uk-UA"/>
        </w:rPr>
        <w:t>У 2019 році змінився порядок справляння туристичного збору</w:t>
      </w:r>
    </w:p>
    <w:p w:rsidR="00C3535C" w:rsidRPr="00B912E5" w:rsidRDefault="009A50AA"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Н</w:t>
      </w:r>
      <w:r w:rsidR="00C3535C" w:rsidRPr="00B912E5">
        <w:rPr>
          <w:rFonts w:ascii="Times New Roman" w:hAnsi="Times New Roman" w:cs="Times New Roman"/>
          <w:sz w:val="20"/>
          <w:szCs w:val="20"/>
          <w:lang w:val="uk-UA"/>
        </w:rPr>
        <w:t>агадує</w:t>
      </w:r>
      <w:r w:rsidRPr="00B912E5">
        <w:rPr>
          <w:rFonts w:ascii="Times New Roman" w:hAnsi="Times New Roman" w:cs="Times New Roman"/>
          <w:sz w:val="20"/>
          <w:szCs w:val="20"/>
          <w:lang w:val="uk-UA"/>
        </w:rPr>
        <w:t>мо</w:t>
      </w:r>
      <w:r w:rsidR="00C3535C" w:rsidRPr="00B912E5">
        <w:rPr>
          <w:rFonts w:ascii="Times New Roman" w:hAnsi="Times New Roman" w:cs="Times New Roman"/>
          <w:sz w:val="20"/>
          <w:szCs w:val="20"/>
          <w:lang w:val="uk-UA"/>
        </w:rPr>
        <w:t>, що з початку 2019 року набули чинності зміни щодо розміру ставки, бази справляння та порядку сплати туристичного збору.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Відповідні зміни </w:t>
      </w:r>
      <w:proofErr w:type="spellStart"/>
      <w:r w:rsidRPr="00B912E5">
        <w:rPr>
          <w:rFonts w:ascii="Times New Roman" w:hAnsi="Times New Roman" w:cs="Times New Roman"/>
          <w:sz w:val="20"/>
          <w:szCs w:val="20"/>
          <w:lang w:val="uk-UA"/>
        </w:rPr>
        <w:t>внесні</w:t>
      </w:r>
      <w:proofErr w:type="spellEnd"/>
      <w:r w:rsidRPr="00B912E5">
        <w:rPr>
          <w:rFonts w:ascii="Times New Roman" w:hAnsi="Times New Roman" w:cs="Times New Roman"/>
          <w:sz w:val="20"/>
          <w:szCs w:val="20"/>
          <w:lang w:val="uk-UA"/>
        </w:rPr>
        <w:t xml:space="preserve">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до ст. 268 Податкового кодексу України (далі – ПКУ).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Туристичний збір (далі – збір) є місцевим збором, основні елементи якого визначаються відповідними сільськими, селищними, міськими радами та радами об’єднаних територіальних громад, що створені згідно із законом та перспективним планом формування територій громад (далі – ради). Таким чином ради, у межах наданих їм ПКУ повноважень, можуть контролювати стан розвитку туристичної галузі на підвідомчих територіях шляхом встановлення економічно доцільних ставок збору. Ради також визначають й перелік податкових агентів цього збору.</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З 1 січня 2019 року ставка туристичного збору встановлюється за рішенням відповідної ради за кожну добу тимчасового розміщення у місцях проживання (ночівлі) у розмірі: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 до 0,5 % мінімальної заробітної плати – для внутрішнього туризму </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до 5 % мінімальної заробітної плати – для в’їзного.</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Платниками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ради про встановлення туристичного збору, та тимчасово розміщуються у місцях проживання (ночівлі).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Згідно з рішенням рад, справляння збору може здійснюватися з тимчасового розміщення у таких місцях проживання (ночівлі):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 готелі, кемпінги, мотелі, гуртожитки для приїжджих, </w:t>
      </w:r>
      <w:proofErr w:type="spellStart"/>
      <w:r w:rsidRPr="00B912E5">
        <w:rPr>
          <w:rFonts w:ascii="Times New Roman" w:hAnsi="Times New Roman" w:cs="Times New Roman"/>
          <w:sz w:val="20"/>
          <w:szCs w:val="20"/>
          <w:lang w:val="uk-UA"/>
        </w:rPr>
        <w:t>хостели</w:t>
      </w:r>
      <w:proofErr w:type="spellEnd"/>
      <w:r w:rsidRPr="00B912E5">
        <w:rPr>
          <w:rFonts w:ascii="Times New Roman" w:hAnsi="Times New Roman" w:cs="Times New Roman"/>
          <w:sz w:val="20"/>
          <w:szCs w:val="20"/>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Базою справляння збору є загальна кількість діб тимчасового розміщення у місцях проживання (ночівлі).</w:t>
      </w:r>
    </w:p>
    <w:p w:rsidR="00C3535C" w:rsidRPr="00B912E5" w:rsidRDefault="00C3535C" w:rsidP="00B912E5">
      <w:pPr>
        <w:spacing w:after="0" w:line="240" w:lineRule="auto"/>
        <w:jc w:val="both"/>
        <w:rPr>
          <w:rFonts w:ascii="Times New Roman" w:hAnsi="Times New Roman" w:cs="Times New Roman"/>
          <w:sz w:val="20"/>
          <w:szCs w:val="20"/>
          <w:lang w:val="uk-UA"/>
        </w:rPr>
      </w:pPr>
      <w:r w:rsidRPr="00B912E5">
        <w:rPr>
          <w:rFonts w:ascii="Times New Roman" w:hAnsi="Times New Roman" w:cs="Times New Roman"/>
          <w:sz w:val="20"/>
          <w:szCs w:val="20"/>
          <w:lang w:val="uk-UA"/>
        </w:rPr>
        <w:t xml:space="preserve">Справляння збору здійснюється податковими агентами, перелік та інформація про яких оприлюднюється на офіційному </w:t>
      </w:r>
      <w:proofErr w:type="spellStart"/>
      <w:r w:rsidRPr="00B912E5">
        <w:rPr>
          <w:rFonts w:ascii="Times New Roman" w:hAnsi="Times New Roman" w:cs="Times New Roman"/>
          <w:sz w:val="20"/>
          <w:szCs w:val="20"/>
          <w:lang w:val="uk-UA"/>
        </w:rPr>
        <w:t>веб-сайті</w:t>
      </w:r>
      <w:proofErr w:type="spellEnd"/>
      <w:r w:rsidRPr="00B912E5">
        <w:rPr>
          <w:rFonts w:ascii="Times New Roman" w:hAnsi="Times New Roman" w:cs="Times New Roman"/>
          <w:sz w:val="20"/>
          <w:szCs w:val="20"/>
          <w:lang w:val="uk-UA"/>
        </w:rPr>
        <w:t xml:space="preserve"> відповідної ради.</w:t>
      </w:r>
    </w:p>
    <w:p w:rsidR="00C3535C" w:rsidRPr="00B912E5" w:rsidRDefault="00C3535C" w:rsidP="00B912E5">
      <w:pPr>
        <w:spacing w:after="0" w:line="240" w:lineRule="auto"/>
        <w:jc w:val="both"/>
        <w:rPr>
          <w:rFonts w:ascii="Times New Roman" w:hAnsi="Times New Roman" w:cs="Times New Roman"/>
          <w:sz w:val="20"/>
          <w:szCs w:val="20"/>
          <w:lang w:val="uk-UA"/>
        </w:rPr>
      </w:pPr>
    </w:p>
    <w:p w:rsidR="00B912E5" w:rsidRPr="00B912E5" w:rsidRDefault="00B912E5" w:rsidP="00B912E5">
      <w:pPr>
        <w:pStyle w:val="1"/>
        <w:spacing w:before="0" w:beforeAutospacing="0" w:after="0" w:afterAutospacing="0"/>
        <w:rPr>
          <w:sz w:val="20"/>
          <w:szCs w:val="20"/>
          <w:lang w:val="uk-UA"/>
        </w:rPr>
      </w:pPr>
      <w:r w:rsidRPr="00B912E5">
        <w:rPr>
          <w:sz w:val="20"/>
          <w:szCs w:val="20"/>
          <w:lang w:val="uk-UA"/>
        </w:rPr>
        <w:t xml:space="preserve">Помилково сплачені суми ЄСВ повертається у визначеному законодавством порядку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Через зміну рахунків зі сплати єдиного внеску на загальнообов’язкове державне соціальне страхування до ДФС надходять звернення від платників щодо можливості повернення коштів, які були помилково сплачені на старі рахунки. У зв’язку з цим надаємо роз’яснення, як мають діяти платники у разі виникнення такої ситуації.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У разі помилкової сплати сум ЄСВ на невідповідний рахунок платники мають змогу повернути кошти. Повернення помилково сплачених коштів здійснюється відповідно до </w:t>
      </w:r>
      <w:hyperlink r:id="rId9" w:history="1">
        <w:r w:rsidRPr="00B912E5">
          <w:rPr>
            <w:rStyle w:val="a3"/>
            <w:sz w:val="20"/>
            <w:szCs w:val="20"/>
            <w:lang w:val="uk-UA"/>
          </w:rPr>
          <w:t>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w:t>
        </w:r>
      </w:hyperlink>
      <w:r w:rsidRPr="00B912E5">
        <w:rPr>
          <w:sz w:val="20"/>
          <w:szCs w:val="20"/>
          <w:u w:val="single"/>
          <w:lang w:val="uk-UA"/>
        </w:rPr>
        <w:t>,</w:t>
      </w:r>
      <w:r w:rsidRPr="00B912E5">
        <w:rPr>
          <w:sz w:val="20"/>
          <w:szCs w:val="20"/>
          <w:lang w:val="uk-UA"/>
        </w:rPr>
        <w:t xml:space="preserve"> затвердженого наказом Міністерства фінансів України від 16.01.2016 № 6. Кошти повертаються у порядку календарної черговості та на підставі заяви платника про таке повернення.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У випадку надмірної сплати сум єдиного внеску на рахунок 3719 органом доходів і зборів здійснюється зарахування цих коштів у рахунок майбутніх платежів за тим самим рахунком, відповідно до встановленого розміру єдиного внеску та у порядку календарної черговості виникнення зобов'язань платника з цього платежу.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Повернення коштів (відповідно до п.5 Порядку) здійснюється у випадках: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1) надмірної або помилкової сплати сум єдиного внеску та/або застосованих фінансових санкцій на відповідний рахунок 3719;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2) помилкової сплати сум єдиного внеску та/або застосованих фінансових санкцій на невідповідний рахунок 3719;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3) помилкової сплати сум єдиного внеску та/або застосованих фінансових санкцій на рахунок з обліку доходів бюджету;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4) помилкової сплати податкових зобов’язань з податків, зборів, штрафних (фінансових) санкцій та пені, передбачених Податковим кодексом України, на рахунок 3719.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Повернення коштів здійснюється на підставі заяви платника про таке повернення коштів.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У випадках, передбачених підпунктами 1, 2 та 4 пункту 5 цього Порядку, заява подається до органу доходів і зборів, на рахунок якого сплачено кошти, за формою, визначеною у додатку 1 до цього Порядку.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У випадку, передбаченому підпунктом 3 пункту 5 цього Порядку, заява подається до органу доходів і зборів за місцем обліку помилково сплачених коштів у довільній формі із зазначенням суми та напрямку повернення.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Також звертаємо увагу, що повернення помилково сплачених сум у випадках, передбачених підпунктами 3 та 4 цього Порядку, здійснюється з урахуванням положень статті 43 Податкового кодексу України та пункту 12 статті 9 Закону України «Про збір та облік єдиного внеску на загальнообов’язкове державне соціальне страхування». </w:t>
      </w:r>
    </w:p>
    <w:p w:rsidR="00B912E5" w:rsidRPr="00B912E5" w:rsidRDefault="00B912E5" w:rsidP="00B912E5">
      <w:pPr>
        <w:pStyle w:val="11"/>
        <w:spacing w:before="0" w:beforeAutospacing="0" w:after="0" w:afterAutospacing="0"/>
        <w:jc w:val="both"/>
        <w:rPr>
          <w:sz w:val="20"/>
          <w:szCs w:val="20"/>
          <w:lang w:val="uk-UA"/>
        </w:rPr>
      </w:pPr>
      <w:r w:rsidRPr="00B912E5">
        <w:rPr>
          <w:sz w:val="20"/>
          <w:szCs w:val="20"/>
          <w:lang w:val="uk-UA"/>
        </w:rPr>
        <w:t xml:space="preserve">Загалом, станом на 14.05.2019 в центральному апараті ДФС  знаходиться 1,6 тис. звернень Головних управлінь ДФС у областях  на загальну суму 7 </w:t>
      </w:r>
      <w:proofErr w:type="spellStart"/>
      <w:r w:rsidRPr="00B912E5">
        <w:rPr>
          <w:sz w:val="20"/>
          <w:szCs w:val="20"/>
          <w:lang w:val="uk-UA"/>
        </w:rPr>
        <w:t>млн</w:t>
      </w:r>
      <w:proofErr w:type="spellEnd"/>
      <w:r w:rsidRPr="00B912E5">
        <w:rPr>
          <w:sz w:val="20"/>
          <w:szCs w:val="20"/>
          <w:lang w:val="uk-UA"/>
        </w:rPr>
        <w:t xml:space="preserve"> </w:t>
      </w:r>
      <w:proofErr w:type="spellStart"/>
      <w:r w:rsidRPr="00B912E5">
        <w:rPr>
          <w:sz w:val="20"/>
          <w:szCs w:val="20"/>
          <w:lang w:val="uk-UA"/>
        </w:rPr>
        <w:t>грн</w:t>
      </w:r>
      <w:proofErr w:type="spellEnd"/>
      <w:r w:rsidRPr="00B912E5">
        <w:rPr>
          <w:sz w:val="20"/>
          <w:szCs w:val="20"/>
          <w:lang w:val="uk-UA"/>
        </w:rPr>
        <w:t xml:space="preserve"> (що можуть містити в собі декілька звернень платників єдиного внеску на загальнообов’язкове державне соціальне страхування) щодо підкріплення </w:t>
      </w:r>
      <w:proofErr w:type="spellStart"/>
      <w:r w:rsidRPr="00B912E5">
        <w:rPr>
          <w:sz w:val="20"/>
          <w:szCs w:val="20"/>
          <w:lang w:val="uk-UA"/>
        </w:rPr>
        <w:t>небюджетних</w:t>
      </w:r>
      <w:proofErr w:type="spellEnd"/>
      <w:r w:rsidRPr="00B912E5">
        <w:rPr>
          <w:sz w:val="20"/>
          <w:szCs w:val="20"/>
          <w:lang w:val="uk-UA"/>
        </w:rPr>
        <w:t xml:space="preserve"> рахунків за балансовим </w:t>
      </w:r>
      <w:r w:rsidRPr="00B912E5">
        <w:rPr>
          <w:sz w:val="20"/>
          <w:szCs w:val="20"/>
          <w:lang w:val="uk-UA"/>
        </w:rPr>
        <w:lastRenderedPageBreak/>
        <w:t xml:space="preserve">рахунком 3719 «Рахунок для зарахування коштів, які підлягають розподілу за видами загальнообов'язкового державного соціального страхування» з метою подальшого повернення помилково сплачених коштів платникам. </w:t>
      </w:r>
    </w:p>
    <w:p w:rsidR="00B912E5" w:rsidRPr="00B912E5" w:rsidRDefault="00B912E5" w:rsidP="00B912E5">
      <w:pPr>
        <w:pStyle w:val="11"/>
        <w:spacing w:before="0" w:beforeAutospacing="0" w:after="0" w:afterAutospacing="0"/>
        <w:jc w:val="both"/>
        <w:rPr>
          <w:sz w:val="20"/>
          <w:szCs w:val="20"/>
          <w:lang w:val="uk-UA"/>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t xml:space="preserve">В Одеській області викрито схему ухилення від сплати податків при торгівлі імпортованими товарами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Співробітники податкової міліції ГУ ДФС у Одеській області під процесуальним керівництвом прокуратури Одеської області викрили схему ухилення від сплати податків та вилучили в її організаторів велику партію товарів народного споживання.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У рамках проведення операцій «Рубіж» та розслідування кримінального провадження за ч.3 ст.212 КК України було встановлено одеське підприємство, основний вид діяльності якого – оптова торгівля фарфором, скляним посудом і засобами для чищення. При цьому посадові особи зазначеного підприємства організували схему мінімізації митних платежів з використанням підконтрольних підприємств для значного заниження вартості ТМЦ та завищення валових видатків підприємств з метою реалізації не облікованої імпортної продукції за готівкові кошти. Внаслідок цього підприємство ухилилося від сплати податків в особливо великих розмірах.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 результатами санкціонованих обшуків з незаконного обігу вилучено товари народного споживання загальною орієнтовною вартістю майже 31,8 </w:t>
      </w:r>
      <w:proofErr w:type="spellStart"/>
      <w:r w:rsidRPr="00B912E5">
        <w:rPr>
          <w:rFonts w:ascii="Times New Roman" w:eastAsia="Times New Roman" w:hAnsi="Times New Roman" w:cs="Times New Roman"/>
          <w:sz w:val="20"/>
          <w:szCs w:val="20"/>
          <w:lang w:val="uk-UA" w:eastAsia="ru-RU"/>
        </w:rPr>
        <w:t>млн</w:t>
      </w:r>
      <w:proofErr w:type="spellEnd"/>
      <w:r w:rsidRPr="00B912E5">
        <w:rPr>
          <w:rFonts w:ascii="Times New Roman" w:eastAsia="Times New Roman" w:hAnsi="Times New Roman" w:cs="Times New Roman"/>
          <w:sz w:val="20"/>
          <w:szCs w:val="20"/>
          <w:lang w:val="uk-UA" w:eastAsia="ru-RU"/>
        </w:rPr>
        <w:t xml:space="preserve"> гривень.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 рішенням суду на вилучені ТМЦ накладено арешт.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Триває слідство.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p>
    <w:p w:rsidR="00B912E5" w:rsidRPr="00B912E5" w:rsidRDefault="00B912E5" w:rsidP="00B912E5">
      <w:pPr>
        <w:spacing w:after="0" w:line="240" w:lineRule="auto"/>
        <w:outlineLvl w:val="0"/>
        <w:rPr>
          <w:rFonts w:ascii="Times New Roman" w:eastAsia="Times New Roman" w:hAnsi="Times New Roman" w:cs="Times New Roman"/>
          <w:b/>
          <w:bCs/>
          <w:kern w:val="36"/>
          <w:sz w:val="20"/>
          <w:szCs w:val="20"/>
          <w:lang w:val="uk-UA" w:eastAsia="ru-RU"/>
        </w:rPr>
      </w:pPr>
      <w:r w:rsidRPr="00B912E5">
        <w:rPr>
          <w:rFonts w:ascii="Times New Roman" w:eastAsia="Times New Roman" w:hAnsi="Times New Roman" w:cs="Times New Roman"/>
          <w:b/>
          <w:bCs/>
          <w:kern w:val="36"/>
          <w:sz w:val="20"/>
          <w:szCs w:val="20"/>
          <w:lang w:val="uk-UA" w:eastAsia="ru-RU"/>
        </w:rPr>
        <w:t xml:space="preserve">У Львові припинено роботу трьох незаконних АЗС </w:t>
      </w:r>
    </w:p>
    <w:p w:rsidR="00B912E5" w:rsidRPr="00B912E5" w:rsidRDefault="003C7C4C" w:rsidP="00B912E5">
      <w:pPr>
        <w:spacing w:after="0" w:line="240" w:lineRule="auto"/>
        <w:jc w:val="both"/>
        <w:rPr>
          <w:rFonts w:ascii="Times New Roman" w:eastAsia="Times New Roman" w:hAnsi="Times New Roman" w:cs="Times New Roman"/>
          <w:sz w:val="20"/>
          <w:szCs w:val="20"/>
          <w:lang w:val="uk-UA" w:eastAsia="ru-RU"/>
        </w:rPr>
      </w:pPr>
      <w:hyperlink r:id="rId10" w:history="1"/>
      <w:r w:rsidR="00B912E5" w:rsidRPr="00B912E5">
        <w:rPr>
          <w:rFonts w:ascii="Times New Roman" w:eastAsia="Times New Roman" w:hAnsi="Times New Roman" w:cs="Times New Roman"/>
          <w:sz w:val="20"/>
          <w:szCs w:val="20"/>
          <w:lang w:val="uk-UA" w:eastAsia="ru-RU"/>
        </w:rPr>
        <w:t xml:space="preserve">Співробітники податкової міліції ГУ ДФС у Львівській області припинили роботу трьох АЗС, які працювали без дозвільних документів.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В рамках проведення операції «Акциз – 2019» у Львові було задокументовано незаконну діяльність трьох АЗС, через які здійснювалась реалізація паливно-мастильних матеріалів без відповідних дозвільних документів.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 результатами проведених заходів вказану незаконну діяльність припинено. Окрім того, описано та опечатано обладнання для заправки транспортних засобів орієнтовною вартістю 450 тис. грн. та 28 тонн дизельного пального орієнтовною вартістю близько 850 тис. грн. </w:t>
      </w:r>
    </w:p>
    <w:p w:rsidR="00B912E5" w:rsidRPr="00B912E5" w:rsidRDefault="00B912E5" w:rsidP="00B912E5">
      <w:pPr>
        <w:spacing w:after="0" w:line="240" w:lineRule="auto"/>
        <w:jc w:val="both"/>
        <w:rPr>
          <w:rFonts w:ascii="Times New Roman" w:eastAsia="Times New Roman" w:hAnsi="Times New Roman" w:cs="Times New Roman"/>
          <w:sz w:val="20"/>
          <w:szCs w:val="20"/>
          <w:lang w:val="uk-UA" w:eastAsia="ru-RU"/>
        </w:rPr>
      </w:pPr>
      <w:r w:rsidRPr="00B912E5">
        <w:rPr>
          <w:rFonts w:ascii="Times New Roman" w:eastAsia="Times New Roman" w:hAnsi="Times New Roman" w:cs="Times New Roman"/>
          <w:sz w:val="20"/>
          <w:szCs w:val="20"/>
          <w:lang w:val="uk-UA" w:eastAsia="ru-RU"/>
        </w:rPr>
        <w:t xml:space="preserve">За даними фактами складено протоколи про адміністративні правопорушення за ч.1 ст.164 </w:t>
      </w:r>
      <w:proofErr w:type="spellStart"/>
      <w:r w:rsidRPr="00B912E5">
        <w:rPr>
          <w:rFonts w:ascii="Times New Roman" w:eastAsia="Times New Roman" w:hAnsi="Times New Roman" w:cs="Times New Roman"/>
          <w:sz w:val="20"/>
          <w:szCs w:val="20"/>
          <w:lang w:val="uk-UA" w:eastAsia="ru-RU"/>
        </w:rPr>
        <w:t>КУпАП</w:t>
      </w:r>
      <w:proofErr w:type="spellEnd"/>
      <w:r w:rsidRPr="00B912E5">
        <w:rPr>
          <w:rFonts w:ascii="Times New Roman" w:eastAsia="Times New Roman" w:hAnsi="Times New Roman" w:cs="Times New Roman"/>
          <w:sz w:val="20"/>
          <w:szCs w:val="20"/>
          <w:lang w:val="uk-UA" w:eastAsia="ru-RU"/>
        </w:rPr>
        <w:t xml:space="preserve">. </w:t>
      </w:r>
    </w:p>
    <w:p w:rsidR="000A0934" w:rsidRPr="00B912E5" w:rsidRDefault="000A0934" w:rsidP="00B912E5">
      <w:pPr>
        <w:spacing w:after="0" w:line="240" w:lineRule="auto"/>
        <w:jc w:val="both"/>
        <w:rPr>
          <w:rFonts w:ascii="Times New Roman" w:hAnsi="Times New Roman" w:cs="Times New Roman"/>
          <w:b/>
          <w:sz w:val="20"/>
          <w:szCs w:val="20"/>
          <w:lang w:val="uk-UA"/>
        </w:rPr>
      </w:pPr>
    </w:p>
    <w:p w:rsidR="0090761A" w:rsidRPr="0090761A" w:rsidRDefault="0090761A" w:rsidP="0090761A">
      <w:pPr>
        <w:spacing w:after="0" w:line="240" w:lineRule="auto"/>
        <w:outlineLvl w:val="0"/>
        <w:rPr>
          <w:rFonts w:ascii="Times New Roman" w:eastAsia="Times New Roman" w:hAnsi="Times New Roman" w:cs="Times New Roman"/>
          <w:b/>
          <w:bCs/>
          <w:kern w:val="36"/>
          <w:sz w:val="20"/>
          <w:szCs w:val="20"/>
          <w:lang w:val="uk-UA" w:eastAsia="ru-RU"/>
        </w:rPr>
      </w:pPr>
      <w:r w:rsidRPr="0090761A">
        <w:rPr>
          <w:rFonts w:ascii="Times New Roman" w:eastAsia="Times New Roman" w:hAnsi="Times New Roman" w:cs="Times New Roman"/>
          <w:b/>
          <w:bCs/>
          <w:kern w:val="36"/>
          <w:sz w:val="20"/>
          <w:szCs w:val="20"/>
          <w:lang w:val="uk-UA" w:eastAsia="ru-RU"/>
        </w:rPr>
        <w:t xml:space="preserve">В яких випадках повідомлення про прийняття робітника на роботу не складається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Нагадуємо, що роботодавець до початку роботи найманого робітника зобов’язаний повідомити органи ДФС про прийняття працівника на роботу.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Повідомлення про прийняття працівника на роботу (далі – Повідомлення) складають при укладанні безстрокового трудового договору, строкового трудового договору (на визначений строк, установлений за погодженням сторін; на час виконання певної роботи, з сезонними або тимчасовими працівниками), контракту.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Порядок повідомлення про прийняття працівника на роботу Державній фіскальній службі та її територіальним органам визначено постановою Кабінету Міністрів України від 17 червня 2015 року № 413.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 підприємцем до територіальних органів ДФС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одним із таких способів: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 засобами електронного зв’язку з використанням електронного цифрового підпису відповідальних осіб відповідно до вимог законодавства у сфері електронного документообігу та електронного підпису;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 на паперових носіях разом з копією в електронній формі;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 на паперових носіях, якщо трудові договори укладено не більше ніж із п’ятьма особами.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Інформація, що міститься у Повідомленні, вноситься до реєстру страхувальників та реєстру застрахованих осіб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Слід зазначити, що Повідомлення у разі </w:t>
      </w:r>
      <w:proofErr w:type="spellStart"/>
      <w:r w:rsidRPr="0090761A">
        <w:rPr>
          <w:rFonts w:ascii="Times New Roman" w:eastAsia="Times New Roman" w:hAnsi="Times New Roman" w:cs="Times New Roman"/>
          <w:sz w:val="20"/>
          <w:szCs w:val="20"/>
          <w:lang w:val="uk-UA" w:eastAsia="ru-RU"/>
        </w:rPr>
        <w:t>заключення</w:t>
      </w:r>
      <w:proofErr w:type="spellEnd"/>
      <w:r w:rsidRPr="0090761A">
        <w:rPr>
          <w:rFonts w:ascii="Times New Roman" w:eastAsia="Times New Roman" w:hAnsi="Times New Roman" w:cs="Times New Roman"/>
          <w:sz w:val="20"/>
          <w:szCs w:val="20"/>
          <w:lang w:val="uk-UA" w:eastAsia="ru-RU"/>
        </w:rPr>
        <w:t xml:space="preserve"> цивільно-правового договору не складається, тому що при цьому не укладається трудовий договір та, відповідно, відсутні трудові відносини.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Водночас, за фактичний допуск одного працівника до роботи без трудового договору, оформлення його не на повну ставку у разі фактичного виконання роботи цілий день або за виплату заробітної плати у «конверті» згідно з ст. 265 Кодексу законів про працю від 10 грудня 1971 року № 322-VIII із змінами та доповненнями працедавці у 2019 році сплатять тридцятикратний розмір мінімальної заробітної плати, встановленої законом на момент виявлення порушення, за кожного працівника, щодо якого скоєно порушення, а саме 125190 гривень. </w:t>
      </w:r>
    </w:p>
    <w:p w:rsidR="0090761A" w:rsidRPr="0090761A" w:rsidRDefault="0090761A" w:rsidP="0090761A">
      <w:pPr>
        <w:spacing w:after="0" w:line="240" w:lineRule="auto"/>
        <w:jc w:val="both"/>
        <w:rPr>
          <w:rFonts w:ascii="Times New Roman" w:eastAsia="Times New Roman" w:hAnsi="Times New Roman" w:cs="Times New Roman"/>
          <w:sz w:val="20"/>
          <w:szCs w:val="20"/>
          <w:lang w:val="uk-UA" w:eastAsia="ru-RU"/>
        </w:rPr>
      </w:pPr>
      <w:r w:rsidRPr="0090761A">
        <w:rPr>
          <w:rFonts w:ascii="Times New Roman" w:eastAsia="Times New Roman" w:hAnsi="Times New Roman" w:cs="Times New Roman"/>
          <w:sz w:val="20"/>
          <w:szCs w:val="20"/>
          <w:lang w:val="uk-UA" w:eastAsia="ru-RU"/>
        </w:rPr>
        <w:t xml:space="preserve">Крім того, ст. 41 Кодексу України про адміністративні правопорушення України від 07 грудня 1984 року № 8073-X із змінами та доповненнями передбачено адміністративну відповідальність на керівника підприємства від 8500 грн. до 17000 грн. за фактичний допуск працівника без трудового договору. </w:t>
      </w:r>
    </w:p>
    <w:p w:rsidR="0090761A" w:rsidRDefault="0090761A" w:rsidP="0090761A">
      <w:pPr>
        <w:spacing w:after="0" w:line="240" w:lineRule="auto"/>
        <w:jc w:val="both"/>
        <w:rPr>
          <w:rFonts w:ascii="Times New Roman" w:hAnsi="Times New Roman" w:cs="Times New Roman"/>
          <w:sz w:val="20"/>
          <w:szCs w:val="20"/>
          <w:lang w:val="uk-UA"/>
        </w:rPr>
      </w:pPr>
    </w:p>
    <w:p w:rsidR="0090761A" w:rsidRDefault="0090761A" w:rsidP="0090761A">
      <w:pPr>
        <w:spacing w:after="0" w:line="240" w:lineRule="auto"/>
        <w:jc w:val="both"/>
        <w:rPr>
          <w:rFonts w:ascii="Times New Roman" w:hAnsi="Times New Roman" w:cs="Times New Roman"/>
          <w:sz w:val="20"/>
          <w:szCs w:val="20"/>
          <w:lang w:val="uk-UA"/>
        </w:rPr>
      </w:pPr>
    </w:p>
    <w:sectPr w:rsidR="0090761A" w:rsidSect="00AD3D9A">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E6BB6"/>
    <w:rsid w:val="00031507"/>
    <w:rsid w:val="000A0934"/>
    <w:rsid w:val="0010513D"/>
    <w:rsid w:val="0011674F"/>
    <w:rsid w:val="0012663A"/>
    <w:rsid w:val="001344B4"/>
    <w:rsid w:val="00164C68"/>
    <w:rsid w:val="001A14E2"/>
    <w:rsid w:val="001A75C3"/>
    <w:rsid w:val="001F287F"/>
    <w:rsid w:val="00222317"/>
    <w:rsid w:val="002F104A"/>
    <w:rsid w:val="003370E6"/>
    <w:rsid w:val="003647D1"/>
    <w:rsid w:val="003859F8"/>
    <w:rsid w:val="003C7C4C"/>
    <w:rsid w:val="0048367E"/>
    <w:rsid w:val="004A5C47"/>
    <w:rsid w:val="004E197E"/>
    <w:rsid w:val="005740C6"/>
    <w:rsid w:val="006949E3"/>
    <w:rsid w:val="006C3CC5"/>
    <w:rsid w:val="007737D0"/>
    <w:rsid w:val="007A1DF3"/>
    <w:rsid w:val="007C4B14"/>
    <w:rsid w:val="00810333"/>
    <w:rsid w:val="008B42C1"/>
    <w:rsid w:val="0090761A"/>
    <w:rsid w:val="00951DC3"/>
    <w:rsid w:val="00965F44"/>
    <w:rsid w:val="00972E4D"/>
    <w:rsid w:val="009A50AA"/>
    <w:rsid w:val="00A123CD"/>
    <w:rsid w:val="00AD09FB"/>
    <w:rsid w:val="00AD3D9A"/>
    <w:rsid w:val="00B06EE4"/>
    <w:rsid w:val="00B0758B"/>
    <w:rsid w:val="00B44717"/>
    <w:rsid w:val="00B76D52"/>
    <w:rsid w:val="00B912E5"/>
    <w:rsid w:val="00B979C3"/>
    <w:rsid w:val="00BD0108"/>
    <w:rsid w:val="00C3535C"/>
    <w:rsid w:val="00CE6BB6"/>
    <w:rsid w:val="00D25F14"/>
    <w:rsid w:val="00D30367"/>
    <w:rsid w:val="00D87F23"/>
    <w:rsid w:val="00D91CE1"/>
    <w:rsid w:val="00DD6BCC"/>
    <w:rsid w:val="00E36B69"/>
    <w:rsid w:val="00FB5D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0C6"/>
  </w:style>
  <w:style w:type="paragraph" w:styleId="1">
    <w:name w:val="heading 1"/>
    <w:basedOn w:val="a"/>
    <w:link w:val="10"/>
    <w:uiPriority w:val="9"/>
    <w:qFormat/>
    <w:rsid w:val="000A09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0758B"/>
    <w:rPr>
      <w:color w:val="0000FF"/>
      <w:u w:val="single"/>
    </w:rPr>
  </w:style>
  <w:style w:type="paragraph" w:customStyle="1" w:styleId="tc">
    <w:name w:val="tc"/>
    <w:basedOn w:val="a"/>
    <w:rsid w:val="000A093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4">
    <w:name w:val="Table Grid"/>
    <w:basedOn w:val="a1"/>
    <w:rsid w:val="000A09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A0934"/>
    <w:rPr>
      <w:rFonts w:ascii="Times New Roman" w:eastAsia="Times New Roman" w:hAnsi="Times New Roman" w:cs="Times New Roman"/>
      <w:b/>
      <w:bCs/>
      <w:kern w:val="36"/>
      <w:sz w:val="48"/>
      <w:szCs w:val="48"/>
      <w:lang w:eastAsia="ru-RU"/>
    </w:rPr>
  </w:style>
  <w:style w:type="paragraph" w:styleId="a5">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6"/>
    <w:uiPriority w:val="99"/>
    <w:unhideWhenUsed/>
    <w:rsid w:val="00A123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B5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a3">
    <w:name w:val="gmail-a3"/>
    <w:basedOn w:val="a"/>
    <w:rsid w:val="002223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222317"/>
    <w:rPr>
      <w:b/>
      <w:bCs/>
    </w:rPr>
  </w:style>
  <w:style w:type="paragraph" w:styleId="a8">
    <w:name w:val="Balloon Text"/>
    <w:basedOn w:val="a"/>
    <w:link w:val="a9"/>
    <w:uiPriority w:val="99"/>
    <w:semiHidden/>
    <w:unhideWhenUsed/>
    <w:rsid w:val="002223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2317"/>
    <w:rPr>
      <w:rFonts w:ascii="Tahoma" w:hAnsi="Tahoma" w:cs="Tahoma"/>
      <w:sz w:val="16"/>
      <w:szCs w:val="16"/>
    </w:rPr>
  </w:style>
  <w:style w:type="character" w:customStyle="1" w:styleId="statsitem">
    <w:name w:val="stats__item"/>
    <w:basedOn w:val="a0"/>
    <w:rsid w:val="00222317"/>
  </w:style>
  <w:style w:type="character" w:customStyle="1" w:styleId="news-feed--bold">
    <w:name w:val="news-feed--bold"/>
    <w:basedOn w:val="a0"/>
    <w:rsid w:val="00222317"/>
  </w:style>
  <w:style w:type="character" w:styleId="aa">
    <w:name w:val="Emphasis"/>
    <w:basedOn w:val="a0"/>
    <w:uiPriority w:val="20"/>
    <w:qFormat/>
    <w:rsid w:val="00222317"/>
    <w:rPr>
      <w:i/>
      <w:iCs/>
    </w:rPr>
  </w:style>
  <w:style w:type="character" w:customStyle="1" w:styleId="rvts9">
    <w:name w:val="rvts9"/>
    <w:basedOn w:val="a0"/>
    <w:rsid w:val="00AD3D9A"/>
  </w:style>
  <w:style w:type="character" w:customStyle="1" w:styleId="rvts23">
    <w:name w:val="rvts23"/>
    <w:basedOn w:val="a0"/>
    <w:rsid w:val="00AD3D9A"/>
  </w:style>
  <w:style w:type="paragraph" w:customStyle="1" w:styleId="BodyTextIndent21">
    <w:name w:val="Body Text Indent 21"/>
    <w:basedOn w:val="a"/>
    <w:rsid w:val="00AD3D9A"/>
    <w:pPr>
      <w:widowControl w:val="0"/>
      <w:spacing w:after="0" w:line="240" w:lineRule="auto"/>
      <w:ind w:firstLine="567"/>
      <w:jc w:val="both"/>
    </w:pPr>
    <w:rPr>
      <w:rFonts w:ascii="Times New Roman" w:eastAsia="Times New Roman" w:hAnsi="Times New Roman" w:cs="Times New Roman"/>
      <w:sz w:val="28"/>
      <w:szCs w:val="20"/>
      <w:lang w:val="uk-UA" w:eastAsia="ru-RU"/>
    </w:rPr>
  </w:style>
  <w:style w:type="character" w:customStyle="1" w:styleId="a6">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5"/>
    <w:locked/>
    <w:rsid w:val="00AD3D9A"/>
    <w:rPr>
      <w:rFonts w:ascii="Times New Roman" w:eastAsia="Times New Roman" w:hAnsi="Times New Roman" w:cs="Times New Roman"/>
      <w:sz w:val="24"/>
      <w:szCs w:val="24"/>
      <w:lang w:eastAsia="ru-RU"/>
    </w:rPr>
  </w:style>
  <w:style w:type="paragraph" w:styleId="ab">
    <w:name w:val="Body Text"/>
    <w:basedOn w:val="a"/>
    <w:link w:val="ac"/>
    <w:rsid w:val="00AD3D9A"/>
    <w:pPr>
      <w:spacing w:after="0" w:line="240" w:lineRule="auto"/>
      <w:jc w:val="both"/>
    </w:pPr>
    <w:rPr>
      <w:rFonts w:ascii="Times New Roman" w:eastAsia="Times New Roman" w:hAnsi="Times New Roman" w:cs="Times New Roman"/>
      <w:sz w:val="28"/>
      <w:szCs w:val="20"/>
      <w:lang w:val="uk-UA" w:eastAsia="ru-RU"/>
    </w:rPr>
  </w:style>
  <w:style w:type="character" w:customStyle="1" w:styleId="ac">
    <w:name w:val="Основной текст Знак"/>
    <w:basedOn w:val="a0"/>
    <w:link w:val="ab"/>
    <w:rsid w:val="00AD3D9A"/>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E36B69"/>
  </w:style>
  <w:style w:type="paragraph" w:customStyle="1" w:styleId="20">
    <w:name w:val="20"/>
    <w:basedOn w:val="a"/>
    <w:rsid w:val="008B42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C353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B912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a"/>
    <w:basedOn w:val="a"/>
    <w:rsid w:val="009076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4035005">
      <w:bodyDiv w:val="1"/>
      <w:marLeft w:val="0"/>
      <w:marRight w:val="0"/>
      <w:marTop w:val="0"/>
      <w:marBottom w:val="0"/>
      <w:divBdr>
        <w:top w:val="none" w:sz="0" w:space="0" w:color="auto"/>
        <w:left w:val="none" w:sz="0" w:space="0" w:color="auto"/>
        <w:bottom w:val="none" w:sz="0" w:space="0" w:color="auto"/>
        <w:right w:val="none" w:sz="0" w:space="0" w:color="auto"/>
      </w:divBdr>
      <w:divsChild>
        <w:div w:id="1557398925">
          <w:marLeft w:val="0"/>
          <w:marRight w:val="0"/>
          <w:marTop w:val="0"/>
          <w:marBottom w:val="0"/>
          <w:divBdr>
            <w:top w:val="none" w:sz="0" w:space="0" w:color="auto"/>
            <w:left w:val="none" w:sz="0" w:space="0" w:color="auto"/>
            <w:bottom w:val="none" w:sz="0" w:space="0" w:color="auto"/>
            <w:right w:val="none" w:sz="0" w:space="0" w:color="auto"/>
          </w:divBdr>
          <w:divsChild>
            <w:div w:id="1584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0114">
      <w:bodyDiv w:val="1"/>
      <w:marLeft w:val="0"/>
      <w:marRight w:val="0"/>
      <w:marTop w:val="0"/>
      <w:marBottom w:val="0"/>
      <w:divBdr>
        <w:top w:val="none" w:sz="0" w:space="0" w:color="auto"/>
        <w:left w:val="none" w:sz="0" w:space="0" w:color="auto"/>
        <w:bottom w:val="none" w:sz="0" w:space="0" w:color="auto"/>
        <w:right w:val="none" w:sz="0" w:space="0" w:color="auto"/>
      </w:divBdr>
      <w:divsChild>
        <w:div w:id="922026684">
          <w:marLeft w:val="0"/>
          <w:marRight w:val="0"/>
          <w:marTop w:val="0"/>
          <w:marBottom w:val="0"/>
          <w:divBdr>
            <w:top w:val="none" w:sz="0" w:space="0" w:color="auto"/>
            <w:left w:val="none" w:sz="0" w:space="0" w:color="auto"/>
            <w:bottom w:val="none" w:sz="0" w:space="0" w:color="auto"/>
            <w:right w:val="none" w:sz="0" w:space="0" w:color="auto"/>
          </w:divBdr>
        </w:div>
        <w:div w:id="1971593181">
          <w:marLeft w:val="0"/>
          <w:marRight w:val="0"/>
          <w:marTop w:val="0"/>
          <w:marBottom w:val="0"/>
          <w:divBdr>
            <w:top w:val="none" w:sz="0" w:space="0" w:color="auto"/>
            <w:left w:val="none" w:sz="0" w:space="0" w:color="auto"/>
            <w:bottom w:val="none" w:sz="0" w:space="0" w:color="auto"/>
            <w:right w:val="none" w:sz="0" w:space="0" w:color="auto"/>
          </w:divBdr>
        </w:div>
      </w:divsChild>
    </w:div>
    <w:div w:id="131215272">
      <w:bodyDiv w:val="1"/>
      <w:marLeft w:val="0"/>
      <w:marRight w:val="0"/>
      <w:marTop w:val="0"/>
      <w:marBottom w:val="0"/>
      <w:divBdr>
        <w:top w:val="none" w:sz="0" w:space="0" w:color="auto"/>
        <w:left w:val="none" w:sz="0" w:space="0" w:color="auto"/>
        <w:bottom w:val="none" w:sz="0" w:space="0" w:color="auto"/>
        <w:right w:val="none" w:sz="0" w:space="0" w:color="auto"/>
      </w:divBdr>
      <w:divsChild>
        <w:div w:id="1045790349">
          <w:marLeft w:val="0"/>
          <w:marRight w:val="0"/>
          <w:marTop w:val="0"/>
          <w:marBottom w:val="0"/>
          <w:divBdr>
            <w:top w:val="none" w:sz="0" w:space="0" w:color="auto"/>
            <w:left w:val="none" w:sz="0" w:space="0" w:color="auto"/>
            <w:bottom w:val="none" w:sz="0" w:space="0" w:color="auto"/>
            <w:right w:val="none" w:sz="0" w:space="0" w:color="auto"/>
          </w:divBdr>
          <w:divsChild>
            <w:div w:id="6177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6484">
      <w:bodyDiv w:val="1"/>
      <w:marLeft w:val="0"/>
      <w:marRight w:val="0"/>
      <w:marTop w:val="0"/>
      <w:marBottom w:val="0"/>
      <w:divBdr>
        <w:top w:val="none" w:sz="0" w:space="0" w:color="auto"/>
        <w:left w:val="none" w:sz="0" w:space="0" w:color="auto"/>
        <w:bottom w:val="none" w:sz="0" w:space="0" w:color="auto"/>
        <w:right w:val="none" w:sz="0" w:space="0" w:color="auto"/>
      </w:divBdr>
      <w:divsChild>
        <w:div w:id="251283992">
          <w:marLeft w:val="0"/>
          <w:marRight w:val="0"/>
          <w:marTop w:val="0"/>
          <w:marBottom w:val="0"/>
          <w:divBdr>
            <w:top w:val="none" w:sz="0" w:space="0" w:color="auto"/>
            <w:left w:val="none" w:sz="0" w:space="0" w:color="auto"/>
            <w:bottom w:val="none" w:sz="0" w:space="0" w:color="auto"/>
            <w:right w:val="none" w:sz="0" w:space="0" w:color="auto"/>
          </w:divBdr>
          <w:divsChild>
            <w:div w:id="82779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00668">
      <w:bodyDiv w:val="1"/>
      <w:marLeft w:val="0"/>
      <w:marRight w:val="0"/>
      <w:marTop w:val="0"/>
      <w:marBottom w:val="0"/>
      <w:divBdr>
        <w:top w:val="none" w:sz="0" w:space="0" w:color="auto"/>
        <w:left w:val="none" w:sz="0" w:space="0" w:color="auto"/>
        <w:bottom w:val="none" w:sz="0" w:space="0" w:color="auto"/>
        <w:right w:val="none" w:sz="0" w:space="0" w:color="auto"/>
      </w:divBdr>
      <w:divsChild>
        <w:div w:id="440565142">
          <w:marLeft w:val="0"/>
          <w:marRight w:val="0"/>
          <w:marTop w:val="0"/>
          <w:marBottom w:val="0"/>
          <w:divBdr>
            <w:top w:val="none" w:sz="0" w:space="0" w:color="auto"/>
            <w:left w:val="none" w:sz="0" w:space="0" w:color="auto"/>
            <w:bottom w:val="none" w:sz="0" w:space="0" w:color="auto"/>
            <w:right w:val="none" w:sz="0" w:space="0" w:color="auto"/>
          </w:divBdr>
          <w:divsChild>
            <w:div w:id="3573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7381">
      <w:bodyDiv w:val="1"/>
      <w:marLeft w:val="0"/>
      <w:marRight w:val="0"/>
      <w:marTop w:val="0"/>
      <w:marBottom w:val="0"/>
      <w:divBdr>
        <w:top w:val="none" w:sz="0" w:space="0" w:color="auto"/>
        <w:left w:val="none" w:sz="0" w:space="0" w:color="auto"/>
        <w:bottom w:val="none" w:sz="0" w:space="0" w:color="auto"/>
        <w:right w:val="none" w:sz="0" w:space="0" w:color="auto"/>
      </w:divBdr>
      <w:divsChild>
        <w:div w:id="1750928259">
          <w:marLeft w:val="0"/>
          <w:marRight w:val="0"/>
          <w:marTop w:val="0"/>
          <w:marBottom w:val="0"/>
          <w:divBdr>
            <w:top w:val="none" w:sz="0" w:space="0" w:color="auto"/>
            <w:left w:val="none" w:sz="0" w:space="0" w:color="auto"/>
            <w:bottom w:val="none" w:sz="0" w:space="0" w:color="auto"/>
            <w:right w:val="none" w:sz="0" w:space="0" w:color="auto"/>
          </w:divBdr>
        </w:div>
        <w:div w:id="730080119">
          <w:marLeft w:val="0"/>
          <w:marRight w:val="0"/>
          <w:marTop w:val="0"/>
          <w:marBottom w:val="0"/>
          <w:divBdr>
            <w:top w:val="none" w:sz="0" w:space="0" w:color="auto"/>
            <w:left w:val="none" w:sz="0" w:space="0" w:color="auto"/>
            <w:bottom w:val="none" w:sz="0" w:space="0" w:color="auto"/>
            <w:right w:val="none" w:sz="0" w:space="0" w:color="auto"/>
          </w:divBdr>
        </w:div>
      </w:divsChild>
    </w:div>
    <w:div w:id="530263815">
      <w:bodyDiv w:val="1"/>
      <w:marLeft w:val="0"/>
      <w:marRight w:val="0"/>
      <w:marTop w:val="0"/>
      <w:marBottom w:val="0"/>
      <w:divBdr>
        <w:top w:val="none" w:sz="0" w:space="0" w:color="auto"/>
        <w:left w:val="none" w:sz="0" w:space="0" w:color="auto"/>
        <w:bottom w:val="none" w:sz="0" w:space="0" w:color="auto"/>
        <w:right w:val="none" w:sz="0" w:space="0" w:color="auto"/>
      </w:divBdr>
      <w:divsChild>
        <w:div w:id="236400731">
          <w:marLeft w:val="0"/>
          <w:marRight w:val="0"/>
          <w:marTop w:val="0"/>
          <w:marBottom w:val="0"/>
          <w:divBdr>
            <w:top w:val="none" w:sz="0" w:space="0" w:color="auto"/>
            <w:left w:val="none" w:sz="0" w:space="0" w:color="auto"/>
            <w:bottom w:val="none" w:sz="0" w:space="0" w:color="auto"/>
            <w:right w:val="none" w:sz="0" w:space="0" w:color="auto"/>
          </w:divBdr>
          <w:divsChild>
            <w:div w:id="13887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664932">
      <w:bodyDiv w:val="1"/>
      <w:marLeft w:val="0"/>
      <w:marRight w:val="0"/>
      <w:marTop w:val="0"/>
      <w:marBottom w:val="0"/>
      <w:divBdr>
        <w:top w:val="none" w:sz="0" w:space="0" w:color="auto"/>
        <w:left w:val="none" w:sz="0" w:space="0" w:color="auto"/>
        <w:bottom w:val="none" w:sz="0" w:space="0" w:color="auto"/>
        <w:right w:val="none" w:sz="0" w:space="0" w:color="auto"/>
      </w:divBdr>
      <w:divsChild>
        <w:div w:id="237711898">
          <w:marLeft w:val="0"/>
          <w:marRight w:val="0"/>
          <w:marTop w:val="0"/>
          <w:marBottom w:val="0"/>
          <w:divBdr>
            <w:top w:val="none" w:sz="0" w:space="0" w:color="auto"/>
            <w:left w:val="none" w:sz="0" w:space="0" w:color="auto"/>
            <w:bottom w:val="none" w:sz="0" w:space="0" w:color="auto"/>
            <w:right w:val="none" w:sz="0" w:space="0" w:color="auto"/>
          </w:divBdr>
          <w:divsChild>
            <w:div w:id="20187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7850">
      <w:bodyDiv w:val="1"/>
      <w:marLeft w:val="0"/>
      <w:marRight w:val="0"/>
      <w:marTop w:val="0"/>
      <w:marBottom w:val="0"/>
      <w:divBdr>
        <w:top w:val="none" w:sz="0" w:space="0" w:color="auto"/>
        <w:left w:val="none" w:sz="0" w:space="0" w:color="auto"/>
        <w:bottom w:val="none" w:sz="0" w:space="0" w:color="auto"/>
        <w:right w:val="none" w:sz="0" w:space="0" w:color="auto"/>
      </w:divBdr>
      <w:divsChild>
        <w:div w:id="1957633057">
          <w:marLeft w:val="0"/>
          <w:marRight w:val="0"/>
          <w:marTop w:val="0"/>
          <w:marBottom w:val="0"/>
          <w:divBdr>
            <w:top w:val="none" w:sz="0" w:space="0" w:color="auto"/>
            <w:left w:val="none" w:sz="0" w:space="0" w:color="auto"/>
            <w:bottom w:val="none" w:sz="0" w:space="0" w:color="auto"/>
            <w:right w:val="none" w:sz="0" w:space="0" w:color="auto"/>
          </w:divBdr>
          <w:divsChild>
            <w:div w:id="1555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604211">
      <w:bodyDiv w:val="1"/>
      <w:marLeft w:val="0"/>
      <w:marRight w:val="0"/>
      <w:marTop w:val="0"/>
      <w:marBottom w:val="0"/>
      <w:divBdr>
        <w:top w:val="none" w:sz="0" w:space="0" w:color="auto"/>
        <w:left w:val="none" w:sz="0" w:space="0" w:color="auto"/>
        <w:bottom w:val="none" w:sz="0" w:space="0" w:color="auto"/>
        <w:right w:val="none" w:sz="0" w:space="0" w:color="auto"/>
      </w:divBdr>
      <w:divsChild>
        <w:div w:id="1837574835">
          <w:marLeft w:val="0"/>
          <w:marRight w:val="0"/>
          <w:marTop w:val="0"/>
          <w:marBottom w:val="0"/>
          <w:divBdr>
            <w:top w:val="none" w:sz="0" w:space="0" w:color="auto"/>
            <w:left w:val="none" w:sz="0" w:space="0" w:color="auto"/>
            <w:bottom w:val="none" w:sz="0" w:space="0" w:color="auto"/>
            <w:right w:val="none" w:sz="0" w:space="0" w:color="auto"/>
          </w:divBdr>
          <w:divsChild>
            <w:div w:id="961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16610">
      <w:bodyDiv w:val="1"/>
      <w:marLeft w:val="0"/>
      <w:marRight w:val="0"/>
      <w:marTop w:val="0"/>
      <w:marBottom w:val="0"/>
      <w:divBdr>
        <w:top w:val="none" w:sz="0" w:space="0" w:color="auto"/>
        <w:left w:val="none" w:sz="0" w:space="0" w:color="auto"/>
        <w:bottom w:val="none" w:sz="0" w:space="0" w:color="auto"/>
        <w:right w:val="none" w:sz="0" w:space="0" w:color="auto"/>
      </w:divBdr>
      <w:divsChild>
        <w:div w:id="1695957739">
          <w:marLeft w:val="0"/>
          <w:marRight w:val="0"/>
          <w:marTop w:val="0"/>
          <w:marBottom w:val="0"/>
          <w:divBdr>
            <w:top w:val="none" w:sz="0" w:space="0" w:color="auto"/>
            <w:left w:val="none" w:sz="0" w:space="0" w:color="auto"/>
            <w:bottom w:val="none" w:sz="0" w:space="0" w:color="auto"/>
            <w:right w:val="none" w:sz="0" w:space="0" w:color="auto"/>
          </w:divBdr>
          <w:divsChild>
            <w:div w:id="8902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442">
      <w:bodyDiv w:val="1"/>
      <w:marLeft w:val="0"/>
      <w:marRight w:val="0"/>
      <w:marTop w:val="0"/>
      <w:marBottom w:val="0"/>
      <w:divBdr>
        <w:top w:val="none" w:sz="0" w:space="0" w:color="auto"/>
        <w:left w:val="none" w:sz="0" w:space="0" w:color="auto"/>
        <w:bottom w:val="none" w:sz="0" w:space="0" w:color="auto"/>
        <w:right w:val="none" w:sz="0" w:space="0" w:color="auto"/>
      </w:divBdr>
      <w:divsChild>
        <w:div w:id="1667905231">
          <w:marLeft w:val="0"/>
          <w:marRight w:val="0"/>
          <w:marTop w:val="0"/>
          <w:marBottom w:val="0"/>
          <w:divBdr>
            <w:top w:val="none" w:sz="0" w:space="0" w:color="auto"/>
            <w:left w:val="none" w:sz="0" w:space="0" w:color="auto"/>
            <w:bottom w:val="none" w:sz="0" w:space="0" w:color="auto"/>
            <w:right w:val="none" w:sz="0" w:space="0" w:color="auto"/>
          </w:divBdr>
          <w:divsChild>
            <w:div w:id="15432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341">
      <w:bodyDiv w:val="1"/>
      <w:marLeft w:val="0"/>
      <w:marRight w:val="0"/>
      <w:marTop w:val="0"/>
      <w:marBottom w:val="0"/>
      <w:divBdr>
        <w:top w:val="none" w:sz="0" w:space="0" w:color="auto"/>
        <w:left w:val="none" w:sz="0" w:space="0" w:color="auto"/>
        <w:bottom w:val="none" w:sz="0" w:space="0" w:color="auto"/>
        <w:right w:val="none" w:sz="0" w:space="0" w:color="auto"/>
      </w:divBdr>
      <w:divsChild>
        <w:div w:id="1352488454">
          <w:marLeft w:val="0"/>
          <w:marRight w:val="0"/>
          <w:marTop w:val="0"/>
          <w:marBottom w:val="0"/>
          <w:divBdr>
            <w:top w:val="none" w:sz="0" w:space="0" w:color="auto"/>
            <w:left w:val="none" w:sz="0" w:space="0" w:color="auto"/>
            <w:bottom w:val="none" w:sz="0" w:space="0" w:color="auto"/>
            <w:right w:val="none" w:sz="0" w:space="0" w:color="auto"/>
          </w:divBdr>
          <w:divsChild>
            <w:div w:id="10211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81623">
      <w:bodyDiv w:val="1"/>
      <w:marLeft w:val="0"/>
      <w:marRight w:val="0"/>
      <w:marTop w:val="0"/>
      <w:marBottom w:val="0"/>
      <w:divBdr>
        <w:top w:val="none" w:sz="0" w:space="0" w:color="auto"/>
        <w:left w:val="none" w:sz="0" w:space="0" w:color="auto"/>
        <w:bottom w:val="none" w:sz="0" w:space="0" w:color="auto"/>
        <w:right w:val="none" w:sz="0" w:space="0" w:color="auto"/>
      </w:divBdr>
      <w:divsChild>
        <w:div w:id="664819643">
          <w:marLeft w:val="0"/>
          <w:marRight w:val="0"/>
          <w:marTop w:val="0"/>
          <w:marBottom w:val="0"/>
          <w:divBdr>
            <w:top w:val="none" w:sz="0" w:space="0" w:color="auto"/>
            <w:left w:val="none" w:sz="0" w:space="0" w:color="auto"/>
            <w:bottom w:val="none" w:sz="0" w:space="0" w:color="auto"/>
            <w:right w:val="none" w:sz="0" w:space="0" w:color="auto"/>
          </w:divBdr>
          <w:divsChild>
            <w:div w:id="6336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6236">
      <w:bodyDiv w:val="1"/>
      <w:marLeft w:val="0"/>
      <w:marRight w:val="0"/>
      <w:marTop w:val="0"/>
      <w:marBottom w:val="0"/>
      <w:divBdr>
        <w:top w:val="none" w:sz="0" w:space="0" w:color="auto"/>
        <w:left w:val="none" w:sz="0" w:space="0" w:color="auto"/>
        <w:bottom w:val="none" w:sz="0" w:space="0" w:color="auto"/>
        <w:right w:val="none" w:sz="0" w:space="0" w:color="auto"/>
      </w:divBdr>
      <w:divsChild>
        <w:div w:id="441269893">
          <w:marLeft w:val="0"/>
          <w:marRight w:val="0"/>
          <w:marTop w:val="0"/>
          <w:marBottom w:val="0"/>
          <w:divBdr>
            <w:top w:val="none" w:sz="0" w:space="0" w:color="auto"/>
            <w:left w:val="none" w:sz="0" w:space="0" w:color="auto"/>
            <w:bottom w:val="none" w:sz="0" w:space="0" w:color="auto"/>
            <w:right w:val="none" w:sz="0" w:space="0" w:color="auto"/>
          </w:divBdr>
        </w:div>
        <w:div w:id="432676821">
          <w:marLeft w:val="0"/>
          <w:marRight w:val="0"/>
          <w:marTop w:val="0"/>
          <w:marBottom w:val="0"/>
          <w:divBdr>
            <w:top w:val="none" w:sz="0" w:space="0" w:color="auto"/>
            <w:left w:val="none" w:sz="0" w:space="0" w:color="auto"/>
            <w:bottom w:val="none" w:sz="0" w:space="0" w:color="auto"/>
            <w:right w:val="none" w:sz="0" w:space="0" w:color="auto"/>
          </w:divBdr>
        </w:div>
      </w:divsChild>
    </w:div>
    <w:div w:id="1291014316">
      <w:bodyDiv w:val="1"/>
      <w:marLeft w:val="0"/>
      <w:marRight w:val="0"/>
      <w:marTop w:val="0"/>
      <w:marBottom w:val="0"/>
      <w:divBdr>
        <w:top w:val="none" w:sz="0" w:space="0" w:color="auto"/>
        <w:left w:val="none" w:sz="0" w:space="0" w:color="auto"/>
        <w:bottom w:val="none" w:sz="0" w:space="0" w:color="auto"/>
        <w:right w:val="none" w:sz="0" w:space="0" w:color="auto"/>
      </w:divBdr>
      <w:divsChild>
        <w:div w:id="1043093622">
          <w:marLeft w:val="0"/>
          <w:marRight w:val="0"/>
          <w:marTop w:val="0"/>
          <w:marBottom w:val="0"/>
          <w:divBdr>
            <w:top w:val="none" w:sz="0" w:space="0" w:color="auto"/>
            <w:left w:val="none" w:sz="0" w:space="0" w:color="auto"/>
            <w:bottom w:val="none" w:sz="0" w:space="0" w:color="auto"/>
            <w:right w:val="none" w:sz="0" w:space="0" w:color="auto"/>
          </w:divBdr>
          <w:divsChild>
            <w:div w:id="15388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2392">
      <w:bodyDiv w:val="1"/>
      <w:marLeft w:val="0"/>
      <w:marRight w:val="0"/>
      <w:marTop w:val="0"/>
      <w:marBottom w:val="0"/>
      <w:divBdr>
        <w:top w:val="none" w:sz="0" w:space="0" w:color="auto"/>
        <w:left w:val="none" w:sz="0" w:space="0" w:color="auto"/>
        <w:bottom w:val="none" w:sz="0" w:space="0" w:color="auto"/>
        <w:right w:val="none" w:sz="0" w:space="0" w:color="auto"/>
      </w:divBdr>
      <w:divsChild>
        <w:div w:id="1202860331">
          <w:marLeft w:val="0"/>
          <w:marRight w:val="0"/>
          <w:marTop w:val="0"/>
          <w:marBottom w:val="0"/>
          <w:divBdr>
            <w:top w:val="none" w:sz="0" w:space="0" w:color="auto"/>
            <w:left w:val="none" w:sz="0" w:space="0" w:color="auto"/>
            <w:bottom w:val="none" w:sz="0" w:space="0" w:color="auto"/>
            <w:right w:val="none" w:sz="0" w:space="0" w:color="auto"/>
          </w:divBdr>
          <w:divsChild>
            <w:div w:id="12948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67434">
      <w:bodyDiv w:val="1"/>
      <w:marLeft w:val="0"/>
      <w:marRight w:val="0"/>
      <w:marTop w:val="0"/>
      <w:marBottom w:val="0"/>
      <w:divBdr>
        <w:top w:val="none" w:sz="0" w:space="0" w:color="auto"/>
        <w:left w:val="none" w:sz="0" w:space="0" w:color="auto"/>
        <w:bottom w:val="none" w:sz="0" w:space="0" w:color="auto"/>
        <w:right w:val="none" w:sz="0" w:space="0" w:color="auto"/>
      </w:divBdr>
      <w:divsChild>
        <w:div w:id="273754774">
          <w:marLeft w:val="0"/>
          <w:marRight w:val="0"/>
          <w:marTop w:val="0"/>
          <w:marBottom w:val="0"/>
          <w:divBdr>
            <w:top w:val="none" w:sz="0" w:space="0" w:color="auto"/>
            <w:left w:val="none" w:sz="0" w:space="0" w:color="auto"/>
            <w:bottom w:val="none" w:sz="0" w:space="0" w:color="auto"/>
            <w:right w:val="none" w:sz="0" w:space="0" w:color="auto"/>
          </w:divBdr>
          <w:divsChild>
            <w:div w:id="3327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28962">
      <w:bodyDiv w:val="1"/>
      <w:marLeft w:val="0"/>
      <w:marRight w:val="0"/>
      <w:marTop w:val="0"/>
      <w:marBottom w:val="0"/>
      <w:divBdr>
        <w:top w:val="none" w:sz="0" w:space="0" w:color="auto"/>
        <w:left w:val="none" w:sz="0" w:space="0" w:color="auto"/>
        <w:bottom w:val="none" w:sz="0" w:space="0" w:color="auto"/>
        <w:right w:val="none" w:sz="0" w:space="0" w:color="auto"/>
      </w:divBdr>
      <w:divsChild>
        <w:div w:id="834223911">
          <w:marLeft w:val="0"/>
          <w:marRight w:val="0"/>
          <w:marTop w:val="0"/>
          <w:marBottom w:val="0"/>
          <w:divBdr>
            <w:top w:val="none" w:sz="0" w:space="0" w:color="auto"/>
            <w:left w:val="none" w:sz="0" w:space="0" w:color="auto"/>
            <w:bottom w:val="none" w:sz="0" w:space="0" w:color="auto"/>
            <w:right w:val="none" w:sz="0" w:space="0" w:color="auto"/>
          </w:divBdr>
          <w:divsChild>
            <w:div w:id="13119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555">
      <w:bodyDiv w:val="1"/>
      <w:marLeft w:val="0"/>
      <w:marRight w:val="0"/>
      <w:marTop w:val="0"/>
      <w:marBottom w:val="0"/>
      <w:divBdr>
        <w:top w:val="none" w:sz="0" w:space="0" w:color="auto"/>
        <w:left w:val="none" w:sz="0" w:space="0" w:color="auto"/>
        <w:bottom w:val="none" w:sz="0" w:space="0" w:color="auto"/>
        <w:right w:val="none" w:sz="0" w:space="0" w:color="auto"/>
      </w:divBdr>
      <w:divsChild>
        <w:div w:id="940189845">
          <w:marLeft w:val="0"/>
          <w:marRight w:val="0"/>
          <w:marTop w:val="0"/>
          <w:marBottom w:val="0"/>
          <w:divBdr>
            <w:top w:val="none" w:sz="0" w:space="0" w:color="auto"/>
            <w:left w:val="none" w:sz="0" w:space="0" w:color="auto"/>
            <w:bottom w:val="none" w:sz="0" w:space="0" w:color="auto"/>
            <w:right w:val="none" w:sz="0" w:space="0" w:color="auto"/>
          </w:divBdr>
          <w:divsChild>
            <w:div w:id="4992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36085">
      <w:bodyDiv w:val="1"/>
      <w:marLeft w:val="0"/>
      <w:marRight w:val="0"/>
      <w:marTop w:val="0"/>
      <w:marBottom w:val="0"/>
      <w:divBdr>
        <w:top w:val="none" w:sz="0" w:space="0" w:color="auto"/>
        <w:left w:val="none" w:sz="0" w:space="0" w:color="auto"/>
        <w:bottom w:val="none" w:sz="0" w:space="0" w:color="auto"/>
        <w:right w:val="none" w:sz="0" w:space="0" w:color="auto"/>
      </w:divBdr>
      <w:divsChild>
        <w:div w:id="1558785016">
          <w:marLeft w:val="0"/>
          <w:marRight w:val="0"/>
          <w:marTop w:val="0"/>
          <w:marBottom w:val="0"/>
          <w:divBdr>
            <w:top w:val="none" w:sz="0" w:space="0" w:color="auto"/>
            <w:left w:val="none" w:sz="0" w:space="0" w:color="auto"/>
            <w:bottom w:val="none" w:sz="0" w:space="0" w:color="auto"/>
            <w:right w:val="none" w:sz="0" w:space="0" w:color="auto"/>
          </w:divBdr>
          <w:divsChild>
            <w:div w:id="2864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2738">
      <w:bodyDiv w:val="1"/>
      <w:marLeft w:val="0"/>
      <w:marRight w:val="0"/>
      <w:marTop w:val="0"/>
      <w:marBottom w:val="0"/>
      <w:divBdr>
        <w:top w:val="none" w:sz="0" w:space="0" w:color="auto"/>
        <w:left w:val="none" w:sz="0" w:space="0" w:color="auto"/>
        <w:bottom w:val="none" w:sz="0" w:space="0" w:color="auto"/>
        <w:right w:val="none" w:sz="0" w:space="0" w:color="auto"/>
      </w:divBdr>
      <w:divsChild>
        <w:div w:id="237599575">
          <w:marLeft w:val="0"/>
          <w:marRight w:val="0"/>
          <w:marTop w:val="0"/>
          <w:marBottom w:val="0"/>
          <w:divBdr>
            <w:top w:val="none" w:sz="0" w:space="0" w:color="auto"/>
            <w:left w:val="none" w:sz="0" w:space="0" w:color="auto"/>
            <w:bottom w:val="none" w:sz="0" w:space="0" w:color="auto"/>
            <w:right w:val="none" w:sz="0" w:space="0" w:color="auto"/>
          </w:divBdr>
          <w:divsChild>
            <w:div w:id="1213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37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9695">
          <w:marLeft w:val="0"/>
          <w:marRight w:val="0"/>
          <w:marTop w:val="0"/>
          <w:marBottom w:val="0"/>
          <w:divBdr>
            <w:top w:val="none" w:sz="0" w:space="0" w:color="auto"/>
            <w:left w:val="none" w:sz="0" w:space="0" w:color="auto"/>
            <w:bottom w:val="none" w:sz="0" w:space="0" w:color="auto"/>
            <w:right w:val="none" w:sz="0" w:space="0" w:color="auto"/>
          </w:divBdr>
          <w:divsChild>
            <w:div w:id="2320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467">
      <w:bodyDiv w:val="1"/>
      <w:marLeft w:val="0"/>
      <w:marRight w:val="0"/>
      <w:marTop w:val="0"/>
      <w:marBottom w:val="0"/>
      <w:divBdr>
        <w:top w:val="none" w:sz="0" w:space="0" w:color="auto"/>
        <w:left w:val="none" w:sz="0" w:space="0" w:color="auto"/>
        <w:bottom w:val="none" w:sz="0" w:space="0" w:color="auto"/>
        <w:right w:val="none" w:sz="0" w:space="0" w:color="auto"/>
      </w:divBdr>
      <w:divsChild>
        <w:div w:id="1756706852">
          <w:marLeft w:val="0"/>
          <w:marRight w:val="0"/>
          <w:marTop w:val="0"/>
          <w:marBottom w:val="0"/>
          <w:divBdr>
            <w:top w:val="none" w:sz="0" w:space="0" w:color="auto"/>
            <w:left w:val="none" w:sz="0" w:space="0" w:color="auto"/>
            <w:bottom w:val="none" w:sz="0" w:space="0" w:color="auto"/>
            <w:right w:val="none" w:sz="0" w:space="0" w:color="auto"/>
          </w:divBdr>
        </w:div>
        <w:div w:id="1346521006">
          <w:marLeft w:val="0"/>
          <w:marRight w:val="0"/>
          <w:marTop w:val="0"/>
          <w:marBottom w:val="0"/>
          <w:divBdr>
            <w:top w:val="none" w:sz="0" w:space="0" w:color="auto"/>
            <w:left w:val="none" w:sz="0" w:space="0" w:color="auto"/>
            <w:bottom w:val="none" w:sz="0" w:space="0" w:color="auto"/>
            <w:right w:val="none" w:sz="0" w:space="0" w:color="auto"/>
          </w:divBdr>
        </w:div>
      </w:divsChild>
    </w:div>
    <w:div w:id="1935672596">
      <w:bodyDiv w:val="1"/>
      <w:marLeft w:val="0"/>
      <w:marRight w:val="0"/>
      <w:marTop w:val="0"/>
      <w:marBottom w:val="0"/>
      <w:divBdr>
        <w:top w:val="none" w:sz="0" w:space="0" w:color="auto"/>
        <w:left w:val="none" w:sz="0" w:space="0" w:color="auto"/>
        <w:bottom w:val="none" w:sz="0" w:space="0" w:color="auto"/>
        <w:right w:val="none" w:sz="0" w:space="0" w:color="auto"/>
      </w:divBdr>
      <w:divsChild>
        <w:div w:id="261568345">
          <w:marLeft w:val="0"/>
          <w:marRight w:val="0"/>
          <w:marTop w:val="0"/>
          <w:marBottom w:val="0"/>
          <w:divBdr>
            <w:top w:val="none" w:sz="0" w:space="0" w:color="auto"/>
            <w:left w:val="none" w:sz="0" w:space="0" w:color="auto"/>
            <w:bottom w:val="none" w:sz="0" w:space="0" w:color="auto"/>
            <w:right w:val="none" w:sz="0" w:space="0" w:color="auto"/>
          </w:divBdr>
          <w:divsChild>
            <w:div w:id="10792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6094">
      <w:bodyDiv w:val="1"/>
      <w:marLeft w:val="0"/>
      <w:marRight w:val="0"/>
      <w:marTop w:val="0"/>
      <w:marBottom w:val="0"/>
      <w:divBdr>
        <w:top w:val="none" w:sz="0" w:space="0" w:color="auto"/>
        <w:left w:val="none" w:sz="0" w:space="0" w:color="auto"/>
        <w:bottom w:val="none" w:sz="0" w:space="0" w:color="auto"/>
        <w:right w:val="none" w:sz="0" w:space="0" w:color="auto"/>
      </w:divBdr>
      <w:divsChild>
        <w:div w:id="190998755">
          <w:marLeft w:val="0"/>
          <w:marRight w:val="0"/>
          <w:marTop w:val="0"/>
          <w:marBottom w:val="0"/>
          <w:divBdr>
            <w:top w:val="none" w:sz="0" w:space="0" w:color="auto"/>
            <w:left w:val="none" w:sz="0" w:space="0" w:color="auto"/>
            <w:bottom w:val="none" w:sz="0" w:space="0" w:color="auto"/>
            <w:right w:val="none" w:sz="0" w:space="0" w:color="auto"/>
          </w:divBdr>
          <w:divsChild>
            <w:div w:id="8011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0583">
      <w:bodyDiv w:val="1"/>
      <w:marLeft w:val="0"/>
      <w:marRight w:val="0"/>
      <w:marTop w:val="0"/>
      <w:marBottom w:val="0"/>
      <w:divBdr>
        <w:top w:val="none" w:sz="0" w:space="0" w:color="auto"/>
        <w:left w:val="none" w:sz="0" w:space="0" w:color="auto"/>
        <w:bottom w:val="none" w:sz="0" w:space="0" w:color="auto"/>
        <w:right w:val="none" w:sz="0" w:space="0" w:color="auto"/>
      </w:divBdr>
      <w:divsChild>
        <w:div w:id="1726181337">
          <w:marLeft w:val="0"/>
          <w:marRight w:val="0"/>
          <w:marTop w:val="0"/>
          <w:marBottom w:val="0"/>
          <w:divBdr>
            <w:top w:val="none" w:sz="0" w:space="0" w:color="auto"/>
            <w:left w:val="none" w:sz="0" w:space="0" w:color="auto"/>
            <w:bottom w:val="none" w:sz="0" w:space="0" w:color="auto"/>
            <w:right w:val="none" w:sz="0" w:space="0" w:color="auto"/>
          </w:divBdr>
          <w:divsChild>
            <w:div w:id="179825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6626">
      <w:bodyDiv w:val="1"/>
      <w:marLeft w:val="0"/>
      <w:marRight w:val="0"/>
      <w:marTop w:val="0"/>
      <w:marBottom w:val="0"/>
      <w:divBdr>
        <w:top w:val="none" w:sz="0" w:space="0" w:color="auto"/>
        <w:left w:val="none" w:sz="0" w:space="0" w:color="auto"/>
        <w:bottom w:val="none" w:sz="0" w:space="0" w:color="auto"/>
        <w:right w:val="none" w:sz="0" w:space="0" w:color="auto"/>
      </w:divBdr>
      <w:divsChild>
        <w:div w:id="828398131">
          <w:marLeft w:val="0"/>
          <w:marRight w:val="0"/>
          <w:marTop w:val="0"/>
          <w:marBottom w:val="0"/>
          <w:divBdr>
            <w:top w:val="none" w:sz="0" w:space="0" w:color="auto"/>
            <w:left w:val="none" w:sz="0" w:space="0" w:color="auto"/>
            <w:bottom w:val="none" w:sz="0" w:space="0" w:color="auto"/>
            <w:right w:val="none" w:sz="0" w:space="0" w:color="auto"/>
          </w:divBdr>
          <w:divsChild>
            <w:div w:id="154914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48779">
      <w:bodyDiv w:val="1"/>
      <w:marLeft w:val="0"/>
      <w:marRight w:val="0"/>
      <w:marTop w:val="0"/>
      <w:marBottom w:val="0"/>
      <w:divBdr>
        <w:top w:val="none" w:sz="0" w:space="0" w:color="auto"/>
        <w:left w:val="none" w:sz="0" w:space="0" w:color="auto"/>
        <w:bottom w:val="none" w:sz="0" w:space="0" w:color="auto"/>
        <w:right w:val="none" w:sz="0" w:space="0" w:color="auto"/>
      </w:divBdr>
      <w:divsChild>
        <w:div w:id="1654916426">
          <w:marLeft w:val="0"/>
          <w:marRight w:val="0"/>
          <w:marTop w:val="0"/>
          <w:marBottom w:val="0"/>
          <w:divBdr>
            <w:top w:val="none" w:sz="0" w:space="0" w:color="auto"/>
            <w:left w:val="none" w:sz="0" w:space="0" w:color="auto"/>
            <w:bottom w:val="none" w:sz="0" w:space="0" w:color="auto"/>
            <w:right w:val="none" w:sz="0" w:space="0" w:color="auto"/>
          </w:divBdr>
          <w:divsChild>
            <w:div w:id="13733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23891">
      <w:bodyDiv w:val="1"/>
      <w:marLeft w:val="0"/>
      <w:marRight w:val="0"/>
      <w:marTop w:val="0"/>
      <w:marBottom w:val="0"/>
      <w:divBdr>
        <w:top w:val="none" w:sz="0" w:space="0" w:color="auto"/>
        <w:left w:val="none" w:sz="0" w:space="0" w:color="auto"/>
        <w:bottom w:val="none" w:sz="0" w:space="0" w:color="auto"/>
        <w:right w:val="none" w:sz="0" w:space="0" w:color="auto"/>
      </w:divBdr>
      <w:divsChild>
        <w:div w:id="1266500908">
          <w:marLeft w:val="0"/>
          <w:marRight w:val="0"/>
          <w:marTop w:val="0"/>
          <w:marBottom w:val="0"/>
          <w:divBdr>
            <w:top w:val="none" w:sz="0" w:space="0" w:color="auto"/>
            <w:left w:val="none" w:sz="0" w:space="0" w:color="auto"/>
            <w:bottom w:val="none" w:sz="0" w:space="0" w:color="auto"/>
            <w:right w:val="none" w:sz="0" w:space="0" w:color="auto"/>
          </w:divBdr>
        </w:div>
        <w:div w:id="1132363077">
          <w:marLeft w:val="0"/>
          <w:marRight w:val="0"/>
          <w:marTop w:val="0"/>
          <w:marBottom w:val="0"/>
          <w:divBdr>
            <w:top w:val="none" w:sz="0" w:space="0" w:color="auto"/>
            <w:left w:val="none" w:sz="0" w:space="0" w:color="auto"/>
            <w:bottom w:val="none" w:sz="0" w:space="0" w:color="auto"/>
            <w:right w:val="none" w:sz="0" w:space="0" w:color="auto"/>
          </w:divBdr>
        </w:div>
        <w:div w:id="484051288">
          <w:marLeft w:val="0"/>
          <w:marRight w:val="0"/>
          <w:marTop w:val="0"/>
          <w:marBottom w:val="0"/>
          <w:divBdr>
            <w:top w:val="none" w:sz="0" w:space="0" w:color="auto"/>
            <w:left w:val="none" w:sz="0" w:space="0" w:color="auto"/>
            <w:bottom w:val="none" w:sz="0" w:space="0" w:color="auto"/>
            <w:right w:val="none" w:sz="0" w:space="0" w:color="auto"/>
          </w:divBdr>
          <w:divsChild>
            <w:div w:id="15521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s.gov.ua/dovidniki--reestri--perelik/reestri/191577.html" TargetMode="External"/><Relationship Id="rId3" Type="http://schemas.openxmlformats.org/officeDocument/2006/relationships/settings" Target="settings.xml"/><Relationship Id="rId7" Type="http://schemas.openxmlformats.org/officeDocument/2006/relationships/hyperlink" Target="http://sfs.gov.ua/nove-pro-podatki--novini-/37759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minfin.gov.ua/news/view/nakazy-ministerstva-finansiv-ukrainy--?category=aspekti-roboti&amp;subcategory=zakonodavstvo" TargetMode="External"/><Relationship Id="rId11" Type="http://schemas.openxmlformats.org/officeDocument/2006/relationships/fontTable" Target="fontTable.xml"/><Relationship Id="rId5" Type="http://schemas.openxmlformats.org/officeDocument/2006/relationships/hyperlink" Target="https://www.minfin.gov.ua/news/view/nakazy-ministerstva-finansiv-ukrainy--?category=organi-v-kompetencii-mfu" TargetMode="External"/><Relationship Id="rId10" Type="http://schemas.openxmlformats.org/officeDocument/2006/relationships/hyperlink" Target="http://sfs.gov.ua/data/material/000/292/378235/img/5cdab325de108.jpg" TargetMode="External"/><Relationship Id="rId4" Type="http://schemas.openxmlformats.org/officeDocument/2006/relationships/webSettings" Target="webSettings.xml"/><Relationship Id="rId9" Type="http://schemas.openxmlformats.org/officeDocument/2006/relationships/hyperlink" Target="http://sfs.gov.ua/zakonodavstvo/ediniy-vnesok-na-zagalnoobovyazkove-/-nakazi/7337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A79DE-0A8D-475C-9795-44A42F9C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7707</Words>
  <Characters>43931</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4</cp:revision>
  <dcterms:created xsi:type="dcterms:W3CDTF">2019-05-17T13:24:00Z</dcterms:created>
  <dcterms:modified xsi:type="dcterms:W3CDTF">2019-05-17T13:32:00Z</dcterms:modified>
</cp:coreProperties>
</file>