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580" w:rsidRPr="00893CD4" w:rsidRDefault="001A7580" w:rsidP="001A7580">
      <w:pPr>
        <w:jc w:val="left"/>
        <w:outlineLvl w:val="0"/>
        <w:rPr>
          <w:rFonts w:ascii="Times New Roman" w:eastAsia="Times New Roman" w:hAnsi="Times New Roman" w:cs="Times New Roman"/>
          <w:b/>
          <w:bCs/>
          <w:kern w:val="36"/>
          <w:sz w:val="20"/>
          <w:szCs w:val="20"/>
          <w:lang w:val="uk-UA" w:eastAsia="ru-RU"/>
        </w:rPr>
      </w:pPr>
      <w:r w:rsidRPr="00893CD4">
        <w:rPr>
          <w:rFonts w:ascii="Times New Roman" w:eastAsia="Times New Roman" w:hAnsi="Times New Roman" w:cs="Times New Roman"/>
          <w:b/>
          <w:bCs/>
          <w:kern w:val="36"/>
          <w:sz w:val="20"/>
          <w:szCs w:val="20"/>
          <w:lang w:val="uk-UA" w:eastAsia="ru-RU"/>
        </w:rPr>
        <w:t xml:space="preserve">Послідовність дій суб’єкта господарювання для реєстрації ПРРО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Нагадуємо, що суб’єкту господарювання, який має намір зареєструвати програмний реєстратор розрахункових операцій (далі – ПРРО), необхідно перебувати на обліку в контролюючому органі.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Також на обліку має перебувати його господарська одиниця, де буде використовуватись ПРРО, про яку суб’єкт господарювання повідомляє контролюючий орган відповідно до вимог п. 63.3 ст. 63 Податкового кодексу України.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Реєстрація ПРРО здійснюється на підставі Заяви про реєстрацію програмного реєстратора розрахункових операцій за формою № 1-ПРРО </w:t>
      </w:r>
      <w:r w:rsidRPr="00893CD4">
        <w:rPr>
          <w:rFonts w:ascii="Times New Roman" w:eastAsia="Times New Roman" w:hAnsi="Times New Roman" w:cs="Times New Roman"/>
          <w:b/>
          <w:bCs/>
          <w:i/>
          <w:iCs/>
          <w:sz w:val="20"/>
          <w:szCs w:val="20"/>
          <w:lang w:val="uk-UA" w:eastAsia="ru-RU"/>
        </w:rPr>
        <w:t>(J/F 1316602)</w:t>
      </w:r>
      <w:r w:rsidRPr="00893CD4">
        <w:rPr>
          <w:rFonts w:ascii="Times New Roman" w:eastAsia="Times New Roman" w:hAnsi="Times New Roman" w:cs="Times New Roman"/>
          <w:sz w:val="20"/>
          <w:szCs w:val="20"/>
          <w:lang w:val="uk-UA" w:eastAsia="ru-RU"/>
        </w:rPr>
        <w:t xml:space="preserve">, що подається у електронній формі через Електронний кабінет (портальне рішення для користувачів або програмного інтерфейсу (АРІ)) або засобами </w:t>
      </w:r>
      <w:proofErr w:type="spellStart"/>
      <w:r w:rsidRPr="00893CD4">
        <w:rPr>
          <w:rFonts w:ascii="Times New Roman" w:eastAsia="Times New Roman" w:hAnsi="Times New Roman" w:cs="Times New Roman"/>
          <w:sz w:val="20"/>
          <w:szCs w:val="20"/>
          <w:lang w:val="uk-UA" w:eastAsia="ru-RU"/>
        </w:rPr>
        <w:t>телекомунікацій</w:t>
      </w:r>
      <w:proofErr w:type="spellEnd"/>
      <w:r w:rsidRPr="00893CD4">
        <w:rPr>
          <w:rFonts w:ascii="Times New Roman" w:eastAsia="Times New Roman" w:hAnsi="Times New Roman" w:cs="Times New Roman"/>
          <w:sz w:val="20"/>
          <w:szCs w:val="20"/>
          <w:lang w:val="uk-UA" w:eastAsia="ru-RU"/>
        </w:rPr>
        <w:t xml:space="preserve">.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Після включення ПРРО до Реєстру програмних реєстраторів розрахункових операцій такий ПРРО може використовуватись суб’єктом господарювання.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Про сертифікати електронних підписів та/або печаток, що будуть використовуватись для ПРРО, суб’єкт господарювання повідомляє згідно з Порядком обміну електронними документами з контролюючими органами, затвердженим наказом Міністерства фінансів України від 06.06.2017 № 557 із змінами. </w:t>
      </w:r>
    </w:p>
    <w:p w:rsidR="001A7580" w:rsidRDefault="001A7580" w:rsidP="00FD60CE">
      <w:pPr>
        <w:jc w:val="left"/>
        <w:outlineLvl w:val="0"/>
        <w:rPr>
          <w:rFonts w:ascii="Times New Roman" w:eastAsia="Times New Roman" w:hAnsi="Times New Roman" w:cs="Times New Roman"/>
          <w:b/>
          <w:bCs/>
          <w:kern w:val="36"/>
          <w:sz w:val="20"/>
          <w:szCs w:val="20"/>
          <w:lang w:val="uk-UA" w:eastAsia="ru-RU"/>
        </w:rPr>
      </w:pPr>
    </w:p>
    <w:p w:rsidR="001A7580" w:rsidRPr="00893CD4" w:rsidRDefault="001A7580" w:rsidP="001A7580">
      <w:pPr>
        <w:jc w:val="left"/>
        <w:outlineLvl w:val="0"/>
        <w:rPr>
          <w:rFonts w:ascii="Times New Roman" w:eastAsia="Times New Roman" w:hAnsi="Times New Roman" w:cs="Times New Roman"/>
          <w:b/>
          <w:bCs/>
          <w:kern w:val="36"/>
          <w:sz w:val="20"/>
          <w:szCs w:val="20"/>
          <w:lang w:val="uk-UA" w:eastAsia="ru-RU"/>
        </w:rPr>
      </w:pPr>
      <w:r w:rsidRPr="00893CD4">
        <w:rPr>
          <w:rFonts w:ascii="Times New Roman" w:eastAsia="Times New Roman" w:hAnsi="Times New Roman" w:cs="Times New Roman"/>
          <w:b/>
          <w:bCs/>
          <w:kern w:val="36"/>
          <w:sz w:val="20"/>
          <w:szCs w:val="20"/>
          <w:lang w:val="uk-UA" w:eastAsia="ru-RU"/>
        </w:rPr>
        <w:t xml:space="preserve">Яка нерухомість відноситься до об’єктів нежитлової нерухомості?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Інформуємо, що об’єкти нежитлової нерухомості – це будівлі, приміщення, які не віднесені відповідно до законодавства до житлового фонду.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У нежитловій нерухомості виділяють: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а) </w:t>
      </w:r>
      <w:r w:rsidRPr="00893CD4">
        <w:rPr>
          <w:rFonts w:ascii="Times New Roman" w:eastAsia="Times New Roman" w:hAnsi="Times New Roman" w:cs="Times New Roman"/>
          <w:b/>
          <w:bCs/>
          <w:i/>
          <w:iCs/>
          <w:sz w:val="20"/>
          <w:szCs w:val="20"/>
          <w:lang w:val="uk-UA" w:eastAsia="ru-RU"/>
        </w:rPr>
        <w:t>будівлі готельні</w:t>
      </w:r>
      <w:r w:rsidRPr="00893CD4">
        <w:rPr>
          <w:rFonts w:ascii="Times New Roman" w:eastAsia="Times New Roman" w:hAnsi="Times New Roman" w:cs="Times New Roman"/>
          <w:sz w:val="20"/>
          <w:szCs w:val="20"/>
          <w:lang w:val="uk-UA" w:eastAsia="ru-RU"/>
        </w:rPr>
        <w:t xml:space="preserve"> – готелі, мотелі, кемпінги, пансіонати, ресторани та бари, туристичні бази, гірські притулки, табори для відпочинку, будинки відпочинку;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б) </w:t>
      </w:r>
      <w:r w:rsidRPr="00893CD4">
        <w:rPr>
          <w:rFonts w:ascii="Times New Roman" w:eastAsia="Times New Roman" w:hAnsi="Times New Roman" w:cs="Times New Roman"/>
          <w:b/>
          <w:bCs/>
          <w:i/>
          <w:iCs/>
          <w:sz w:val="20"/>
          <w:szCs w:val="20"/>
          <w:lang w:val="uk-UA" w:eastAsia="ru-RU"/>
        </w:rPr>
        <w:t>будівлі офісні</w:t>
      </w:r>
      <w:r w:rsidRPr="00893CD4">
        <w:rPr>
          <w:rFonts w:ascii="Times New Roman" w:eastAsia="Times New Roman" w:hAnsi="Times New Roman" w:cs="Times New Roman"/>
          <w:sz w:val="20"/>
          <w:szCs w:val="20"/>
          <w:lang w:val="uk-UA" w:eastAsia="ru-RU"/>
        </w:rPr>
        <w:t xml:space="preserve"> – будівлі фінансового обслуговування, адміністративно-побутові будівлі, будівлі для конторських та адміністративних цілей;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в) </w:t>
      </w:r>
      <w:r w:rsidRPr="00893CD4">
        <w:rPr>
          <w:rFonts w:ascii="Times New Roman" w:eastAsia="Times New Roman" w:hAnsi="Times New Roman" w:cs="Times New Roman"/>
          <w:b/>
          <w:bCs/>
          <w:i/>
          <w:iCs/>
          <w:sz w:val="20"/>
          <w:szCs w:val="20"/>
          <w:lang w:val="uk-UA" w:eastAsia="ru-RU"/>
        </w:rPr>
        <w:t>будівлі торговельні</w:t>
      </w:r>
      <w:r w:rsidRPr="00893CD4">
        <w:rPr>
          <w:rFonts w:ascii="Times New Roman" w:eastAsia="Times New Roman" w:hAnsi="Times New Roman" w:cs="Times New Roman"/>
          <w:sz w:val="20"/>
          <w:szCs w:val="20"/>
          <w:lang w:val="uk-UA" w:eastAsia="ru-RU"/>
        </w:rPr>
        <w:t xml:space="preserve"> – торгові центри, універмаги, магазини, криті ринки, павільйони та зали для ярмарків, станції технічного обслуговування автомобілів, їдальні, кафе, закусочні, бази та склади підприємств торгівлі й громадського харчування, будівлі підприємств побутового обслуговування;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г) </w:t>
      </w:r>
      <w:r w:rsidRPr="00893CD4">
        <w:rPr>
          <w:rFonts w:ascii="Times New Roman" w:eastAsia="Times New Roman" w:hAnsi="Times New Roman" w:cs="Times New Roman"/>
          <w:b/>
          <w:bCs/>
          <w:i/>
          <w:iCs/>
          <w:sz w:val="20"/>
          <w:szCs w:val="20"/>
          <w:lang w:val="uk-UA" w:eastAsia="ru-RU"/>
        </w:rPr>
        <w:t>гаражі</w:t>
      </w:r>
      <w:r w:rsidRPr="00893CD4">
        <w:rPr>
          <w:rFonts w:ascii="Times New Roman" w:eastAsia="Times New Roman" w:hAnsi="Times New Roman" w:cs="Times New Roman"/>
          <w:sz w:val="20"/>
          <w:szCs w:val="20"/>
          <w:lang w:val="uk-UA" w:eastAsia="ru-RU"/>
        </w:rPr>
        <w:t xml:space="preserve"> – гаражі (наземні й підземні) та криті автомобільні стоянки;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ґ) </w:t>
      </w:r>
      <w:r w:rsidRPr="00893CD4">
        <w:rPr>
          <w:rFonts w:ascii="Times New Roman" w:eastAsia="Times New Roman" w:hAnsi="Times New Roman" w:cs="Times New Roman"/>
          <w:b/>
          <w:bCs/>
          <w:i/>
          <w:iCs/>
          <w:sz w:val="20"/>
          <w:szCs w:val="20"/>
          <w:lang w:val="uk-UA" w:eastAsia="ru-RU"/>
        </w:rPr>
        <w:t>будівлі промислові та склади</w:t>
      </w:r>
      <w:r w:rsidRPr="00893CD4">
        <w:rPr>
          <w:rFonts w:ascii="Times New Roman" w:eastAsia="Times New Roman" w:hAnsi="Times New Roman" w:cs="Times New Roman"/>
          <w:sz w:val="20"/>
          <w:szCs w:val="20"/>
          <w:lang w:val="uk-UA" w:eastAsia="ru-RU"/>
        </w:rPr>
        <w:t xml:space="preserve">;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д) </w:t>
      </w:r>
      <w:r w:rsidRPr="00893CD4">
        <w:rPr>
          <w:rFonts w:ascii="Times New Roman" w:eastAsia="Times New Roman" w:hAnsi="Times New Roman" w:cs="Times New Roman"/>
          <w:b/>
          <w:bCs/>
          <w:i/>
          <w:iCs/>
          <w:sz w:val="20"/>
          <w:szCs w:val="20"/>
          <w:lang w:val="uk-UA" w:eastAsia="ru-RU"/>
        </w:rPr>
        <w:t>будівлі для публічних виступів</w:t>
      </w:r>
      <w:r w:rsidRPr="00893CD4">
        <w:rPr>
          <w:rFonts w:ascii="Times New Roman" w:eastAsia="Times New Roman" w:hAnsi="Times New Roman" w:cs="Times New Roman"/>
          <w:sz w:val="20"/>
          <w:szCs w:val="20"/>
          <w:lang w:val="uk-UA" w:eastAsia="ru-RU"/>
        </w:rPr>
        <w:t xml:space="preserve"> (казино, ігорні будинки);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е) </w:t>
      </w:r>
      <w:r w:rsidRPr="00893CD4">
        <w:rPr>
          <w:rFonts w:ascii="Times New Roman" w:eastAsia="Times New Roman" w:hAnsi="Times New Roman" w:cs="Times New Roman"/>
          <w:b/>
          <w:bCs/>
          <w:i/>
          <w:iCs/>
          <w:sz w:val="20"/>
          <w:szCs w:val="20"/>
          <w:lang w:val="uk-UA" w:eastAsia="ru-RU"/>
        </w:rPr>
        <w:t>господарські (присадибні) будівлі</w:t>
      </w:r>
      <w:r w:rsidRPr="00893CD4">
        <w:rPr>
          <w:rFonts w:ascii="Times New Roman" w:eastAsia="Times New Roman" w:hAnsi="Times New Roman" w:cs="Times New Roman"/>
          <w:sz w:val="20"/>
          <w:szCs w:val="20"/>
          <w:lang w:val="uk-UA" w:eastAsia="ru-RU"/>
        </w:rPr>
        <w:t xml:space="preserve">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підстанції тощо;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є) </w:t>
      </w:r>
      <w:r w:rsidRPr="00893CD4">
        <w:rPr>
          <w:rFonts w:ascii="Times New Roman" w:eastAsia="Times New Roman" w:hAnsi="Times New Roman" w:cs="Times New Roman"/>
          <w:b/>
          <w:bCs/>
          <w:i/>
          <w:iCs/>
          <w:sz w:val="20"/>
          <w:szCs w:val="20"/>
          <w:lang w:val="uk-UA" w:eastAsia="ru-RU"/>
        </w:rPr>
        <w:t>інші будівлі</w:t>
      </w:r>
      <w:r w:rsidRPr="00893CD4">
        <w:rPr>
          <w:rFonts w:ascii="Times New Roman" w:eastAsia="Times New Roman" w:hAnsi="Times New Roman" w:cs="Times New Roman"/>
          <w:sz w:val="20"/>
          <w:szCs w:val="20"/>
          <w:lang w:val="uk-UA" w:eastAsia="ru-RU"/>
        </w:rPr>
        <w:t xml:space="preserve">. </w:t>
      </w:r>
    </w:p>
    <w:p w:rsidR="001A7580" w:rsidRPr="00893CD4" w:rsidRDefault="001A7580" w:rsidP="001A7580">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Норми встановлені </w:t>
      </w:r>
      <w:proofErr w:type="spellStart"/>
      <w:r w:rsidRPr="00893CD4">
        <w:rPr>
          <w:rFonts w:ascii="Times New Roman" w:eastAsia="Times New Roman" w:hAnsi="Times New Roman" w:cs="Times New Roman"/>
          <w:sz w:val="20"/>
          <w:szCs w:val="20"/>
          <w:lang w:val="uk-UA" w:eastAsia="ru-RU"/>
        </w:rPr>
        <w:t>п.п</w:t>
      </w:r>
      <w:proofErr w:type="spellEnd"/>
      <w:r w:rsidRPr="00893CD4">
        <w:rPr>
          <w:rFonts w:ascii="Times New Roman" w:eastAsia="Times New Roman" w:hAnsi="Times New Roman" w:cs="Times New Roman"/>
          <w:sz w:val="20"/>
          <w:szCs w:val="20"/>
          <w:lang w:val="uk-UA" w:eastAsia="ru-RU"/>
        </w:rPr>
        <w:t>. 14.1.129</w:t>
      </w:r>
      <w:r w:rsidRPr="00893CD4">
        <w:rPr>
          <w:rFonts w:ascii="Times New Roman" w:eastAsia="Times New Roman" w:hAnsi="Times New Roman" w:cs="Times New Roman"/>
          <w:sz w:val="20"/>
          <w:szCs w:val="20"/>
          <w:vertAlign w:val="superscript"/>
          <w:lang w:val="uk-UA" w:eastAsia="ru-RU"/>
        </w:rPr>
        <w:t>1</w:t>
      </w:r>
      <w:r w:rsidRPr="00893CD4">
        <w:rPr>
          <w:rFonts w:ascii="Times New Roman" w:eastAsia="Times New Roman" w:hAnsi="Times New Roman" w:cs="Times New Roman"/>
          <w:sz w:val="20"/>
          <w:szCs w:val="20"/>
          <w:lang w:val="uk-UA" w:eastAsia="ru-RU"/>
        </w:rPr>
        <w:t xml:space="preserve"> п. 14.1 ст. 14 Податкового кодексу України. </w:t>
      </w:r>
    </w:p>
    <w:p w:rsidR="001A7580" w:rsidRDefault="001A7580" w:rsidP="00FD60CE">
      <w:pPr>
        <w:jc w:val="left"/>
        <w:outlineLvl w:val="0"/>
        <w:rPr>
          <w:rFonts w:ascii="Times New Roman" w:eastAsia="Times New Roman" w:hAnsi="Times New Roman" w:cs="Times New Roman"/>
          <w:b/>
          <w:bCs/>
          <w:kern w:val="36"/>
          <w:sz w:val="20"/>
          <w:szCs w:val="20"/>
          <w:lang w:val="uk-UA" w:eastAsia="ru-RU"/>
        </w:rPr>
      </w:pPr>
    </w:p>
    <w:p w:rsidR="00521254" w:rsidRPr="00893CD4" w:rsidRDefault="00521254" w:rsidP="00FD60CE">
      <w:pPr>
        <w:jc w:val="left"/>
        <w:outlineLvl w:val="0"/>
        <w:rPr>
          <w:rFonts w:ascii="Times New Roman" w:eastAsia="Times New Roman" w:hAnsi="Times New Roman" w:cs="Times New Roman"/>
          <w:b/>
          <w:bCs/>
          <w:kern w:val="36"/>
          <w:sz w:val="20"/>
          <w:szCs w:val="20"/>
          <w:lang w:val="uk-UA" w:eastAsia="ru-RU"/>
        </w:rPr>
      </w:pPr>
      <w:proofErr w:type="spellStart"/>
      <w:r w:rsidRPr="00893CD4">
        <w:rPr>
          <w:rFonts w:ascii="Times New Roman" w:eastAsia="Times New Roman" w:hAnsi="Times New Roman" w:cs="Times New Roman"/>
          <w:b/>
          <w:bCs/>
          <w:kern w:val="36"/>
          <w:sz w:val="20"/>
          <w:szCs w:val="20"/>
          <w:lang w:val="uk-UA" w:eastAsia="ru-RU"/>
        </w:rPr>
        <w:t>ФОП</w:t>
      </w:r>
      <w:proofErr w:type="spellEnd"/>
      <w:r w:rsidRPr="00893CD4">
        <w:rPr>
          <w:rFonts w:ascii="Times New Roman" w:eastAsia="Times New Roman" w:hAnsi="Times New Roman" w:cs="Times New Roman"/>
          <w:b/>
          <w:bCs/>
          <w:kern w:val="36"/>
          <w:sz w:val="20"/>
          <w:szCs w:val="20"/>
          <w:lang w:val="uk-UA" w:eastAsia="ru-RU"/>
        </w:rPr>
        <w:t xml:space="preserve">, яка здійснює роздрібний продаж товарів в магазині, що розташований на території ринку, не може бути платником єдиного податку першої групи </w:t>
      </w:r>
    </w:p>
    <w:p w:rsidR="00521254" w:rsidRPr="00893CD4"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П</w:t>
      </w:r>
      <w:r w:rsidR="00521254" w:rsidRPr="00893CD4">
        <w:rPr>
          <w:rFonts w:ascii="Times New Roman" w:eastAsia="Times New Roman" w:hAnsi="Times New Roman" w:cs="Times New Roman"/>
          <w:sz w:val="20"/>
          <w:szCs w:val="20"/>
          <w:lang w:val="uk-UA" w:eastAsia="ru-RU"/>
        </w:rPr>
        <w:t>овідомляє</w:t>
      </w:r>
      <w:r w:rsidRPr="00893CD4">
        <w:rPr>
          <w:rFonts w:ascii="Times New Roman" w:eastAsia="Times New Roman" w:hAnsi="Times New Roman" w:cs="Times New Roman"/>
          <w:sz w:val="20"/>
          <w:szCs w:val="20"/>
          <w:lang w:val="uk-UA" w:eastAsia="ru-RU"/>
        </w:rPr>
        <w:t>мо</w:t>
      </w:r>
      <w:r w:rsidR="00521254" w:rsidRPr="00893CD4">
        <w:rPr>
          <w:rFonts w:ascii="Times New Roman" w:eastAsia="Times New Roman" w:hAnsi="Times New Roman" w:cs="Times New Roman"/>
          <w:sz w:val="20"/>
          <w:szCs w:val="20"/>
          <w:lang w:val="uk-UA" w:eastAsia="ru-RU"/>
        </w:rPr>
        <w:t xml:space="preserve">, що до першої групи платників єдиного податку відносяться фізичні особи – підприємці (далі – </w:t>
      </w:r>
      <w:proofErr w:type="spellStart"/>
      <w:r w:rsidR="00521254" w:rsidRPr="00893CD4">
        <w:rPr>
          <w:rFonts w:ascii="Times New Roman" w:eastAsia="Times New Roman" w:hAnsi="Times New Roman" w:cs="Times New Roman"/>
          <w:sz w:val="20"/>
          <w:szCs w:val="20"/>
          <w:lang w:val="uk-UA" w:eastAsia="ru-RU"/>
        </w:rPr>
        <w:t>ФОП</w:t>
      </w:r>
      <w:proofErr w:type="spellEnd"/>
      <w:r w:rsidR="00521254" w:rsidRPr="00893CD4">
        <w:rPr>
          <w:rFonts w:ascii="Times New Roman" w:eastAsia="Times New Roman" w:hAnsi="Times New Roman" w:cs="Times New Roman"/>
          <w:sz w:val="20"/>
          <w:szCs w:val="20"/>
          <w:lang w:val="uk-UA" w:eastAsia="ru-RU"/>
        </w:rPr>
        <w:t xml:space="preserve">),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1000 000 гривень.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Норми встановлені п. 291.4 ст. 291 Податкового кодексу України (далі – ПКУ).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Згідно з п. 1.8 Інструкції щодо заповнення форми державного статистичного спостереження № 12-торг «Про наявність і використання торгової мережі на ринках та реалізацію сільськогосподарської продукції на них», затвердженої наказом Державного комітету статистики України від 26.07.2005 № 209 зі змінами та доповненнями, торгове місце – це площа, відведена для розміщення необхідного для торгівлі інвентарю (</w:t>
      </w:r>
      <w:proofErr w:type="spellStart"/>
      <w:r w:rsidRPr="00893CD4">
        <w:rPr>
          <w:rFonts w:ascii="Times New Roman" w:eastAsia="Times New Roman" w:hAnsi="Times New Roman" w:cs="Times New Roman"/>
          <w:sz w:val="20"/>
          <w:szCs w:val="20"/>
          <w:lang w:val="uk-UA" w:eastAsia="ru-RU"/>
        </w:rPr>
        <w:t>вагів</w:t>
      </w:r>
      <w:proofErr w:type="spellEnd"/>
      <w:r w:rsidRPr="00893CD4">
        <w:rPr>
          <w:rFonts w:ascii="Times New Roman" w:eastAsia="Times New Roman" w:hAnsi="Times New Roman" w:cs="Times New Roman"/>
          <w:sz w:val="20"/>
          <w:szCs w:val="20"/>
          <w:lang w:val="uk-UA" w:eastAsia="ru-RU"/>
        </w:rPr>
        <w:t xml:space="preserve">, лотків тощо) та здійснення продажу продукції з прилавків (столів), транспортних засобів, причепів, візків (у тому числі ручних), у контейнерах, кіосках, палатках тощо.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До торгових місць на ринках не належать магазини та об’єкти ресторанного господарства.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Отже, </w:t>
      </w:r>
      <w:proofErr w:type="spellStart"/>
      <w:r w:rsidRPr="00893CD4">
        <w:rPr>
          <w:rFonts w:ascii="Times New Roman" w:eastAsia="Times New Roman" w:hAnsi="Times New Roman" w:cs="Times New Roman"/>
          <w:sz w:val="20"/>
          <w:szCs w:val="20"/>
          <w:lang w:val="uk-UA" w:eastAsia="ru-RU"/>
        </w:rPr>
        <w:t>ФОП</w:t>
      </w:r>
      <w:proofErr w:type="spellEnd"/>
      <w:r w:rsidRPr="00893CD4">
        <w:rPr>
          <w:rFonts w:ascii="Times New Roman" w:eastAsia="Times New Roman" w:hAnsi="Times New Roman" w:cs="Times New Roman"/>
          <w:sz w:val="20"/>
          <w:szCs w:val="20"/>
          <w:lang w:val="uk-UA" w:eastAsia="ru-RU"/>
        </w:rPr>
        <w:t xml:space="preserve">, яка здійснює роздрібний продаж товарів в магазині, що розташований на території ринку, не може бути платником єдиного податку першої групи. </w:t>
      </w:r>
    </w:p>
    <w:p w:rsidR="00FD60CE" w:rsidRPr="00893CD4" w:rsidRDefault="00FD60CE" w:rsidP="00FD60CE">
      <w:pPr>
        <w:rPr>
          <w:rFonts w:ascii="Times New Roman" w:eastAsia="Times New Roman" w:hAnsi="Times New Roman" w:cs="Times New Roman"/>
          <w:sz w:val="20"/>
          <w:szCs w:val="20"/>
          <w:lang w:val="uk-UA" w:eastAsia="ru-RU"/>
        </w:rPr>
      </w:pPr>
    </w:p>
    <w:p w:rsidR="00521254" w:rsidRPr="00893CD4" w:rsidRDefault="00521254" w:rsidP="00FD60CE">
      <w:pPr>
        <w:jc w:val="left"/>
        <w:outlineLvl w:val="0"/>
        <w:rPr>
          <w:rFonts w:ascii="Times New Roman" w:eastAsia="Times New Roman" w:hAnsi="Times New Roman" w:cs="Times New Roman"/>
          <w:b/>
          <w:bCs/>
          <w:kern w:val="36"/>
          <w:sz w:val="20"/>
          <w:szCs w:val="20"/>
          <w:lang w:val="uk-UA" w:eastAsia="ru-RU"/>
        </w:rPr>
      </w:pPr>
      <w:r w:rsidRPr="00893CD4">
        <w:rPr>
          <w:rFonts w:ascii="Times New Roman" w:eastAsia="Times New Roman" w:hAnsi="Times New Roman" w:cs="Times New Roman"/>
          <w:b/>
          <w:bCs/>
          <w:kern w:val="36"/>
          <w:sz w:val="20"/>
          <w:szCs w:val="20"/>
          <w:lang w:val="uk-UA" w:eastAsia="ru-RU"/>
        </w:rPr>
        <w:t xml:space="preserve">Умови, за яких звільняються від оподаткування ПДВ операції з першого постачання доступного житла </w:t>
      </w:r>
    </w:p>
    <w:p w:rsidR="00521254" w:rsidRPr="00893CD4"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Доводимо</w:t>
      </w:r>
      <w:r w:rsidR="00521254" w:rsidRPr="00893CD4">
        <w:rPr>
          <w:rFonts w:ascii="Times New Roman" w:eastAsia="Times New Roman" w:hAnsi="Times New Roman" w:cs="Times New Roman"/>
          <w:sz w:val="20"/>
          <w:szCs w:val="20"/>
          <w:lang w:val="uk-UA" w:eastAsia="ru-RU"/>
        </w:rPr>
        <w:t xml:space="preserve"> до відома платників, що операції з першого постачання доступного житла та житла, що будується із залученням державних коштів звільняються від оподаткування ПДВ.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Норми встановлені </w:t>
      </w:r>
      <w:proofErr w:type="spellStart"/>
      <w:r w:rsidRPr="00893CD4">
        <w:rPr>
          <w:rFonts w:ascii="Times New Roman" w:eastAsia="Times New Roman" w:hAnsi="Times New Roman" w:cs="Times New Roman"/>
          <w:sz w:val="20"/>
          <w:szCs w:val="20"/>
          <w:lang w:val="uk-UA" w:eastAsia="ru-RU"/>
        </w:rPr>
        <w:t>п.п</w:t>
      </w:r>
      <w:proofErr w:type="spellEnd"/>
      <w:r w:rsidRPr="00893CD4">
        <w:rPr>
          <w:rFonts w:ascii="Times New Roman" w:eastAsia="Times New Roman" w:hAnsi="Times New Roman" w:cs="Times New Roman"/>
          <w:sz w:val="20"/>
          <w:szCs w:val="20"/>
          <w:lang w:val="uk-UA" w:eastAsia="ru-RU"/>
        </w:rPr>
        <w:t xml:space="preserve">. 197.1.14 п. 197.1 ст. 197 Податкового кодексу України (далі – ПКУ).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Відповідно до п. 1 ст. 4 Закону України від 25 грудня 2008 року № 800-VI «Про запобігання впливу світової фінансової кризи на розвиток будівельної галузі та житлового будівництва» із змінами і доповненнями (далі – Закон № 800), доступне житло – збудовані і ті, що будуються за державної підтримки, житлові будинки (комплекси) та квартири.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Пунктом 7 ст.4 Закону № 800 визначено, що державна підтримка будівництва (придбання) доступного житла здійснюється за рахунок коштів державного та/або місцевих бюджетів.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Кошти, передбачені у державному бюджеті на надання державної підтримки, використовуються з урахуванням оптимізації кількості бюджетних програм шляхом концентрації видатків за єдиним головним розпорядником бюджетних коштів, визначених законом про Державний бюджет України на відповідний рік.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З метою застосування </w:t>
      </w:r>
      <w:proofErr w:type="spellStart"/>
      <w:r w:rsidRPr="00893CD4">
        <w:rPr>
          <w:rFonts w:ascii="Times New Roman" w:eastAsia="Times New Roman" w:hAnsi="Times New Roman" w:cs="Times New Roman"/>
          <w:sz w:val="20"/>
          <w:szCs w:val="20"/>
          <w:lang w:val="uk-UA" w:eastAsia="ru-RU"/>
        </w:rPr>
        <w:t>п.п</w:t>
      </w:r>
      <w:proofErr w:type="spellEnd"/>
      <w:r w:rsidRPr="00893CD4">
        <w:rPr>
          <w:rFonts w:ascii="Times New Roman" w:eastAsia="Times New Roman" w:hAnsi="Times New Roman" w:cs="Times New Roman"/>
          <w:sz w:val="20"/>
          <w:szCs w:val="20"/>
          <w:lang w:val="uk-UA" w:eastAsia="ru-RU"/>
        </w:rPr>
        <w:t xml:space="preserve">. 197.1.14 п. 197.1 ст. 197 ПКУ повинні бути дотримані наступні умови: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операція з постачання доступного житла та житла, що будується із залученням державних коштів повинна здійснюватися вперше. При цьому, операцією з першого постачання зазначеного житла, буде вважатися операція з передачі права власності (оформлення </w:t>
      </w:r>
      <w:proofErr w:type="spellStart"/>
      <w:r w:rsidRPr="00893CD4">
        <w:rPr>
          <w:rFonts w:ascii="Times New Roman" w:eastAsia="Times New Roman" w:hAnsi="Times New Roman" w:cs="Times New Roman"/>
          <w:sz w:val="20"/>
          <w:szCs w:val="20"/>
          <w:lang w:val="uk-UA" w:eastAsia="ru-RU"/>
        </w:rPr>
        <w:t>правовстановних</w:t>
      </w:r>
      <w:proofErr w:type="spellEnd"/>
      <w:r w:rsidRPr="00893CD4">
        <w:rPr>
          <w:rFonts w:ascii="Times New Roman" w:eastAsia="Times New Roman" w:hAnsi="Times New Roman" w:cs="Times New Roman"/>
          <w:sz w:val="20"/>
          <w:szCs w:val="20"/>
          <w:lang w:val="uk-UA" w:eastAsia="ru-RU"/>
        </w:rPr>
        <w:t xml:space="preserve"> документів) на готове новозбудоване житло (об’єкт житлового фонду) до першого власника такого житла;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операції з постачання доступного житла та житла, що будується повинні здійснюватися за державної підтримки будівництва (придбання) житла, а саме, із залученням та/або за рахунок коштів державного та/або місцевих бюджетів.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lastRenderedPageBreak/>
        <w:t xml:space="preserve">Лише за умови дотримання всіх перелічених умов, операції з першого постачання доступного житла та житла, що будується із залученням державних коштів будуть звільнятися від оподаткування ПДВ, в частині пропорційній обсягу залучених коштів. </w:t>
      </w:r>
    </w:p>
    <w:p w:rsidR="00FD60CE" w:rsidRPr="00893CD4" w:rsidRDefault="00FD60CE" w:rsidP="00FD60CE">
      <w:pPr>
        <w:rPr>
          <w:rFonts w:ascii="Times New Roman" w:eastAsia="Times New Roman" w:hAnsi="Times New Roman" w:cs="Times New Roman"/>
          <w:sz w:val="20"/>
          <w:szCs w:val="20"/>
          <w:lang w:val="uk-UA" w:eastAsia="ru-RU"/>
        </w:rPr>
      </w:pPr>
    </w:p>
    <w:p w:rsidR="00521254" w:rsidRPr="00893CD4" w:rsidRDefault="00521254" w:rsidP="00FD60CE">
      <w:pPr>
        <w:jc w:val="left"/>
        <w:outlineLvl w:val="0"/>
        <w:rPr>
          <w:rFonts w:ascii="Times New Roman" w:eastAsia="Times New Roman" w:hAnsi="Times New Roman" w:cs="Times New Roman"/>
          <w:b/>
          <w:bCs/>
          <w:kern w:val="36"/>
          <w:sz w:val="20"/>
          <w:szCs w:val="20"/>
          <w:lang w:val="uk-UA" w:eastAsia="ru-RU"/>
        </w:rPr>
      </w:pPr>
      <w:r w:rsidRPr="00893CD4">
        <w:rPr>
          <w:rFonts w:ascii="Times New Roman" w:eastAsia="Times New Roman" w:hAnsi="Times New Roman" w:cs="Times New Roman"/>
          <w:b/>
          <w:bCs/>
          <w:kern w:val="36"/>
          <w:sz w:val="20"/>
          <w:szCs w:val="20"/>
          <w:lang w:val="uk-UA" w:eastAsia="ru-RU"/>
        </w:rPr>
        <w:t xml:space="preserve">Платники Дніпропетровщини за </w:t>
      </w:r>
      <w:proofErr w:type="spellStart"/>
      <w:r w:rsidRPr="00893CD4">
        <w:rPr>
          <w:rFonts w:ascii="Times New Roman" w:eastAsia="Times New Roman" w:hAnsi="Times New Roman" w:cs="Times New Roman"/>
          <w:b/>
          <w:bCs/>
          <w:kern w:val="36"/>
          <w:sz w:val="20"/>
          <w:szCs w:val="20"/>
          <w:lang w:val="uk-UA" w:eastAsia="ru-RU"/>
        </w:rPr>
        <w:t>дев′ять</w:t>
      </w:r>
      <w:proofErr w:type="spellEnd"/>
      <w:r w:rsidRPr="00893CD4">
        <w:rPr>
          <w:rFonts w:ascii="Times New Roman" w:eastAsia="Times New Roman" w:hAnsi="Times New Roman" w:cs="Times New Roman"/>
          <w:b/>
          <w:bCs/>
          <w:kern w:val="36"/>
          <w:sz w:val="20"/>
          <w:szCs w:val="20"/>
          <w:lang w:val="uk-UA" w:eastAsia="ru-RU"/>
        </w:rPr>
        <w:t xml:space="preserve"> місяців 2020 року спрямували до бюджетів усіх рівнів та єдиного внеску 45,8 мільярдів гривень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Платниками Дніпропетровщини спрямовано до бюджетів усіх рівнів за січень – вересень 2020 року (без урахування єдиного внеску на загальнообов’язкове державне соціальне страхування) 33 </w:t>
      </w:r>
      <w:proofErr w:type="spellStart"/>
      <w:r w:rsidRPr="00893CD4">
        <w:rPr>
          <w:rFonts w:ascii="Times New Roman" w:eastAsia="Times New Roman" w:hAnsi="Times New Roman" w:cs="Times New Roman"/>
          <w:sz w:val="20"/>
          <w:szCs w:val="20"/>
          <w:lang w:val="uk-UA" w:eastAsia="ru-RU"/>
        </w:rPr>
        <w:t>млрд</w:t>
      </w:r>
      <w:proofErr w:type="spellEnd"/>
      <w:r w:rsidRPr="00893CD4">
        <w:rPr>
          <w:rFonts w:ascii="Times New Roman" w:eastAsia="Times New Roman" w:hAnsi="Times New Roman" w:cs="Times New Roman"/>
          <w:sz w:val="20"/>
          <w:szCs w:val="20"/>
          <w:lang w:val="uk-UA" w:eastAsia="ru-RU"/>
        </w:rPr>
        <w:t xml:space="preserve"> 720,6 </w:t>
      </w:r>
      <w:proofErr w:type="spellStart"/>
      <w:r w:rsidRPr="00893CD4">
        <w:rPr>
          <w:rFonts w:ascii="Times New Roman" w:eastAsia="Times New Roman" w:hAnsi="Times New Roman" w:cs="Times New Roman"/>
          <w:sz w:val="20"/>
          <w:szCs w:val="20"/>
          <w:lang w:val="uk-UA" w:eastAsia="ru-RU"/>
        </w:rPr>
        <w:t>млн</w:t>
      </w:r>
      <w:proofErr w:type="spellEnd"/>
      <w:r w:rsidRPr="00893CD4">
        <w:rPr>
          <w:rFonts w:ascii="Times New Roman" w:eastAsia="Times New Roman" w:hAnsi="Times New Roman" w:cs="Times New Roman"/>
          <w:sz w:val="20"/>
          <w:szCs w:val="20"/>
          <w:lang w:val="uk-UA" w:eastAsia="ru-RU"/>
        </w:rPr>
        <w:t xml:space="preserve"> гривень.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Так, до державного бюджету надійшло 15 </w:t>
      </w:r>
      <w:proofErr w:type="spellStart"/>
      <w:r w:rsidRPr="00893CD4">
        <w:rPr>
          <w:rFonts w:ascii="Times New Roman" w:eastAsia="Times New Roman" w:hAnsi="Times New Roman" w:cs="Times New Roman"/>
          <w:sz w:val="20"/>
          <w:szCs w:val="20"/>
          <w:lang w:val="uk-UA" w:eastAsia="ru-RU"/>
        </w:rPr>
        <w:t>млрд</w:t>
      </w:r>
      <w:proofErr w:type="spellEnd"/>
      <w:r w:rsidRPr="00893CD4">
        <w:rPr>
          <w:rFonts w:ascii="Times New Roman" w:eastAsia="Times New Roman" w:hAnsi="Times New Roman" w:cs="Times New Roman"/>
          <w:sz w:val="20"/>
          <w:szCs w:val="20"/>
          <w:lang w:val="uk-UA" w:eastAsia="ru-RU"/>
        </w:rPr>
        <w:t xml:space="preserve"> 841 </w:t>
      </w:r>
      <w:proofErr w:type="spellStart"/>
      <w:r w:rsidRPr="00893CD4">
        <w:rPr>
          <w:rFonts w:ascii="Times New Roman" w:eastAsia="Times New Roman" w:hAnsi="Times New Roman" w:cs="Times New Roman"/>
          <w:sz w:val="20"/>
          <w:szCs w:val="20"/>
          <w:lang w:val="uk-UA" w:eastAsia="ru-RU"/>
        </w:rPr>
        <w:t>млн</w:t>
      </w:r>
      <w:proofErr w:type="spellEnd"/>
      <w:r w:rsidRPr="00893CD4">
        <w:rPr>
          <w:rFonts w:ascii="Times New Roman" w:eastAsia="Times New Roman" w:hAnsi="Times New Roman" w:cs="Times New Roman"/>
          <w:sz w:val="20"/>
          <w:szCs w:val="20"/>
          <w:lang w:val="uk-UA" w:eastAsia="ru-RU"/>
        </w:rPr>
        <w:t xml:space="preserve"> грн., до місцевих бюджетів регіону – 17 </w:t>
      </w:r>
      <w:proofErr w:type="spellStart"/>
      <w:r w:rsidRPr="00893CD4">
        <w:rPr>
          <w:rFonts w:ascii="Times New Roman" w:eastAsia="Times New Roman" w:hAnsi="Times New Roman" w:cs="Times New Roman"/>
          <w:sz w:val="20"/>
          <w:szCs w:val="20"/>
          <w:lang w:val="uk-UA" w:eastAsia="ru-RU"/>
        </w:rPr>
        <w:t>млрд</w:t>
      </w:r>
      <w:proofErr w:type="spellEnd"/>
      <w:r w:rsidRPr="00893CD4">
        <w:rPr>
          <w:rFonts w:ascii="Times New Roman" w:eastAsia="Times New Roman" w:hAnsi="Times New Roman" w:cs="Times New Roman"/>
          <w:sz w:val="20"/>
          <w:szCs w:val="20"/>
          <w:lang w:val="uk-UA" w:eastAsia="ru-RU"/>
        </w:rPr>
        <w:t xml:space="preserve"> 879,6 </w:t>
      </w:r>
      <w:proofErr w:type="spellStart"/>
      <w:r w:rsidRPr="00893CD4">
        <w:rPr>
          <w:rFonts w:ascii="Times New Roman" w:eastAsia="Times New Roman" w:hAnsi="Times New Roman" w:cs="Times New Roman"/>
          <w:sz w:val="20"/>
          <w:szCs w:val="20"/>
          <w:lang w:val="uk-UA" w:eastAsia="ru-RU"/>
        </w:rPr>
        <w:t>млн</w:t>
      </w:r>
      <w:proofErr w:type="spellEnd"/>
      <w:r w:rsidRPr="00893CD4">
        <w:rPr>
          <w:rFonts w:ascii="Times New Roman" w:eastAsia="Times New Roman" w:hAnsi="Times New Roman" w:cs="Times New Roman"/>
          <w:sz w:val="20"/>
          <w:szCs w:val="20"/>
          <w:lang w:val="uk-UA" w:eastAsia="ru-RU"/>
        </w:rPr>
        <w:t xml:space="preserve"> гривень. </w:t>
      </w:r>
    </w:p>
    <w:p w:rsidR="00521254" w:rsidRPr="00893CD4" w:rsidRDefault="00521254"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За підсумками </w:t>
      </w:r>
      <w:proofErr w:type="spellStart"/>
      <w:r w:rsidRPr="00893CD4">
        <w:rPr>
          <w:rFonts w:ascii="Times New Roman" w:eastAsia="Times New Roman" w:hAnsi="Times New Roman" w:cs="Times New Roman"/>
          <w:sz w:val="20"/>
          <w:szCs w:val="20"/>
          <w:lang w:val="uk-UA" w:eastAsia="ru-RU"/>
        </w:rPr>
        <w:t>дев′яти</w:t>
      </w:r>
      <w:proofErr w:type="spellEnd"/>
      <w:r w:rsidRPr="00893CD4">
        <w:rPr>
          <w:rFonts w:ascii="Times New Roman" w:eastAsia="Times New Roman" w:hAnsi="Times New Roman" w:cs="Times New Roman"/>
          <w:sz w:val="20"/>
          <w:szCs w:val="20"/>
          <w:lang w:val="uk-UA" w:eastAsia="ru-RU"/>
        </w:rPr>
        <w:t xml:space="preserve"> місяців поточного року єдиного внеску на загальнообов’язкове державне соціальне страхування надійшло 12 </w:t>
      </w:r>
      <w:proofErr w:type="spellStart"/>
      <w:r w:rsidRPr="00893CD4">
        <w:rPr>
          <w:rFonts w:ascii="Times New Roman" w:eastAsia="Times New Roman" w:hAnsi="Times New Roman" w:cs="Times New Roman"/>
          <w:sz w:val="20"/>
          <w:szCs w:val="20"/>
          <w:lang w:val="uk-UA" w:eastAsia="ru-RU"/>
        </w:rPr>
        <w:t>млрд</w:t>
      </w:r>
      <w:proofErr w:type="spellEnd"/>
      <w:r w:rsidRPr="00893CD4">
        <w:rPr>
          <w:rFonts w:ascii="Times New Roman" w:eastAsia="Times New Roman" w:hAnsi="Times New Roman" w:cs="Times New Roman"/>
          <w:sz w:val="20"/>
          <w:szCs w:val="20"/>
          <w:lang w:val="uk-UA" w:eastAsia="ru-RU"/>
        </w:rPr>
        <w:t xml:space="preserve"> 89,9 </w:t>
      </w:r>
      <w:proofErr w:type="spellStart"/>
      <w:r w:rsidRPr="00893CD4">
        <w:rPr>
          <w:rFonts w:ascii="Times New Roman" w:eastAsia="Times New Roman" w:hAnsi="Times New Roman" w:cs="Times New Roman"/>
          <w:sz w:val="20"/>
          <w:szCs w:val="20"/>
          <w:lang w:val="uk-UA" w:eastAsia="ru-RU"/>
        </w:rPr>
        <w:t>млн</w:t>
      </w:r>
      <w:proofErr w:type="spellEnd"/>
      <w:r w:rsidRPr="00893CD4">
        <w:rPr>
          <w:rFonts w:ascii="Times New Roman" w:eastAsia="Times New Roman" w:hAnsi="Times New Roman" w:cs="Times New Roman"/>
          <w:sz w:val="20"/>
          <w:szCs w:val="20"/>
          <w:lang w:val="uk-UA" w:eastAsia="ru-RU"/>
        </w:rPr>
        <w:t xml:space="preserve"> </w:t>
      </w:r>
      <w:proofErr w:type="spellStart"/>
      <w:r w:rsidRPr="00893CD4">
        <w:rPr>
          <w:rFonts w:ascii="Times New Roman" w:eastAsia="Times New Roman" w:hAnsi="Times New Roman" w:cs="Times New Roman"/>
          <w:sz w:val="20"/>
          <w:szCs w:val="20"/>
          <w:lang w:val="uk-UA" w:eastAsia="ru-RU"/>
        </w:rPr>
        <w:t>грн</w:t>
      </w:r>
      <w:proofErr w:type="spellEnd"/>
      <w:r w:rsidRPr="00893CD4">
        <w:rPr>
          <w:rFonts w:ascii="Times New Roman" w:eastAsia="Times New Roman" w:hAnsi="Times New Roman" w:cs="Times New Roman"/>
          <w:sz w:val="20"/>
          <w:szCs w:val="20"/>
          <w:lang w:val="uk-UA" w:eastAsia="ru-RU"/>
        </w:rPr>
        <w:t xml:space="preserve">, що перевищує минулорічні показники на 401,4 </w:t>
      </w:r>
      <w:proofErr w:type="spellStart"/>
      <w:r w:rsidRPr="00893CD4">
        <w:rPr>
          <w:rFonts w:ascii="Times New Roman" w:eastAsia="Times New Roman" w:hAnsi="Times New Roman" w:cs="Times New Roman"/>
          <w:sz w:val="20"/>
          <w:szCs w:val="20"/>
          <w:lang w:val="uk-UA" w:eastAsia="ru-RU"/>
        </w:rPr>
        <w:t>млн</w:t>
      </w:r>
      <w:proofErr w:type="spellEnd"/>
      <w:r w:rsidRPr="00893CD4">
        <w:rPr>
          <w:rFonts w:ascii="Times New Roman" w:eastAsia="Times New Roman" w:hAnsi="Times New Roman" w:cs="Times New Roman"/>
          <w:sz w:val="20"/>
          <w:szCs w:val="20"/>
          <w:lang w:val="uk-UA" w:eastAsia="ru-RU"/>
        </w:rPr>
        <w:t xml:space="preserve"> гривень. </w:t>
      </w:r>
    </w:p>
    <w:p w:rsidR="00FD60CE" w:rsidRPr="00893CD4"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Викрадено авто: чи необхідно сплачувати транспортний податок? </w:t>
      </w:r>
    </w:p>
    <w:p w:rsidR="00DE0A11" w:rsidRPr="00DE0A11"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П</w:t>
      </w:r>
      <w:r w:rsidR="00DE0A11" w:rsidRPr="00DE0A11">
        <w:rPr>
          <w:rFonts w:ascii="Times New Roman" w:eastAsia="Times New Roman" w:hAnsi="Times New Roman" w:cs="Times New Roman"/>
          <w:sz w:val="20"/>
          <w:szCs w:val="20"/>
          <w:lang w:val="uk-UA" w:eastAsia="ru-RU"/>
        </w:rPr>
        <w:t>овідомляє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що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w:t>
      </w:r>
      <w:proofErr w:type="spellStart"/>
      <w:r w:rsidR="00DE0A11" w:rsidRPr="00DE0A11">
        <w:rPr>
          <w:rFonts w:ascii="Times New Roman" w:eastAsia="Times New Roman" w:hAnsi="Times New Roman" w:cs="Times New Roman"/>
          <w:sz w:val="20"/>
          <w:szCs w:val="20"/>
          <w:lang w:val="uk-UA" w:eastAsia="ru-RU"/>
        </w:rPr>
        <w:t>п.п</w:t>
      </w:r>
      <w:proofErr w:type="spellEnd"/>
      <w:r w:rsidR="00DE0A11" w:rsidRPr="00DE0A11">
        <w:rPr>
          <w:rFonts w:ascii="Times New Roman" w:eastAsia="Times New Roman" w:hAnsi="Times New Roman" w:cs="Times New Roman"/>
          <w:sz w:val="20"/>
          <w:szCs w:val="20"/>
          <w:lang w:val="uk-UA" w:eastAsia="ru-RU"/>
        </w:rPr>
        <w:t xml:space="preserve">. 267.2.1 п. 267.2 ст. 267 ПКУ є об’єктами оподаткування.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визначені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267.1.1 п. 267.1 ст. 267 Податкового кодексу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Об’єктом оподаткування є легкові автомобілі, з року випуску яких минуло не більше п’яти років (включно) та </w:t>
      </w:r>
      <w:proofErr w:type="spellStart"/>
      <w:r w:rsidRPr="00DE0A11">
        <w:rPr>
          <w:rFonts w:ascii="Times New Roman" w:eastAsia="Times New Roman" w:hAnsi="Times New Roman" w:cs="Times New Roman"/>
          <w:sz w:val="20"/>
          <w:szCs w:val="20"/>
          <w:lang w:val="uk-UA" w:eastAsia="ru-RU"/>
        </w:rPr>
        <w:t>середньоринкова</w:t>
      </w:r>
      <w:proofErr w:type="spellEnd"/>
      <w:r w:rsidRPr="00DE0A11">
        <w:rPr>
          <w:rFonts w:ascii="Times New Roman" w:eastAsia="Times New Roman" w:hAnsi="Times New Roman" w:cs="Times New Roman"/>
          <w:sz w:val="20"/>
          <w:szCs w:val="20"/>
          <w:lang w:val="uk-UA" w:eastAsia="ru-RU"/>
        </w:rPr>
        <w:t xml:space="preserve"> вартість яких становить понад 375 розмірів мінімальної заробітної плати, встановленої законом на 01 січня податкового (звітного) року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267.2.1 п. 267.2 ст. 267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Базою оподаткування є легковий автомобіль, що є об’єктом оподаткування відповідно до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267.2.1 п. 267.2 ст. 267 ПКУ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267.3.1 п. 267.3 ст. 267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Підпунктом 267.6.8 п. 267.6 ст. 267 ПКУ визначено, що у разі незаконного заволодіння третьою особою легковим автомобілем, який відповідно до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267.2.1 п. 267.2 ст. 267 ПКУ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разі повернення легкового автомобіля його власнику (законному володільцю)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 </w:t>
      </w:r>
    </w:p>
    <w:p w:rsidR="00FD60CE" w:rsidRPr="00DE0A11"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У разі </w:t>
      </w:r>
      <w:proofErr w:type="spellStart"/>
      <w:r w:rsidRPr="00DE0A11">
        <w:rPr>
          <w:rFonts w:ascii="Times New Roman" w:eastAsia="Times New Roman" w:hAnsi="Times New Roman" w:cs="Times New Roman"/>
          <w:b/>
          <w:bCs/>
          <w:kern w:val="36"/>
          <w:sz w:val="20"/>
          <w:szCs w:val="20"/>
          <w:lang w:val="uk-UA" w:eastAsia="ru-RU"/>
        </w:rPr>
        <w:t>незазначення</w:t>
      </w:r>
      <w:proofErr w:type="spellEnd"/>
      <w:r w:rsidRPr="00DE0A11">
        <w:rPr>
          <w:rFonts w:ascii="Times New Roman" w:eastAsia="Times New Roman" w:hAnsi="Times New Roman" w:cs="Times New Roman"/>
          <w:b/>
          <w:bCs/>
          <w:kern w:val="36"/>
          <w:sz w:val="20"/>
          <w:szCs w:val="20"/>
          <w:lang w:val="uk-UA" w:eastAsia="ru-RU"/>
        </w:rPr>
        <w:t xml:space="preserve"> видів діяльності у раніше поданій Таблиці даних платника ПДВ, такий платник може надати нову Таблицю </w:t>
      </w:r>
    </w:p>
    <w:p w:rsidR="00DE0A11" w:rsidRPr="00DE0A11"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В</w:t>
      </w:r>
      <w:r w:rsidR="00DE0A11" w:rsidRPr="00DE0A11">
        <w:rPr>
          <w:rFonts w:ascii="Times New Roman" w:eastAsia="Times New Roman" w:hAnsi="Times New Roman" w:cs="Times New Roman"/>
          <w:sz w:val="20"/>
          <w:szCs w:val="20"/>
          <w:lang w:val="uk-UA" w:eastAsia="ru-RU"/>
        </w:rPr>
        <w:t xml:space="preserve">ідповідно до п. 12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платник податку має право подати до ДПС Таблицю даних платника податку на додану вартість (далі – Таблиця) за встановленою формою (додаток 5).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Таблиці зазначаються: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види економічної діяльності відповідно до КВЕД;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коди товарів згідно з УКТЗЕД, що постачаються та/або придбаваються (отримуються) платником податку, ввозяться на митну територію України;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коди послуг згідно з Державним класифікатором продукції та послуг (далі – ДКПП), що постачаються та/або придбаваються (отримуються) платником податку, ввозяться на митну територію України (п. 13 Порядку).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Таблиця подається з поясненням, в якому зазначається вид діяльності, з посиланням на податкову та іншу звітність платника податку (п. 14 Порядку).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Отже, платник ПДВ може надати інформацію щодо видів діяльності, які не зазначені в попередньо поданій до контролюючого органу Таблиці шляхом подання нової Таблиці, в якій зазначає такі види діяльності та відповідно коди товарів згідно УКТЗЕД та коди послуг згідно з ДКПП. </w:t>
      </w:r>
    </w:p>
    <w:p w:rsidR="00FD60CE" w:rsidRPr="00DE0A11"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У результаті масштабної спецоперації ДПС та СБУ припинено роботу </w:t>
      </w:r>
      <w:proofErr w:type="spellStart"/>
      <w:r w:rsidRPr="00DE0A11">
        <w:rPr>
          <w:rFonts w:ascii="Times New Roman" w:eastAsia="Times New Roman" w:hAnsi="Times New Roman" w:cs="Times New Roman"/>
          <w:b/>
          <w:bCs/>
          <w:kern w:val="36"/>
          <w:sz w:val="20"/>
          <w:szCs w:val="20"/>
          <w:lang w:val="uk-UA" w:eastAsia="ru-RU"/>
        </w:rPr>
        <w:t>конвертцентру</w:t>
      </w:r>
      <w:proofErr w:type="spellEnd"/>
      <w:r w:rsidRPr="00DE0A11">
        <w:rPr>
          <w:rFonts w:ascii="Times New Roman" w:eastAsia="Times New Roman" w:hAnsi="Times New Roman" w:cs="Times New Roman"/>
          <w:b/>
          <w:bCs/>
          <w:kern w:val="36"/>
          <w:sz w:val="20"/>
          <w:szCs w:val="20"/>
          <w:lang w:val="uk-UA" w:eastAsia="ru-RU"/>
        </w:rPr>
        <w:t xml:space="preserve"> з обігом 15 </w:t>
      </w:r>
      <w:proofErr w:type="spellStart"/>
      <w:r w:rsidRPr="00DE0A11">
        <w:rPr>
          <w:rFonts w:ascii="Times New Roman" w:eastAsia="Times New Roman" w:hAnsi="Times New Roman" w:cs="Times New Roman"/>
          <w:b/>
          <w:bCs/>
          <w:kern w:val="36"/>
          <w:sz w:val="20"/>
          <w:szCs w:val="20"/>
          <w:lang w:val="uk-UA" w:eastAsia="ru-RU"/>
        </w:rPr>
        <w:t>млрд</w:t>
      </w:r>
      <w:proofErr w:type="spellEnd"/>
      <w:r w:rsidRPr="00DE0A11">
        <w:rPr>
          <w:rFonts w:ascii="Times New Roman" w:eastAsia="Times New Roman" w:hAnsi="Times New Roman" w:cs="Times New Roman"/>
          <w:b/>
          <w:bCs/>
          <w:kern w:val="36"/>
          <w:sz w:val="20"/>
          <w:szCs w:val="20"/>
          <w:lang w:val="uk-UA" w:eastAsia="ru-RU"/>
        </w:rPr>
        <w:t xml:space="preserve">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Фахівці Державної податкової служби України взяли участь у операції, яку проводила Служба безпеки України, щодо припинення діяльності у Києві масштабного </w:t>
      </w:r>
      <w:proofErr w:type="spellStart"/>
      <w:r w:rsidRPr="00DE0A11">
        <w:rPr>
          <w:rFonts w:ascii="Times New Roman" w:eastAsia="Times New Roman" w:hAnsi="Times New Roman" w:cs="Times New Roman"/>
          <w:sz w:val="20"/>
          <w:szCs w:val="20"/>
          <w:lang w:val="uk-UA" w:eastAsia="ru-RU"/>
        </w:rPr>
        <w:t>конвертаційного</w:t>
      </w:r>
      <w:proofErr w:type="spellEnd"/>
      <w:r w:rsidRPr="00DE0A11">
        <w:rPr>
          <w:rFonts w:ascii="Times New Roman" w:eastAsia="Times New Roman" w:hAnsi="Times New Roman" w:cs="Times New Roman"/>
          <w:sz w:val="20"/>
          <w:szCs w:val="20"/>
          <w:lang w:val="uk-UA" w:eastAsia="ru-RU"/>
        </w:rPr>
        <w:t xml:space="preserve"> центру. Цей </w:t>
      </w:r>
      <w:proofErr w:type="spellStart"/>
      <w:r w:rsidRPr="00DE0A11">
        <w:rPr>
          <w:rFonts w:ascii="Times New Roman" w:eastAsia="Times New Roman" w:hAnsi="Times New Roman" w:cs="Times New Roman"/>
          <w:sz w:val="20"/>
          <w:szCs w:val="20"/>
          <w:lang w:val="uk-UA" w:eastAsia="ru-RU"/>
        </w:rPr>
        <w:t>конвертцентр</w:t>
      </w:r>
      <w:proofErr w:type="spellEnd"/>
      <w:r w:rsidRPr="00DE0A11">
        <w:rPr>
          <w:rFonts w:ascii="Times New Roman" w:eastAsia="Times New Roman" w:hAnsi="Times New Roman" w:cs="Times New Roman"/>
          <w:sz w:val="20"/>
          <w:szCs w:val="20"/>
          <w:lang w:val="uk-UA" w:eastAsia="ru-RU"/>
        </w:rPr>
        <w:t xml:space="preserve"> за час своєї роботи організував обіг коштів на понад 15 </w:t>
      </w:r>
      <w:proofErr w:type="spellStart"/>
      <w:r w:rsidRPr="00DE0A11">
        <w:rPr>
          <w:rFonts w:ascii="Times New Roman" w:eastAsia="Times New Roman" w:hAnsi="Times New Roman" w:cs="Times New Roman"/>
          <w:sz w:val="20"/>
          <w:szCs w:val="20"/>
          <w:lang w:val="uk-UA" w:eastAsia="ru-RU"/>
        </w:rPr>
        <w:t>млрд</w:t>
      </w:r>
      <w:proofErr w:type="spellEnd"/>
      <w:r w:rsidRPr="00DE0A11">
        <w:rPr>
          <w:rFonts w:ascii="Times New Roman" w:eastAsia="Times New Roman" w:hAnsi="Times New Roman" w:cs="Times New Roman"/>
          <w:sz w:val="20"/>
          <w:szCs w:val="20"/>
          <w:lang w:val="uk-UA" w:eastAsia="ru-RU"/>
        </w:rPr>
        <w:t xml:space="preserve">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Як відзначив заступник Голови ДПС Євген </w:t>
      </w:r>
      <w:proofErr w:type="spellStart"/>
      <w:r w:rsidRPr="00DE0A11">
        <w:rPr>
          <w:rFonts w:ascii="Times New Roman" w:eastAsia="Times New Roman" w:hAnsi="Times New Roman" w:cs="Times New Roman"/>
          <w:sz w:val="20"/>
          <w:szCs w:val="20"/>
          <w:lang w:val="uk-UA" w:eastAsia="ru-RU"/>
        </w:rPr>
        <w:t>Олейніков</w:t>
      </w:r>
      <w:proofErr w:type="spellEnd"/>
      <w:r w:rsidRPr="00DE0A11">
        <w:rPr>
          <w:rFonts w:ascii="Times New Roman" w:eastAsia="Times New Roman" w:hAnsi="Times New Roman" w:cs="Times New Roman"/>
          <w:sz w:val="20"/>
          <w:szCs w:val="20"/>
          <w:lang w:val="uk-UA" w:eastAsia="ru-RU"/>
        </w:rPr>
        <w:t xml:space="preserve"> під час брифінгу в СБУ, це вперше за останні роки така масштабна спільна спецоперація СБУ та ДПС. Завдяки такій співпраці вдалося не лише викрити протиправну діяльність а й упередити в подальшому використання злочинної схеми, яка коштувала б бюджету значних сум.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«Посилення уваги Державної податкової служби до припинення схем зловживань з ПДВ вже дозволило забезпечити додаткові кошти до бюджету. Так, на сьогодні ми вже маємо 22 </w:t>
      </w:r>
      <w:proofErr w:type="spellStart"/>
      <w:r w:rsidRPr="00DE0A11">
        <w:rPr>
          <w:rFonts w:ascii="Times New Roman" w:eastAsia="Times New Roman" w:hAnsi="Times New Roman" w:cs="Times New Roman"/>
          <w:sz w:val="20"/>
          <w:szCs w:val="20"/>
          <w:lang w:val="uk-UA" w:eastAsia="ru-RU"/>
        </w:rPr>
        <w:t>млрд</w:t>
      </w:r>
      <w:proofErr w:type="spellEnd"/>
      <w:r w:rsidRPr="00DE0A11">
        <w:rPr>
          <w:rFonts w:ascii="Times New Roman" w:eastAsia="Times New Roman" w:hAnsi="Times New Roman" w:cs="Times New Roman"/>
          <w:sz w:val="20"/>
          <w:szCs w:val="20"/>
          <w:lang w:val="uk-UA" w:eastAsia="ru-RU"/>
        </w:rPr>
        <w:t xml:space="preserve"> гривень додаткових податкових надходжень. Це ті кошти, які спрямовані на своєчасне фінансування соціальних зобов’язань держави перед громадянами, фінансування соціальних проектів тощо. 22 мільярди гривень – це ті кошти, які ми не будемо додатково позичати, за які ми не будемо сплачувати відсотки та за які не доведеться виконувати політичні умови при запозиченні. Розкриття таких схем і є результатом </w:t>
      </w:r>
      <w:proofErr w:type="spellStart"/>
      <w:r w:rsidRPr="00DE0A11">
        <w:rPr>
          <w:rFonts w:ascii="Times New Roman" w:eastAsia="Times New Roman" w:hAnsi="Times New Roman" w:cs="Times New Roman"/>
          <w:sz w:val="20"/>
          <w:szCs w:val="20"/>
          <w:lang w:val="uk-UA" w:eastAsia="ru-RU"/>
        </w:rPr>
        <w:t>цифровізації</w:t>
      </w:r>
      <w:proofErr w:type="spellEnd"/>
      <w:r w:rsidRPr="00DE0A11">
        <w:rPr>
          <w:rFonts w:ascii="Times New Roman" w:eastAsia="Times New Roman" w:hAnsi="Times New Roman" w:cs="Times New Roman"/>
          <w:sz w:val="20"/>
          <w:szCs w:val="20"/>
          <w:lang w:val="uk-UA" w:eastAsia="ru-RU"/>
        </w:rPr>
        <w:t xml:space="preserve">, про яку говорить вище політичне керівництво держави», – наголосив Євген </w:t>
      </w:r>
      <w:proofErr w:type="spellStart"/>
      <w:r w:rsidRPr="00DE0A11">
        <w:rPr>
          <w:rFonts w:ascii="Times New Roman" w:eastAsia="Times New Roman" w:hAnsi="Times New Roman" w:cs="Times New Roman"/>
          <w:sz w:val="20"/>
          <w:szCs w:val="20"/>
          <w:lang w:val="uk-UA" w:eastAsia="ru-RU"/>
        </w:rPr>
        <w:t>Олейніков</w:t>
      </w:r>
      <w:proofErr w:type="spellEnd"/>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Водночас, за його словами, боротьба зі схемами – це захист не лише українського бюджету від недонадходжень коштів, які знаходяться в тіні, а й захист чесного бізнесу від недобросовісної конкуренції.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lastRenderedPageBreak/>
        <w:t xml:space="preserve">«При зменшенні ВВП сьогодні спостерігається зростання обсягу реалізації. Тобто рівень тіньової економіки зменшився, а покупці перейшли в легальний сектор.  ПДВ своєчасно відшкодовується підприємствам, а, отже, в них з’являються обігові кошти, що впливає на зростання реалізації продукції підприємствами реального сектору економіки. А це, зокрема, свідчить про те, що підприємства не скорочуватимуть, а навпаки, створюватимуть легальні робочі місця», – зазначив Євген </w:t>
      </w:r>
      <w:proofErr w:type="spellStart"/>
      <w:r w:rsidRPr="00DE0A11">
        <w:rPr>
          <w:rFonts w:ascii="Times New Roman" w:eastAsia="Times New Roman" w:hAnsi="Times New Roman" w:cs="Times New Roman"/>
          <w:sz w:val="20"/>
          <w:szCs w:val="20"/>
          <w:lang w:val="uk-UA" w:eastAsia="ru-RU"/>
        </w:rPr>
        <w:t>Олейніков</w:t>
      </w:r>
      <w:proofErr w:type="spellEnd"/>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Викритий під час спільної операції </w:t>
      </w:r>
      <w:proofErr w:type="spellStart"/>
      <w:r w:rsidRPr="00DE0A11">
        <w:rPr>
          <w:rFonts w:ascii="Times New Roman" w:eastAsia="Times New Roman" w:hAnsi="Times New Roman" w:cs="Times New Roman"/>
          <w:sz w:val="20"/>
          <w:szCs w:val="20"/>
          <w:lang w:val="uk-UA" w:eastAsia="ru-RU"/>
        </w:rPr>
        <w:t>конвертцентр</w:t>
      </w:r>
      <w:proofErr w:type="spellEnd"/>
      <w:r w:rsidRPr="00DE0A11">
        <w:rPr>
          <w:rFonts w:ascii="Times New Roman" w:eastAsia="Times New Roman" w:hAnsi="Times New Roman" w:cs="Times New Roman"/>
          <w:sz w:val="20"/>
          <w:szCs w:val="20"/>
          <w:lang w:val="uk-UA" w:eastAsia="ru-RU"/>
        </w:rPr>
        <w:t xml:space="preserve"> функціонував протягом 2019 – 2020 років. Його організатори зареєстрували понад 400 фіктивних фірм. З допомогою </w:t>
      </w:r>
      <w:proofErr w:type="spellStart"/>
      <w:r w:rsidRPr="00DE0A11">
        <w:rPr>
          <w:rFonts w:ascii="Times New Roman" w:eastAsia="Times New Roman" w:hAnsi="Times New Roman" w:cs="Times New Roman"/>
          <w:sz w:val="20"/>
          <w:szCs w:val="20"/>
          <w:lang w:val="uk-UA" w:eastAsia="ru-RU"/>
        </w:rPr>
        <w:t>конвертцентру</w:t>
      </w:r>
      <w:proofErr w:type="spellEnd"/>
      <w:r w:rsidRPr="00DE0A11">
        <w:rPr>
          <w:rFonts w:ascii="Times New Roman" w:eastAsia="Times New Roman" w:hAnsi="Times New Roman" w:cs="Times New Roman"/>
          <w:sz w:val="20"/>
          <w:szCs w:val="20"/>
          <w:lang w:val="uk-UA" w:eastAsia="ru-RU"/>
        </w:rPr>
        <w:t xml:space="preserve"> тисячі підприємств, зокрема державних та комунальних, ухилялися від сплати податків в особливо великих розмірах.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«Весною цього року ми розпочали тісну співпрацю з Державною податковою Службою для блокування схем з мінімізації податків через електронні системи ДПС. Спільна робота вже дозволила повернути до бюджету мільярди гривень та унеможливити такі оборудки у майбутньому», </w:t>
      </w:r>
      <w:r w:rsidRPr="00DE0A11">
        <w:rPr>
          <w:rFonts w:ascii="Times New Roman" w:eastAsia="Times New Roman" w:hAnsi="Times New Roman" w:cs="Times New Roman"/>
          <w:sz w:val="20"/>
          <w:szCs w:val="20"/>
          <w:lang w:val="uk-UA" w:eastAsia="ru-RU"/>
        </w:rPr>
        <w:softHyphen/>
        <w:t xml:space="preserve">– наголосив начальник управління Департаменту </w:t>
      </w:r>
      <w:proofErr w:type="spellStart"/>
      <w:r w:rsidRPr="00DE0A11">
        <w:rPr>
          <w:rFonts w:ascii="Times New Roman" w:eastAsia="Times New Roman" w:hAnsi="Times New Roman" w:cs="Times New Roman"/>
          <w:sz w:val="20"/>
          <w:szCs w:val="20"/>
          <w:lang w:val="uk-UA" w:eastAsia="ru-RU"/>
        </w:rPr>
        <w:t>кібербезпеки</w:t>
      </w:r>
      <w:proofErr w:type="spellEnd"/>
      <w:r w:rsidRPr="00DE0A11">
        <w:rPr>
          <w:rFonts w:ascii="Times New Roman" w:eastAsia="Times New Roman" w:hAnsi="Times New Roman" w:cs="Times New Roman"/>
          <w:sz w:val="20"/>
          <w:szCs w:val="20"/>
          <w:lang w:val="uk-UA" w:eastAsia="ru-RU"/>
        </w:rPr>
        <w:t xml:space="preserve"> СБУ Ілля </w:t>
      </w:r>
      <w:proofErr w:type="spellStart"/>
      <w:r w:rsidRPr="00DE0A11">
        <w:rPr>
          <w:rFonts w:ascii="Times New Roman" w:eastAsia="Times New Roman" w:hAnsi="Times New Roman" w:cs="Times New Roman"/>
          <w:sz w:val="20"/>
          <w:szCs w:val="20"/>
          <w:lang w:val="uk-UA" w:eastAsia="ru-RU"/>
        </w:rPr>
        <w:t>Вітюк</w:t>
      </w:r>
      <w:proofErr w:type="spellEnd"/>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До організації злочинної схеми причетні посадовці комерційних банківських установ і колишнє керівництво Державної податкової служби. Вони, зокрема, давали можливість замовникам оминати систему автоматизованого моніторингу оцінки ступенів ризику. Таким чином зловмисники отримали можливість використовувати вразливості інформаційно-телекомунікаційних систем ДПС і як наслідок – ухилятися від сплати податків.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Цей </w:t>
      </w:r>
      <w:proofErr w:type="spellStart"/>
      <w:r w:rsidRPr="00DE0A11">
        <w:rPr>
          <w:rFonts w:ascii="Times New Roman" w:eastAsia="Times New Roman" w:hAnsi="Times New Roman" w:cs="Times New Roman"/>
          <w:sz w:val="20"/>
          <w:szCs w:val="20"/>
          <w:lang w:val="uk-UA" w:eastAsia="ru-RU"/>
        </w:rPr>
        <w:t>конвертаційний</w:t>
      </w:r>
      <w:proofErr w:type="spellEnd"/>
      <w:r w:rsidRPr="00DE0A11">
        <w:rPr>
          <w:rFonts w:ascii="Times New Roman" w:eastAsia="Times New Roman" w:hAnsi="Times New Roman" w:cs="Times New Roman"/>
          <w:sz w:val="20"/>
          <w:szCs w:val="20"/>
          <w:lang w:val="uk-UA" w:eastAsia="ru-RU"/>
        </w:rPr>
        <w:t xml:space="preserve"> центр був частиною більш глобального протиправного механізму формування сум податкових кредитів з ПДВ, який раніше блокувала СБУ у ДПС.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Слідчі дії тривають.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Нагадаємо, за участі Державної податкової служби Служба безпеки України спільно з Офісом Генерального прокурора та Державною службою фінансового моніторингу провела спецоперацію з викриття і блокування у ДПС протиправного механізму формування сум податкових кредитів з ПДВ для суб’єктів господарювання.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 версією слідства, у період свого існування у 2019-2020 роках ця схема щомісяця завдавала державі збитків на понад 2 мільярди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ДПС та СБУ й надалі застосовуватимуть комплексний підхід у напрямі руйнування протиправних схем з ПДВ.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Переглянути відео виступу заступника Голови ДПС Євгена </w:t>
      </w:r>
      <w:proofErr w:type="spellStart"/>
      <w:r w:rsidRPr="00DE0A11">
        <w:rPr>
          <w:rFonts w:ascii="Times New Roman" w:eastAsia="Times New Roman" w:hAnsi="Times New Roman" w:cs="Times New Roman"/>
          <w:sz w:val="20"/>
          <w:szCs w:val="20"/>
          <w:lang w:val="uk-UA" w:eastAsia="ru-RU"/>
        </w:rPr>
        <w:t>Олейнікова</w:t>
      </w:r>
      <w:proofErr w:type="spellEnd"/>
      <w:r w:rsidRPr="00DE0A11">
        <w:rPr>
          <w:rFonts w:ascii="Times New Roman" w:eastAsia="Times New Roman" w:hAnsi="Times New Roman" w:cs="Times New Roman"/>
          <w:sz w:val="20"/>
          <w:szCs w:val="20"/>
          <w:lang w:val="uk-UA" w:eastAsia="ru-RU"/>
        </w:rPr>
        <w:t xml:space="preserve"> під час брифінгу можна за посиланням: </w:t>
      </w:r>
      <w:hyperlink r:id="rId4" w:tgtFrame="_blank" w:history="1">
        <w:r w:rsidRPr="00893CD4">
          <w:rPr>
            <w:rFonts w:ascii="Times New Roman" w:eastAsia="Times New Roman" w:hAnsi="Times New Roman" w:cs="Times New Roman"/>
            <w:color w:val="0000FF"/>
            <w:sz w:val="20"/>
            <w:szCs w:val="20"/>
            <w:u w:val="single"/>
            <w:lang w:val="uk-UA" w:eastAsia="ru-RU"/>
          </w:rPr>
          <w:t>https://tax.gov.ua/media-tsentr/videogalereya/intervyu-ta-publichni-zayavi/6759.html</w:t>
        </w:r>
      </w:hyperlink>
      <w:r w:rsidRPr="00DE0A11">
        <w:rPr>
          <w:rFonts w:ascii="Times New Roman" w:eastAsia="Times New Roman" w:hAnsi="Times New Roman" w:cs="Times New Roman"/>
          <w:sz w:val="20"/>
          <w:szCs w:val="20"/>
          <w:lang w:val="uk-UA" w:eastAsia="ru-RU"/>
        </w:rPr>
        <w:t xml:space="preserve"> </w:t>
      </w:r>
    </w:p>
    <w:p w:rsidR="00FD60CE" w:rsidRPr="00893CD4"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proofErr w:type="spellStart"/>
      <w:r w:rsidRPr="00DE0A11">
        <w:rPr>
          <w:rFonts w:ascii="Times New Roman" w:eastAsia="Times New Roman" w:hAnsi="Times New Roman" w:cs="Times New Roman"/>
          <w:b/>
          <w:bCs/>
          <w:kern w:val="36"/>
          <w:sz w:val="20"/>
          <w:szCs w:val="20"/>
          <w:lang w:val="uk-UA" w:eastAsia="ru-RU"/>
        </w:rPr>
        <w:t>Інтернет-конференція</w:t>
      </w:r>
      <w:proofErr w:type="spellEnd"/>
      <w:r w:rsidRPr="00DE0A11">
        <w:rPr>
          <w:rFonts w:ascii="Times New Roman" w:eastAsia="Times New Roman" w:hAnsi="Times New Roman" w:cs="Times New Roman"/>
          <w:b/>
          <w:bCs/>
          <w:kern w:val="36"/>
          <w:sz w:val="20"/>
          <w:szCs w:val="20"/>
          <w:lang w:val="uk-UA" w:eastAsia="ru-RU"/>
        </w:rPr>
        <w:t xml:space="preserve"> начальника Головного управління ДПС у Дніпропетровській області Ганни ЧУБ на тему «Новації, запроваджені законами України № 466 та № 786» </w:t>
      </w:r>
    </w:p>
    <w:p w:rsidR="00DE0A11" w:rsidRPr="00DE0A11"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П</w:t>
      </w:r>
      <w:r w:rsidR="00DE0A11" w:rsidRPr="00DE0A11">
        <w:rPr>
          <w:rFonts w:ascii="Times New Roman" w:eastAsia="Times New Roman" w:hAnsi="Times New Roman" w:cs="Times New Roman"/>
          <w:sz w:val="20"/>
          <w:szCs w:val="20"/>
          <w:lang w:val="uk-UA" w:eastAsia="ru-RU"/>
        </w:rPr>
        <w:t>овідомляє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що на платформі ІА «</w:t>
      </w:r>
      <w:proofErr w:type="spellStart"/>
      <w:r w:rsidR="00DE0A11" w:rsidRPr="00DE0A11">
        <w:rPr>
          <w:rFonts w:ascii="Times New Roman" w:eastAsia="Times New Roman" w:hAnsi="Times New Roman" w:cs="Times New Roman"/>
          <w:sz w:val="20"/>
          <w:szCs w:val="20"/>
          <w:lang w:val="uk-UA" w:eastAsia="ru-RU"/>
        </w:rPr>
        <w:t>Мост-Днепр</w:t>
      </w:r>
      <w:proofErr w:type="spellEnd"/>
      <w:r w:rsidR="00DE0A11" w:rsidRPr="00DE0A11">
        <w:rPr>
          <w:rFonts w:ascii="Times New Roman" w:eastAsia="Times New Roman" w:hAnsi="Times New Roman" w:cs="Times New Roman"/>
          <w:sz w:val="20"/>
          <w:szCs w:val="20"/>
          <w:lang w:val="uk-UA" w:eastAsia="ru-RU"/>
        </w:rPr>
        <w:t xml:space="preserve">» відбулася </w:t>
      </w:r>
      <w:proofErr w:type="spellStart"/>
      <w:r w:rsidR="00DE0A11" w:rsidRPr="00DE0A11">
        <w:rPr>
          <w:rFonts w:ascii="Times New Roman" w:eastAsia="Times New Roman" w:hAnsi="Times New Roman" w:cs="Times New Roman"/>
          <w:sz w:val="20"/>
          <w:szCs w:val="20"/>
          <w:lang w:val="uk-UA" w:eastAsia="ru-RU"/>
        </w:rPr>
        <w:t>інтернет-конференція</w:t>
      </w:r>
      <w:proofErr w:type="spellEnd"/>
      <w:r w:rsidR="00DE0A11" w:rsidRPr="00DE0A11">
        <w:rPr>
          <w:rFonts w:ascii="Times New Roman" w:eastAsia="Times New Roman" w:hAnsi="Times New Roman" w:cs="Times New Roman"/>
          <w:sz w:val="20"/>
          <w:szCs w:val="20"/>
          <w:lang w:val="uk-UA" w:eastAsia="ru-RU"/>
        </w:rPr>
        <w:t xml:space="preserve"> начальника Головного управління ДПС у Дніпропетровській області Ганни ЧУБ на тему «Новації, запроваджені законами України № 466 та № 786».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рамках цієї </w:t>
      </w:r>
      <w:proofErr w:type="spellStart"/>
      <w:r w:rsidRPr="00DE0A11">
        <w:rPr>
          <w:rFonts w:ascii="Times New Roman" w:eastAsia="Times New Roman" w:hAnsi="Times New Roman" w:cs="Times New Roman"/>
          <w:sz w:val="20"/>
          <w:szCs w:val="20"/>
          <w:lang w:val="uk-UA" w:eastAsia="ru-RU"/>
        </w:rPr>
        <w:t>інтернет-конференції</w:t>
      </w:r>
      <w:proofErr w:type="spellEnd"/>
      <w:r w:rsidRPr="00DE0A11">
        <w:rPr>
          <w:rFonts w:ascii="Times New Roman" w:eastAsia="Times New Roman" w:hAnsi="Times New Roman" w:cs="Times New Roman"/>
          <w:sz w:val="20"/>
          <w:szCs w:val="20"/>
          <w:lang w:val="uk-UA" w:eastAsia="ru-RU"/>
        </w:rPr>
        <w:t xml:space="preserve"> </w:t>
      </w:r>
      <w:proofErr w:type="spellStart"/>
      <w:r w:rsidRPr="00DE0A11">
        <w:rPr>
          <w:rFonts w:ascii="Times New Roman" w:eastAsia="Times New Roman" w:hAnsi="Times New Roman" w:cs="Times New Roman"/>
          <w:sz w:val="20"/>
          <w:szCs w:val="20"/>
          <w:lang w:val="uk-UA" w:eastAsia="ru-RU"/>
        </w:rPr>
        <w:t>очільниця</w:t>
      </w:r>
      <w:proofErr w:type="spellEnd"/>
      <w:r w:rsidRPr="00DE0A11">
        <w:rPr>
          <w:rFonts w:ascii="Times New Roman" w:eastAsia="Times New Roman" w:hAnsi="Times New Roman" w:cs="Times New Roman"/>
          <w:sz w:val="20"/>
          <w:szCs w:val="20"/>
          <w:lang w:val="uk-UA" w:eastAsia="ru-RU"/>
        </w:rPr>
        <w:t xml:space="preserve"> ГУ ДПС розповіла про підсумки роботи ГУ ДПС за 9 місяців поточного року.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Вона зазначила, що у січні – вересні 2020 року платниками Дніпропетровщини спрямовано до бюджетів усіх рівнів (без урахування єдиного внеску на загальнообов’язкове державне соціальне страхування) понад 33,7 мільярдів гривень, що 90,7 мільйонів гривен більше ніж за 9 місяців минулого року.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При цьому, до Державного бюджету країни надійшло понад 15,8 мільярдів гривень, до місцевих бюджетів регіону – майже 17,9 мільярдів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 підсумками дев’яти місяців поточного року надійшло майже 12,1 мільярд гривень єдиного внеску на загальнообов’язкове державне соціальне страхування. Це на 401,4 мільйони гривень перевищує минулорічні показники.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Наводимо питання, які цікавили платників під час конференції, пов’язані з новаціями, запровадженими законами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(Закон України № 466), основні положення якого набрали чинності </w:t>
      </w:r>
      <w:r w:rsidRPr="00893CD4">
        <w:rPr>
          <w:rFonts w:ascii="Times New Roman" w:eastAsia="Times New Roman" w:hAnsi="Times New Roman" w:cs="Times New Roman"/>
          <w:b/>
          <w:bCs/>
          <w:sz w:val="20"/>
          <w:szCs w:val="20"/>
          <w:lang w:val="uk-UA" w:eastAsia="ru-RU"/>
        </w:rPr>
        <w:t>23 травня 2020</w:t>
      </w:r>
      <w:r w:rsidRPr="00DE0A11">
        <w:rPr>
          <w:rFonts w:ascii="Times New Roman" w:eastAsia="Times New Roman" w:hAnsi="Times New Roman" w:cs="Times New Roman"/>
          <w:sz w:val="20"/>
          <w:szCs w:val="20"/>
          <w:lang w:val="uk-UA" w:eastAsia="ru-RU"/>
        </w:rPr>
        <w:t xml:space="preserve"> року, та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(Закон України № 786), що набрав чинності </w:t>
      </w:r>
      <w:r w:rsidRPr="00893CD4">
        <w:rPr>
          <w:rFonts w:ascii="Times New Roman" w:eastAsia="Times New Roman" w:hAnsi="Times New Roman" w:cs="Times New Roman"/>
          <w:b/>
          <w:bCs/>
          <w:sz w:val="20"/>
          <w:szCs w:val="20"/>
          <w:lang w:val="uk-UA" w:eastAsia="ru-RU"/>
        </w:rPr>
        <w:t>08 серпня 2020 року.</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Питання 1. Вітаю!</w:t>
      </w:r>
      <w:r w:rsidRPr="00DE0A11">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b/>
          <w:bCs/>
          <w:sz w:val="20"/>
          <w:szCs w:val="20"/>
          <w:lang w:val="uk-UA" w:eastAsia="ru-RU"/>
        </w:rPr>
        <w:t xml:space="preserve">Мене цікавить питання, якщо </w:t>
      </w:r>
      <w:proofErr w:type="spellStart"/>
      <w:r w:rsidRPr="00893CD4">
        <w:rPr>
          <w:rFonts w:ascii="Times New Roman" w:eastAsia="Times New Roman" w:hAnsi="Times New Roman" w:cs="Times New Roman"/>
          <w:b/>
          <w:bCs/>
          <w:sz w:val="20"/>
          <w:szCs w:val="20"/>
          <w:lang w:val="uk-UA" w:eastAsia="ru-RU"/>
        </w:rPr>
        <w:t>отримувач</w:t>
      </w:r>
      <w:proofErr w:type="spellEnd"/>
      <w:r w:rsidRPr="00893CD4">
        <w:rPr>
          <w:rFonts w:ascii="Times New Roman" w:eastAsia="Times New Roman" w:hAnsi="Times New Roman" w:cs="Times New Roman"/>
          <w:b/>
          <w:bCs/>
          <w:sz w:val="20"/>
          <w:szCs w:val="20"/>
          <w:lang w:val="uk-UA" w:eastAsia="ru-RU"/>
        </w:rPr>
        <w:t xml:space="preserve"> доходу </w:t>
      </w:r>
      <w:proofErr w:type="spellStart"/>
      <w:r w:rsidRPr="00893CD4">
        <w:rPr>
          <w:rFonts w:ascii="Times New Roman" w:eastAsia="Times New Roman" w:hAnsi="Times New Roman" w:cs="Times New Roman"/>
          <w:b/>
          <w:bCs/>
          <w:sz w:val="20"/>
          <w:szCs w:val="20"/>
          <w:lang w:val="uk-UA" w:eastAsia="ru-RU"/>
        </w:rPr>
        <w:t>–нерезидент</w:t>
      </w:r>
      <w:proofErr w:type="spellEnd"/>
      <w:r w:rsidRPr="00893CD4">
        <w:rPr>
          <w:rFonts w:ascii="Times New Roman" w:eastAsia="Times New Roman" w:hAnsi="Times New Roman" w:cs="Times New Roman"/>
          <w:b/>
          <w:bCs/>
          <w:sz w:val="20"/>
          <w:szCs w:val="20"/>
          <w:lang w:val="uk-UA" w:eastAsia="ru-RU"/>
        </w:rPr>
        <w:t xml:space="preserve">, який не є </w:t>
      </w:r>
      <w:proofErr w:type="spellStart"/>
      <w:r w:rsidRPr="00893CD4">
        <w:rPr>
          <w:rFonts w:ascii="Times New Roman" w:eastAsia="Times New Roman" w:hAnsi="Times New Roman" w:cs="Times New Roman"/>
          <w:b/>
          <w:bCs/>
          <w:sz w:val="20"/>
          <w:szCs w:val="20"/>
          <w:lang w:val="uk-UA" w:eastAsia="ru-RU"/>
        </w:rPr>
        <w:t>бенефіціарним</w:t>
      </w:r>
      <w:proofErr w:type="spellEnd"/>
      <w:r w:rsidRPr="00893CD4">
        <w:rPr>
          <w:rFonts w:ascii="Times New Roman" w:eastAsia="Times New Roman" w:hAnsi="Times New Roman" w:cs="Times New Roman"/>
          <w:b/>
          <w:bCs/>
          <w:sz w:val="20"/>
          <w:szCs w:val="20"/>
          <w:lang w:val="uk-UA" w:eastAsia="ru-RU"/>
        </w:rPr>
        <w:t xml:space="preserve"> </w:t>
      </w:r>
      <w:proofErr w:type="spellStart"/>
      <w:r w:rsidRPr="00893CD4">
        <w:rPr>
          <w:rFonts w:ascii="Times New Roman" w:eastAsia="Times New Roman" w:hAnsi="Times New Roman" w:cs="Times New Roman"/>
          <w:b/>
          <w:bCs/>
          <w:sz w:val="20"/>
          <w:szCs w:val="20"/>
          <w:lang w:val="uk-UA" w:eastAsia="ru-RU"/>
        </w:rPr>
        <w:t>отримувачем</w:t>
      </w:r>
      <w:proofErr w:type="spellEnd"/>
      <w:r w:rsidRPr="00893CD4">
        <w:rPr>
          <w:rFonts w:ascii="Times New Roman" w:eastAsia="Times New Roman" w:hAnsi="Times New Roman" w:cs="Times New Roman"/>
          <w:b/>
          <w:bCs/>
          <w:sz w:val="20"/>
          <w:szCs w:val="20"/>
          <w:lang w:val="uk-UA" w:eastAsia="ru-RU"/>
        </w:rPr>
        <w:t xml:space="preserve"> доходу, чи дозволяється застосування міжнародного договору України?</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Відповідь: Добрий день!</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Положення статті 103 Податкового кодексу України (Кодекс) Законом України № 466 доповнено новими нормами, відповідно до яких податкові вигоди у вигляді звільнення від оподаткування або застосування пониженої ставки податку, передбачені міжнародним договором, не надаються стосовно відповідного виду доходу або прибутку, якщо головною або переважною метою здійснення відповідної господарської операції нерезидента з резидентом України було безпосереднє або опосередковане отримання переваг, які надаються міжнародним договором у вигляді звільнення від оподаткування або застосування пониженої ставки податку. Ця норма не застосовується, якщо буде встановлено, що отримання таких переваг відповідає об’єкту та цілям міжнародного договору України. У разі якщо міжнародним договором, згода на обов’язковість якого надана Верховною Радою України, встановлені інші правила, ніж передбачені цим пунктом, застосовуються відповідні правила міжнародного договору.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разі якщо </w:t>
      </w:r>
      <w:proofErr w:type="spellStart"/>
      <w:r w:rsidRPr="00893CD4">
        <w:rPr>
          <w:rFonts w:ascii="Times New Roman" w:eastAsia="Times New Roman" w:hAnsi="Times New Roman" w:cs="Times New Roman"/>
          <w:b/>
          <w:bCs/>
          <w:sz w:val="20"/>
          <w:szCs w:val="20"/>
          <w:lang w:val="uk-UA" w:eastAsia="ru-RU"/>
        </w:rPr>
        <w:t>отримувач</w:t>
      </w:r>
      <w:proofErr w:type="spellEnd"/>
      <w:r w:rsidRPr="00893CD4">
        <w:rPr>
          <w:rFonts w:ascii="Times New Roman" w:eastAsia="Times New Roman" w:hAnsi="Times New Roman" w:cs="Times New Roman"/>
          <w:b/>
          <w:bCs/>
          <w:sz w:val="20"/>
          <w:szCs w:val="20"/>
          <w:lang w:val="uk-UA" w:eastAsia="ru-RU"/>
        </w:rPr>
        <w:t xml:space="preserve"> доходу є нерезидентом</w:t>
      </w:r>
      <w:r w:rsidRPr="00DE0A11">
        <w:rPr>
          <w:rFonts w:ascii="Times New Roman" w:eastAsia="Times New Roman" w:hAnsi="Times New Roman" w:cs="Times New Roman"/>
          <w:sz w:val="20"/>
          <w:szCs w:val="20"/>
          <w:lang w:val="uk-UA" w:eastAsia="ru-RU"/>
        </w:rPr>
        <w:t xml:space="preserve">, який не є </w:t>
      </w:r>
      <w:proofErr w:type="spellStart"/>
      <w:r w:rsidRPr="00DE0A11">
        <w:rPr>
          <w:rFonts w:ascii="Times New Roman" w:eastAsia="Times New Roman" w:hAnsi="Times New Roman" w:cs="Times New Roman"/>
          <w:sz w:val="20"/>
          <w:szCs w:val="20"/>
          <w:lang w:val="uk-UA" w:eastAsia="ru-RU"/>
        </w:rPr>
        <w:t>бенефіціарним</w:t>
      </w:r>
      <w:proofErr w:type="spellEnd"/>
      <w:r w:rsidRPr="00DE0A11">
        <w:rPr>
          <w:rFonts w:ascii="Times New Roman" w:eastAsia="Times New Roman" w:hAnsi="Times New Roman" w:cs="Times New Roman"/>
          <w:sz w:val="20"/>
          <w:szCs w:val="20"/>
          <w:lang w:val="uk-UA" w:eastAsia="ru-RU"/>
        </w:rPr>
        <w:t xml:space="preserve"> (фактичним) </w:t>
      </w:r>
      <w:proofErr w:type="spellStart"/>
      <w:r w:rsidRPr="00DE0A11">
        <w:rPr>
          <w:rFonts w:ascii="Times New Roman" w:eastAsia="Times New Roman" w:hAnsi="Times New Roman" w:cs="Times New Roman"/>
          <w:sz w:val="20"/>
          <w:szCs w:val="20"/>
          <w:lang w:val="uk-UA" w:eastAsia="ru-RU"/>
        </w:rPr>
        <w:t>отримувачем</w:t>
      </w:r>
      <w:proofErr w:type="spellEnd"/>
      <w:r w:rsidRPr="00DE0A11">
        <w:rPr>
          <w:rFonts w:ascii="Times New Roman" w:eastAsia="Times New Roman" w:hAnsi="Times New Roman" w:cs="Times New Roman"/>
          <w:sz w:val="20"/>
          <w:szCs w:val="20"/>
          <w:lang w:val="uk-UA" w:eastAsia="ru-RU"/>
        </w:rPr>
        <w:t xml:space="preserve"> (власником) доходу, </w:t>
      </w:r>
      <w:r w:rsidRPr="00893CD4">
        <w:rPr>
          <w:rFonts w:ascii="Times New Roman" w:eastAsia="Times New Roman" w:hAnsi="Times New Roman" w:cs="Times New Roman"/>
          <w:b/>
          <w:bCs/>
          <w:sz w:val="20"/>
          <w:szCs w:val="20"/>
          <w:lang w:val="uk-UA" w:eastAsia="ru-RU"/>
        </w:rPr>
        <w:t>дозволяється застосування міжнародного договору України з країною</w:t>
      </w:r>
      <w:r w:rsidRPr="00DE0A11">
        <w:rPr>
          <w:rFonts w:ascii="Times New Roman" w:eastAsia="Times New Roman" w:hAnsi="Times New Roman" w:cs="Times New Roman"/>
          <w:sz w:val="20"/>
          <w:szCs w:val="20"/>
          <w:lang w:val="uk-UA" w:eastAsia="ru-RU"/>
        </w:rPr>
        <w:t xml:space="preserve">, резидентом якої є відповідний </w:t>
      </w:r>
      <w:proofErr w:type="spellStart"/>
      <w:r w:rsidRPr="00DE0A11">
        <w:rPr>
          <w:rFonts w:ascii="Times New Roman" w:eastAsia="Times New Roman" w:hAnsi="Times New Roman" w:cs="Times New Roman"/>
          <w:sz w:val="20"/>
          <w:szCs w:val="20"/>
          <w:lang w:val="uk-UA" w:eastAsia="ru-RU"/>
        </w:rPr>
        <w:t>бенефіціарний</w:t>
      </w:r>
      <w:proofErr w:type="spellEnd"/>
      <w:r w:rsidRPr="00DE0A11">
        <w:rPr>
          <w:rFonts w:ascii="Times New Roman" w:eastAsia="Times New Roman" w:hAnsi="Times New Roman" w:cs="Times New Roman"/>
          <w:sz w:val="20"/>
          <w:szCs w:val="20"/>
          <w:lang w:val="uk-UA" w:eastAsia="ru-RU"/>
        </w:rPr>
        <w:t xml:space="preserve"> (фактичний) </w:t>
      </w:r>
      <w:proofErr w:type="spellStart"/>
      <w:r w:rsidRPr="00DE0A11">
        <w:rPr>
          <w:rFonts w:ascii="Times New Roman" w:eastAsia="Times New Roman" w:hAnsi="Times New Roman" w:cs="Times New Roman"/>
          <w:sz w:val="20"/>
          <w:szCs w:val="20"/>
          <w:lang w:val="uk-UA" w:eastAsia="ru-RU"/>
        </w:rPr>
        <w:t>отримувач</w:t>
      </w:r>
      <w:proofErr w:type="spellEnd"/>
      <w:r w:rsidRPr="00DE0A11">
        <w:rPr>
          <w:rFonts w:ascii="Times New Roman" w:eastAsia="Times New Roman" w:hAnsi="Times New Roman" w:cs="Times New Roman"/>
          <w:sz w:val="20"/>
          <w:szCs w:val="20"/>
          <w:lang w:val="uk-UA" w:eastAsia="ru-RU"/>
        </w:rPr>
        <w:t xml:space="preserve"> (власник) такого доходу, </w:t>
      </w:r>
      <w:r w:rsidRPr="00893CD4">
        <w:rPr>
          <w:rFonts w:ascii="Times New Roman" w:eastAsia="Times New Roman" w:hAnsi="Times New Roman" w:cs="Times New Roman"/>
          <w:b/>
          <w:bCs/>
          <w:sz w:val="20"/>
          <w:szCs w:val="20"/>
          <w:lang w:val="uk-UA" w:eastAsia="ru-RU"/>
        </w:rPr>
        <w:t>в частині</w:t>
      </w:r>
      <w:r w:rsidRPr="00DE0A11">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b/>
          <w:bCs/>
          <w:sz w:val="20"/>
          <w:szCs w:val="20"/>
          <w:lang w:val="uk-UA" w:eastAsia="ru-RU"/>
        </w:rPr>
        <w:t>звільнення від оподаткування або застосування пониженої ставки податку</w:t>
      </w:r>
      <w:r w:rsidRPr="00DE0A11">
        <w:rPr>
          <w:rFonts w:ascii="Times New Roman" w:eastAsia="Times New Roman" w:hAnsi="Times New Roman" w:cs="Times New Roman"/>
          <w:sz w:val="20"/>
          <w:szCs w:val="20"/>
          <w:lang w:val="uk-UA" w:eastAsia="ru-RU"/>
        </w:rPr>
        <w:t xml:space="preserve">, за умови надання особі (податковому агенту) таких документів: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а) від </w:t>
      </w:r>
      <w:proofErr w:type="spellStart"/>
      <w:r w:rsidRPr="00DE0A11">
        <w:rPr>
          <w:rFonts w:ascii="Times New Roman" w:eastAsia="Times New Roman" w:hAnsi="Times New Roman" w:cs="Times New Roman"/>
          <w:sz w:val="20"/>
          <w:szCs w:val="20"/>
          <w:lang w:val="uk-UA" w:eastAsia="ru-RU"/>
        </w:rPr>
        <w:t>отримувача</w:t>
      </w:r>
      <w:proofErr w:type="spellEnd"/>
      <w:r w:rsidRPr="00DE0A11">
        <w:rPr>
          <w:rFonts w:ascii="Times New Roman" w:eastAsia="Times New Roman" w:hAnsi="Times New Roman" w:cs="Times New Roman"/>
          <w:sz w:val="20"/>
          <w:szCs w:val="20"/>
          <w:lang w:val="uk-UA" w:eastAsia="ru-RU"/>
        </w:rPr>
        <w:t xml:space="preserve"> доходу – заяви у довільній формі про відсутність у нього статусу </w:t>
      </w:r>
      <w:proofErr w:type="spellStart"/>
      <w:r w:rsidRPr="00DE0A11">
        <w:rPr>
          <w:rFonts w:ascii="Times New Roman" w:eastAsia="Times New Roman" w:hAnsi="Times New Roman" w:cs="Times New Roman"/>
          <w:sz w:val="20"/>
          <w:szCs w:val="20"/>
          <w:lang w:val="uk-UA" w:eastAsia="ru-RU"/>
        </w:rPr>
        <w:t>бенефіціарного</w:t>
      </w:r>
      <w:proofErr w:type="spellEnd"/>
      <w:r w:rsidRPr="00DE0A11">
        <w:rPr>
          <w:rFonts w:ascii="Times New Roman" w:eastAsia="Times New Roman" w:hAnsi="Times New Roman" w:cs="Times New Roman"/>
          <w:sz w:val="20"/>
          <w:szCs w:val="20"/>
          <w:lang w:val="uk-UA" w:eastAsia="ru-RU"/>
        </w:rPr>
        <w:t xml:space="preserve"> (фактичного) </w:t>
      </w:r>
      <w:proofErr w:type="spellStart"/>
      <w:r w:rsidRPr="00DE0A11">
        <w:rPr>
          <w:rFonts w:ascii="Times New Roman" w:eastAsia="Times New Roman" w:hAnsi="Times New Roman" w:cs="Times New Roman"/>
          <w:sz w:val="20"/>
          <w:szCs w:val="20"/>
          <w:lang w:val="uk-UA" w:eastAsia="ru-RU"/>
        </w:rPr>
        <w:t>отримувача</w:t>
      </w:r>
      <w:proofErr w:type="spellEnd"/>
      <w:r w:rsidRPr="00DE0A11">
        <w:rPr>
          <w:rFonts w:ascii="Times New Roman" w:eastAsia="Times New Roman" w:hAnsi="Times New Roman" w:cs="Times New Roman"/>
          <w:sz w:val="20"/>
          <w:szCs w:val="20"/>
          <w:lang w:val="uk-UA" w:eastAsia="ru-RU"/>
        </w:rPr>
        <w:t xml:space="preserve"> (власника) доходу, а також про наявність такого статусу у нерезидента, який надав документи, зазначені 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«б» п. 103.2 ст. 103 Кодексу;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б) від </w:t>
      </w:r>
      <w:proofErr w:type="spellStart"/>
      <w:r w:rsidRPr="00DE0A11">
        <w:rPr>
          <w:rFonts w:ascii="Times New Roman" w:eastAsia="Times New Roman" w:hAnsi="Times New Roman" w:cs="Times New Roman"/>
          <w:sz w:val="20"/>
          <w:szCs w:val="20"/>
          <w:lang w:val="uk-UA" w:eastAsia="ru-RU"/>
        </w:rPr>
        <w:t>бенефіціарного</w:t>
      </w:r>
      <w:proofErr w:type="spellEnd"/>
      <w:r w:rsidRPr="00DE0A11">
        <w:rPr>
          <w:rFonts w:ascii="Times New Roman" w:eastAsia="Times New Roman" w:hAnsi="Times New Roman" w:cs="Times New Roman"/>
          <w:sz w:val="20"/>
          <w:szCs w:val="20"/>
          <w:lang w:val="uk-UA" w:eastAsia="ru-RU"/>
        </w:rPr>
        <w:t xml:space="preserve"> (фактичного) </w:t>
      </w:r>
      <w:proofErr w:type="spellStart"/>
      <w:r w:rsidRPr="00DE0A11">
        <w:rPr>
          <w:rFonts w:ascii="Times New Roman" w:eastAsia="Times New Roman" w:hAnsi="Times New Roman" w:cs="Times New Roman"/>
          <w:sz w:val="20"/>
          <w:szCs w:val="20"/>
          <w:lang w:val="uk-UA" w:eastAsia="ru-RU"/>
        </w:rPr>
        <w:t>отримувача</w:t>
      </w:r>
      <w:proofErr w:type="spellEnd"/>
      <w:r w:rsidRPr="00DE0A11">
        <w:rPr>
          <w:rFonts w:ascii="Times New Roman" w:eastAsia="Times New Roman" w:hAnsi="Times New Roman" w:cs="Times New Roman"/>
          <w:sz w:val="20"/>
          <w:szCs w:val="20"/>
          <w:lang w:val="uk-UA" w:eastAsia="ru-RU"/>
        </w:rPr>
        <w:t xml:space="preserve"> (власника) доходу – заяви у довільній формі про наявність у такого нерезидента статусу </w:t>
      </w:r>
      <w:proofErr w:type="spellStart"/>
      <w:r w:rsidRPr="00DE0A11">
        <w:rPr>
          <w:rFonts w:ascii="Times New Roman" w:eastAsia="Times New Roman" w:hAnsi="Times New Roman" w:cs="Times New Roman"/>
          <w:sz w:val="20"/>
          <w:szCs w:val="20"/>
          <w:lang w:val="uk-UA" w:eastAsia="ru-RU"/>
        </w:rPr>
        <w:t>бенефіціарного</w:t>
      </w:r>
      <w:proofErr w:type="spellEnd"/>
      <w:r w:rsidRPr="00DE0A11">
        <w:rPr>
          <w:rFonts w:ascii="Times New Roman" w:eastAsia="Times New Roman" w:hAnsi="Times New Roman" w:cs="Times New Roman"/>
          <w:sz w:val="20"/>
          <w:szCs w:val="20"/>
          <w:lang w:val="uk-UA" w:eastAsia="ru-RU"/>
        </w:rPr>
        <w:t xml:space="preserve"> (фактичного) </w:t>
      </w:r>
      <w:proofErr w:type="spellStart"/>
      <w:r w:rsidRPr="00DE0A11">
        <w:rPr>
          <w:rFonts w:ascii="Times New Roman" w:eastAsia="Times New Roman" w:hAnsi="Times New Roman" w:cs="Times New Roman"/>
          <w:sz w:val="20"/>
          <w:szCs w:val="20"/>
          <w:lang w:val="uk-UA" w:eastAsia="ru-RU"/>
        </w:rPr>
        <w:t>отримувача</w:t>
      </w:r>
      <w:proofErr w:type="spellEnd"/>
      <w:r w:rsidRPr="00DE0A11">
        <w:rPr>
          <w:rFonts w:ascii="Times New Roman" w:eastAsia="Times New Roman" w:hAnsi="Times New Roman" w:cs="Times New Roman"/>
          <w:sz w:val="20"/>
          <w:szCs w:val="20"/>
          <w:lang w:val="uk-UA" w:eastAsia="ru-RU"/>
        </w:rPr>
        <w:t xml:space="preserve"> (власника) доходу та документів, які підтверджують такий </w:t>
      </w:r>
      <w:r w:rsidRPr="00DE0A11">
        <w:rPr>
          <w:rFonts w:ascii="Times New Roman" w:eastAsia="Times New Roman" w:hAnsi="Times New Roman" w:cs="Times New Roman"/>
          <w:sz w:val="20"/>
          <w:szCs w:val="20"/>
          <w:lang w:val="uk-UA" w:eastAsia="ru-RU"/>
        </w:rPr>
        <w:lastRenderedPageBreak/>
        <w:t xml:space="preserve">статус (зокрема, але не виключно, ліцензії, договори, офіційні листи компетентних органів), а також документа, який підтверджує статус податкового резидента згідно з вимогами п. 103.4 ст. 103 Кодексу.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Питання 2. Добрий день!</w:t>
      </w:r>
      <w:r w:rsidRPr="00DE0A11">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b/>
          <w:bCs/>
          <w:sz w:val="20"/>
          <w:szCs w:val="20"/>
          <w:lang w:val="uk-UA" w:eastAsia="ru-RU"/>
        </w:rPr>
        <w:t>Хочу отримати відповідь на наступне питання. За рішенням суду скасовано анулювання реєстрації мене, як платника ПДВ: що у такому разі із сумою ПДВ, на яку</w:t>
      </w:r>
      <w:r w:rsidRPr="00DE0A11">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b/>
          <w:bCs/>
          <w:sz w:val="20"/>
          <w:szCs w:val="20"/>
          <w:lang w:val="uk-UA" w:eastAsia="ru-RU"/>
        </w:rPr>
        <w:t>я маю право зареєструвати податкові накладні та/або розрахунки коригування в Єдиному реєстрі податкових накладних?</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Відповідь:</w:t>
      </w:r>
      <w:r w:rsidRPr="00DE0A11">
        <w:rPr>
          <w:rFonts w:ascii="Times New Roman" w:eastAsia="Times New Roman" w:hAnsi="Times New Roman" w:cs="Times New Roman"/>
          <w:sz w:val="20"/>
          <w:szCs w:val="20"/>
          <w:lang w:val="uk-UA" w:eastAsia="ru-RU"/>
        </w:rPr>
        <w:t xml:space="preserve"> Вітаю!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Законом України № 466 статтю 200</w:t>
      </w:r>
      <w:r w:rsidRPr="00DE0A11">
        <w:rPr>
          <w:rFonts w:ascii="Times New Roman" w:eastAsia="Times New Roman" w:hAnsi="Times New Roman" w:cs="Times New Roman"/>
          <w:sz w:val="20"/>
          <w:szCs w:val="20"/>
          <w:vertAlign w:val="superscript"/>
          <w:lang w:val="uk-UA" w:eastAsia="ru-RU"/>
        </w:rPr>
        <w:t>1</w:t>
      </w:r>
      <w:r w:rsidRPr="00DE0A11">
        <w:rPr>
          <w:rFonts w:ascii="Times New Roman" w:eastAsia="Times New Roman" w:hAnsi="Times New Roman" w:cs="Times New Roman"/>
          <w:sz w:val="20"/>
          <w:szCs w:val="20"/>
          <w:lang w:val="uk-UA" w:eastAsia="ru-RU"/>
        </w:rPr>
        <w:t xml:space="preserve"> Кодексу доповнено новими нормами (п. 200</w:t>
      </w:r>
      <w:r w:rsidRPr="00DE0A11">
        <w:rPr>
          <w:rFonts w:ascii="Times New Roman" w:eastAsia="Times New Roman" w:hAnsi="Times New Roman" w:cs="Times New Roman"/>
          <w:sz w:val="20"/>
          <w:szCs w:val="20"/>
          <w:vertAlign w:val="superscript"/>
          <w:lang w:val="uk-UA" w:eastAsia="ru-RU"/>
        </w:rPr>
        <w:t>1</w:t>
      </w:r>
      <w:r w:rsidRPr="00DE0A11">
        <w:rPr>
          <w:rFonts w:ascii="Times New Roman" w:eastAsia="Times New Roman" w:hAnsi="Times New Roman" w:cs="Times New Roman"/>
          <w:sz w:val="20"/>
          <w:szCs w:val="20"/>
          <w:lang w:val="uk-UA" w:eastAsia="ru-RU"/>
        </w:rPr>
        <w:t xml:space="preserve">.3) .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Так, у разі внесення за рішенням контролюючого органу або рішенням суду, яке набрало законної сили, до реєстру платників податку на додану вартість змін щодо скасування (відміни) анулювання реєстрації платника податку на додану вартість, сума ПДВ, на яку платник має право зареєструвати податкові накладні в Єдиному реєстрі податкових накладних (</w:t>
      </w:r>
      <w:proofErr w:type="spellStart"/>
      <w:r w:rsidRPr="00DE0A11">
        <w:rPr>
          <w:rFonts w:ascii="Times New Roman" w:eastAsia="Times New Roman" w:hAnsi="Times New Roman" w:cs="Times New Roman"/>
          <w:sz w:val="20"/>
          <w:szCs w:val="20"/>
          <w:lang w:val="uk-UA" w:eastAsia="ru-RU"/>
        </w:rPr>
        <w:t>ΣНакл</w:t>
      </w:r>
      <w:proofErr w:type="spellEnd"/>
      <w:r w:rsidRPr="00DE0A11">
        <w:rPr>
          <w:rFonts w:ascii="Times New Roman" w:eastAsia="Times New Roman" w:hAnsi="Times New Roman" w:cs="Times New Roman"/>
          <w:sz w:val="20"/>
          <w:szCs w:val="20"/>
          <w:lang w:val="uk-UA" w:eastAsia="ru-RU"/>
        </w:rPr>
        <w:t xml:space="preserve">), підлягає перерахунку за звітний (податковий) період, в якому відбулося анулювання реєстрації платника ПДВ, яке скасоване (відмінене).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Такий перерахунок здійснюється контролюючим органом протягом трьох робочих днів, що настають за днем внесення контролюючим органом до реєстру платників податку на додану вартість змін щодо скасування анулювання реєстрації такого платника, </w:t>
      </w:r>
      <w:r w:rsidRPr="00893CD4">
        <w:rPr>
          <w:rFonts w:ascii="Times New Roman" w:eastAsia="Times New Roman" w:hAnsi="Times New Roman" w:cs="Times New Roman"/>
          <w:i/>
          <w:iCs/>
          <w:sz w:val="20"/>
          <w:szCs w:val="20"/>
          <w:lang w:val="uk-UA" w:eastAsia="ru-RU"/>
        </w:rPr>
        <w:t>крім випадків, коли на момент скасування рішення про анулювання реєстрації особа застосовує спрощену систему оподаткування, яка не передбачає сплату податку на додану вартість, або повторна реєстрація</w:t>
      </w:r>
      <w:r w:rsidRPr="00DE0A11">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i/>
          <w:iCs/>
          <w:sz w:val="20"/>
          <w:szCs w:val="20"/>
          <w:lang w:val="uk-UA" w:eastAsia="ru-RU"/>
        </w:rPr>
        <w:t>(наступна за відміненою) платником ПДВ такої особи є анульованою з підстав, передбачених п. 184.1 ст. 184 Кодексу</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Питання 3. Доброго дня!</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Скажіть, будь ласка, як я можу при отриманні податкової знижки за     2019 рік підтвердити понесені витрати?</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Відповідь.</w:t>
      </w:r>
      <w:r w:rsidRPr="00DE0A11">
        <w:rPr>
          <w:rFonts w:ascii="Times New Roman" w:eastAsia="Times New Roman" w:hAnsi="Times New Roman" w:cs="Times New Roman"/>
          <w:sz w:val="20"/>
          <w:szCs w:val="20"/>
          <w:lang w:val="uk-UA" w:eastAsia="ru-RU"/>
        </w:rPr>
        <w:t xml:space="preserve"> Добрий день!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Законом України № 466 внесено зміни до п. 166.2 ст. 166 Кодексу у частині документального підтвердження витрат, які включаються до податкової знижки.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Так, особа, яка звертається за податковою знижкою до податкового органу окрім податкової декларації про майновий стан і доходи (Декларація), має подати до контролюючого органу копії документів, які підтверджують витрати, що включаються до податкової знижки (платіжні та розрахункові документи, зокрема, квитанції, фіскальні або товарні чеки, прибуткові касові ордери, що ідентифікують продавця товарів і особу, яка зверталася за податковою знижкою), а також копії договорів за їх наявності, в яких обов’язково повинно бути відображено вартість таких товарів і строк оплати за такі товари. При цьому, оригінали вищевказаних документів підлягають зберіганню платником податку на доходи фізичних осіб (ПДФО).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Звертаємо увагу, що відповідно до внесених Законом України № 466 змін до ст. 166 Кодексу </w:t>
      </w:r>
      <w:r w:rsidRPr="00893CD4">
        <w:rPr>
          <w:rFonts w:ascii="Times New Roman" w:eastAsia="Times New Roman" w:hAnsi="Times New Roman" w:cs="Times New Roman"/>
          <w:b/>
          <w:bCs/>
          <w:sz w:val="20"/>
          <w:szCs w:val="20"/>
          <w:lang w:val="uk-UA" w:eastAsia="ru-RU"/>
        </w:rPr>
        <w:t>з 23.05.2020</w:t>
      </w:r>
      <w:r w:rsidRPr="00DE0A11">
        <w:rPr>
          <w:rFonts w:ascii="Times New Roman" w:eastAsia="Times New Roman" w:hAnsi="Times New Roman" w:cs="Times New Roman"/>
          <w:sz w:val="20"/>
          <w:szCs w:val="20"/>
          <w:lang w:val="uk-UA" w:eastAsia="ru-RU"/>
        </w:rPr>
        <w:t xml:space="preserve"> платник ПДФО може підтвердити витрати електронним розрахунковим документом. При цьому, у податковій Декларації такий платник зазначає лише реквізити електронного розрахункового документа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166.2.2 п. 166.2 ст. 166 Кодексу).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Нагадаємо, що для отримання права на податкову знижку за 2019 рік платник ПДФО подає Декларацію по 31 грудня 2020 року (включно). Податок підлягає поверненню протягом 60 календарних днів з дня подання Декларації.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Питання 4. Добрий день. Хотілось уточнити, як можна отримати консультацію за допомогою Електронного кабінету?</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Відповідь.</w:t>
      </w:r>
      <w:r w:rsidRPr="00DE0A11">
        <w:rPr>
          <w:rFonts w:ascii="Times New Roman" w:eastAsia="Times New Roman" w:hAnsi="Times New Roman" w:cs="Times New Roman"/>
          <w:sz w:val="20"/>
          <w:szCs w:val="20"/>
          <w:lang w:val="uk-UA" w:eastAsia="ru-RU"/>
        </w:rPr>
        <w:t xml:space="preserve"> Вітаю!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Законом України № 466 внесено зміни до Кодексу, зокрема в частині вдосконалення порядку надання податковими органами індивідуальних податкових консультацій (ІПК).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Так, </w:t>
      </w:r>
      <w:r w:rsidRPr="00893CD4">
        <w:rPr>
          <w:rFonts w:ascii="Times New Roman" w:eastAsia="Times New Roman" w:hAnsi="Times New Roman" w:cs="Times New Roman"/>
          <w:b/>
          <w:bCs/>
          <w:sz w:val="20"/>
          <w:szCs w:val="20"/>
          <w:lang w:val="uk-UA" w:eastAsia="ru-RU"/>
        </w:rPr>
        <w:t>з 01 липня 2020 року</w:t>
      </w:r>
      <w:r w:rsidRPr="00DE0A11">
        <w:rPr>
          <w:rFonts w:ascii="Times New Roman" w:eastAsia="Times New Roman" w:hAnsi="Times New Roman" w:cs="Times New Roman"/>
          <w:sz w:val="20"/>
          <w:szCs w:val="20"/>
          <w:lang w:val="uk-UA" w:eastAsia="ru-RU"/>
        </w:rPr>
        <w:t xml:space="preserve"> Електронний кабінет надає можливість платнику податків подавати звернення на отримання ІПК в електронній формі. Для цього платнику необхідно подати запит на ІПК через меню «Листування з ДПС» Електронного кабінету.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Запит на ІПК в електронній формі необхідно оформлювати з дотриманням вимог законів України «Про електронні документи та електронний документообіг» та «Про електронні довірчі послуги».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Крім того, податковий орган має право надавати індивідуальні податкові консультації також в електронній формі.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Також відповідно до змін, внесених Законом України № 466, збільшено з 10 до 15 календарних днів термін, на який може бути продовжено строк розгляду звернення на отримання ІПК.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Загальний строк (з урахуванням продовження) надання ІПК, передбачений Кодексом, складає не більше 40 днів.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Питання 5. Доброго дня! Я приватний підприємець – «</w:t>
      </w:r>
      <w:proofErr w:type="spellStart"/>
      <w:r w:rsidRPr="00893CD4">
        <w:rPr>
          <w:rFonts w:ascii="Times New Roman" w:eastAsia="Times New Roman" w:hAnsi="Times New Roman" w:cs="Times New Roman"/>
          <w:b/>
          <w:bCs/>
          <w:sz w:val="20"/>
          <w:szCs w:val="20"/>
          <w:lang w:val="uk-UA" w:eastAsia="ru-RU"/>
        </w:rPr>
        <w:t>єдинник</w:t>
      </w:r>
      <w:proofErr w:type="spellEnd"/>
      <w:r w:rsidRPr="00893CD4">
        <w:rPr>
          <w:rFonts w:ascii="Times New Roman" w:eastAsia="Times New Roman" w:hAnsi="Times New Roman" w:cs="Times New Roman"/>
          <w:b/>
          <w:bCs/>
          <w:sz w:val="20"/>
          <w:szCs w:val="20"/>
          <w:lang w:val="uk-UA" w:eastAsia="ru-RU"/>
        </w:rPr>
        <w:t>» другої групи і хочу запитати: з якого періоду я зможу відмовитись від обов’язку ведення книги обліку доходів?</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Відповідь.</w:t>
      </w:r>
      <w:r w:rsidRPr="00DE0A11">
        <w:rPr>
          <w:rFonts w:ascii="Times New Roman" w:eastAsia="Times New Roman" w:hAnsi="Times New Roman" w:cs="Times New Roman"/>
          <w:sz w:val="20"/>
          <w:szCs w:val="20"/>
          <w:lang w:val="uk-UA" w:eastAsia="ru-RU"/>
        </w:rPr>
        <w:t xml:space="preserve"> Вітаю!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Закону України № 786 </w:t>
      </w:r>
      <w:r w:rsidRPr="00893CD4">
        <w:rPr>
          <w:rFonts w:ascii="Times New Roman" w:eastAsia="Times New Roman" w:hAnsi="Times New Roman" w:cs="Times New Roman"/>
          <w:b/>
          <w:bCs/>
          <w:sz w:val="20"/>
          <w:szCs w:val="20"/>
          <w:lang w:val="uk-UA" w:eastAsia="ru-RU"/>
        </w:rPr>
        <w:t>з 01 січня 2021</w:t>
      </w:r>
      <w:r w:rsidRPr="00DE0A11">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b/>
          <w:bCs/>
          <w:sz w:val="20"/>
          <w:szCs w:val="20"/>
          <w:lang w:val="uk-UA" w:eastAsia="ru-RU"/>
        </w:rPr>
        <w:t>року</w:t>
      </w:r>
      <w:r w:rsidRPr="00DE0A11">
        <w:rPr>
          <w:rFonts w:ascii="Times New Roman" w:eastAsia="Times New Roman" w:hAnsi="Times New Roman" w:cs="Times New Roman"/>
          <w:sz w:val="20"/>
          <w:szCs w:val="20"/>
          <w:lang w:val="uk-UA" w:eastAsia="ru-RU"/>
        </w:rPr>
        <w:t xml:space="preserve"> скасовується обов’язок ведення книги обліку доходів для фізичних осіб – підприємців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 платників єдиного податку першої – третьої груп. При цьому, такі </w:t>
      </w:r>
      <w:proofErr w:type="spellStart"/>
      <w:r w:rsidRPr="00DE0A11">
        <w:rPr>
          <w:rFonts w:ascii="Times New Roman" w:eastAsia="Times New Roman" w:hAnsi="Times New Roman" w:cs="Times New Roman"/>
          <w:sz w:val="20"/>
          <w:szCs w:val="20"/>
          <w:lang w:val="uk-UA" w:eastAsia="ru-RU"/>
        </w:rPr>
        <w:t>ФОПи</w:t>
      </w:r>
      <w:proofErr w:type="spellEnd"/>
      <w:r w:rsidRPr="00DE0A11">
        <w:rPr>
          <w:rFonts w:ascii="Times New Roman" w:eastAsia="Times New Roman" w:hAnsi="Times New Roman" w:cs="Times New Roman"/>
          <w:sz w:val="20"/>
          <w:szCs w:val="20"/>
          <w:lang w:val="uk-UA" w:eastAsia="ru-RU"/>
        </w:rPr>
        <w:t xml:space="preserve"> – «</w:t>
      </w:r>
      <w:proofErr w:type="spellStart"/>
      <w:r w:rsidRPr="00DE0A11">
        <w:rPr>
          <w:rFonts w:ascii="Times New Roman" w:eastAsia="Times New Roman" w:hAnsi="Times New Roman" w:cs="Times New Roman"/>
          <w:sz w:val="20"/>
          <w:szCs w:val="20"/>
          <w:lang w:val="uk-UA" w:eastAsia="ru-RU"/>
        </w:rPr>
        <w:t>єдинники</w:t>
      </w:r>
      <w:proofErr w:type="spellEnd"/>
      <w:r w:rsidRPr="00DE0A11">
        <w:rPr>
          <w:rFonts w:ascii="Times New Roman" w:eastAsia="Times New Roman" w:hAnsi="Times New Roman" w:cs="Times New Roman"/>
          <w:sz w:val="20"/>
          <w:szCs w:val="20"/>
          <w:lang w:val="uk-UA" w:eastAsia="ru-RU"/>
        </w:rPr>
        <w:t xml:space="preserve">» будуть зобов’язані вести облік діяльності у довільній формі в паперовому та/або електронному вигляді, а саме: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 платники єдиного податку першої і другої груп та третьої групи – неплатники ПДВ вестимуть облік діяльності у довільній формі шляхом помісячного відображення отриманих доходів;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 «</w:t>
      </w:r>
      <w:proofErr w:type="spellStart"/>
      <w:r w:rsidRPr="00DE0A11">
        <w:rPr>
          <w:rFonts w:ascii="Times New Roman" w:eastAsia="Times New Roman" w:hAnsi="Times New Roman" w:cs="Times New Roman"/>
          <w:sz w:val="20"/>
          <w:szCs w:val="20"/>
          <w:lang w:val="uk-UA" w:eastAsia="ru-RU"/>
        </w:rPr>
        <w:t>єдинники</w:t>
      </w:r>
      <w:proofErr w:type="spellEnd"/>
      <w:r w:rsidRPr="00DE0A11">
        <w:rPr>
          <w:rFonts w:ascii="Times New Roman" w:eastAsia="Times New Roman" w:hAnsi="Times New Roman" w:cs="Times New Roman"/>
          <w:sz w:val="20"/>
          <w:szCs w:val="20"/>
          <w:lang w:val="uk-UA" w:eastAsia="ru-RU"/>
        </w:rPr>
        <w:t xml:space="preserve">» третьої групи – платники ПДВ такий облік будуть вести у довільній формі шляхом помісячного відображення доходів та витрат.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встановлені оновленим п. 296.1 ст. 296 Кодексу.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Водночас, по 31 грудня 2020 року згідно з вимогами Кодексу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 платники єдиного податку першої – третьої груп, які не є платниками ПДВ, ведуть за встановленою формою Книгу обліку доходів шляхом щоденного, за підсумками робочого дня, відображення отриманих доходів, а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 «</w:t>
      </w:r>
      <w:proofErr w:type="spellStart"/>
      <w:r w:rsidRPr="00DE0A11">
        <w:rPr>
          <w:rFonts w:ascii="Times New Roman" w:eastAsia="Times New Roman" w:hAnsi="Times New Roman" w:cs="Times New Roman"/>
          <w:sz w:val="20"/>
          <w:szCs w:val="20"/>
          <w:lang w:val="uk-UA" w:eastAsia="ru-RU"/>
        </w:rPr>
        <w:t>єдинники</w:t>
      </w:r>
      <w:proofErr w:type="spellEnd"/>
      <w:r w:rsidRPr="00DE0A11">
        <w:rPr>
          <w:rFonts w:ascii="Times New Roman" w:eastAsia="Times New Roman" w:hAnsi="Times New Roman" w:cs="Times New Roman"/>
          <w:sz w:val="20"/>
          <w:szCs w:val="20"/>
          <w:lang w:val="uk-UA" w:eastAsia="ru-RU"/>
        </w:rPr>
        <w:t xml:space="preserve">» третьої  групи – платники ПДВ ведуть Книгу обліку доходів та витрат.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Нагадуємо, що Книги обліку доходів/доходів та витрат, які ведуть </w:t>
      </w:r>
      <w:proofErr w:type="spellStart"/>
      <w:r w:rsidRPr="00DE0A11">
        <w:rPr>
          <w:rFonts w:ascii="Times New Roman" w:eastAsia="Times New Roman" w:hAnsi="Times New Roman" w:cs="Times New Roman"/>
          <w:sz w:val="20"/>
          <w:szCs w:val="20"/>
          <w:lang w:val="uk-UA" w:eastAsia="ru-RU"/>
        </w:rPr>
        <w:t>ФОПи</w:t>
      </w:r>
      <w:proofErr w:type="spellEnd"/>
      <w:r w:rsidRPr="00DE0A11">
        <w:rPr>
          <w:rFonts w:ascii="Times New Roman" w:eastAsia="Times New Roman" w:hAnsi="Times New Roman" w:cs="Times New Roman"/>
          <w:sz w:val="20"/>
          <w:szCs w:val="20"/>
          <w:lang w:val="uk-UA" w:eastAsia="ru-RU"/>
        </w:rPr>
        <w:t xml:space="preserve"> – «</w:t>
      </w:r>
      <w:proofErr w:type="spellStart"/>
      <w:r w:rsidRPr="00DE0A11">
        <w:rPr>
          <w:rFonts w:ascii="Times New Roman" w:eastAsia="Times New Roman" w:hAnsi="Times New Roman" w:cs="Times New Roman"/>
          <w:sz w:val="20"/>
          <w:szCs w:val="20"/>
          <w:lang w:val="uk-UA" w:eastAsia="ru-RU"/>
        </w:rPr>
        <w:t>єдинники</w:t>
      </w:r>
      <w:proofErr w:type="spellEnd"/>
      <w:r w:rsidRPr="00DE0A11">
        <w:rPr>
          <w:rFonts w:ascii="Times New Roman" w:eastAsia="Times New Roman" w:hAnsi="Times New Roman" w:cs="Times New Roman"/>
          <w:sz w:val="20"/>
          <w:szCs w:val="20"/>
          <w:lang w:val="uk-UA" w:eastAsia="ru-RU"/>
        </w:rPr>
        <w:t xml:space="preserve">» необхідно зберігати протягом 3 років після закінчення звітного періоду, в якому здійснено останній запис.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t>Питання 6. Добрий день. У мене таке питання: як підтвердити достовірність номера облікової картки платника податків?</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b/>
          <w:bCs/>
          <w:sz w:val="20"/>
          <w:szCs w:val="20"/>
          <w:lang w:val="uk-UA" w:eastAsia="ru-RU"/>
        </w:rPr>
        <w:lastRenderedPageBreak/>
        <w:t>Відповідь.</w:t>
      </w:r>
      <w:r w:rsidRPr="00DE0A11">
        <w:rPr>
          <w:rFonts w:ascii="Times New Roman" w:eastAsia="Times New Roman" w:hAnsi="Times New Roman" w:cs="Times New Roman"/>
          <w:sz w:val="20"/>
          <w:szCs w:val="20"/>
          <w:lang w:val="uk-UA" w:eastAsia="ru-RU"/>
        </w:rPr>
        <w:t xml:space="preserve"> Добрий день.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норм Кодексу за зверненням платника податків, його законного представника або уповноваженої особи контролюючий орган видає документ, що засвідчує реєстрацію у Державному реєстрі фізичних осіб – платників податків.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такому документі зазначається реєстраційний номер облікової картки платника податків.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Згідно з доповненнями, внесеними Законом України № 786 до п. 70.9 ст. 70 Кодексу, підтвердженням достовірності реєстраційного номера облікової картки платника податків є документ, що засвідчує реєстрацію особи у Державному реєстрі фізичних осіб – платників податків, тобто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 або свідоцтва про народження.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Особа за власним вибором за потребою пред’являє один із зазначених документів для надання даних про реєстраційний номер облікової картки платника податків.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Особа може пред’явити копію документа, що засвідчує реєстрацію особи в Державному реєстрі – платників податків, у тому числі і в електронному вигляді, за умови наявності в одержувача інформації технічної можливості здійснити перевірку відповідності реєстраційних даних фізичної особи даним Державного реєстру фізичних осіб – платників податків в електронній формі інформаційно-телекомунікаційними засобами з використанням засобів технічного та криптографічного захисту інформації відповідно до вимог законодавства з питань захисту інформації. </w:t>
      </w:r>
    </w:p>
    <w:p w:rsidR="00FD60CE" w:rsidRPr="00893CD4"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Трудові відносини: про укладання трудового договору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Кодексу законів про працю України (далі – </w:t>
      </w:r>
      <w:proofErr w:type="spellStart"/>
      <w:r w:rsidRPr="00DE0A11">
        <w:rPr>
          <w:rFonts w:ascii="Times New Roman" w:eastAsia="Times New Roman" w:hAnsi="Times New Roman" w:cs="Times New Roman"/>
          <w:sz w:val="20"/>
          <w:szCs w:val="20"/>
          <w:lang w:val="uk-UA" w:eastAsia="ru-RU"/>
        </w:rPr>
        <w:t>КЗпП</w:t>
      </w:r>
      <w:proofErr w:type="spellEnd"/>
      <w:r w:rsidRPr="00DE0A11">
        <w:rPr>
          <w:rFonts w:ascii="Times New Roman" w:eastAsia="Times New Roman" w:hAnsi="Times New Roman" w:cs="Times New Roman"/>
          <w:sz w:val="20"/>
          <w:szCs w:val="20"/>
          <w:lang w:val="uk-UA" w:eastAsia="ru-RU"/>
        </w:rPr>
        <w:t xml:space="preserve">) трудовим договором є угода між працівником і власником підприємства, установи, організації або уповноваженим ним органом чи фізичною особою, за якою працівник зобов’язується виконувати роботу, визначену цією угодою, а власник підприємства, установи, організації або уповноважений ним орган чи фізична особа зобов’язується виплачувати працівникові заробітну плату і забезпечувати умови праці, необхідні для виконання роботи, передбачені законодавством про працю, колективним договором і угодою сторін.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Трудовий договір може бути: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безстроковим, що укладається на невизначений строк;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на визначений строк, встановлений за погодженням сторін;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таким, що укладається на час виконання певної роботи.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Письмовий трудовий договір обов’язково оформлюється у письмовому вигляді у випадках, передбачених законодавством, а саме: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при організованому наборі працівників;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при укладенні трудового договору про роботу в районах з особливими природними географічними і геологічними умовами та умовами підвищеного ризику для здоров’я;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при укладенні контракту;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у випадках, коли працівник наполягає на укладенні трудового договору у письмовій формі;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при укладенні трудового договору з неповнолітнім;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при укладенні трудового договору з фізичною особою;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при укладенні трудового договору про дистанційну (надомну) роботу;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в інших випадках, передбачених законодавством України (ст. 24 </w:t>
      </w:r>
      <w:proofErr w:type="spellStart"/>
      <w:r w:rsidRPr="00DE0A11">
        <w:rPr>
          <w:rFonts w:ascii="Times New Roman" w:eastAsia="Times New Roman" w:hAnsi="Times New Roman" w:cs="Times New Roman"/>
          <w:sz w:val="20"/>
          <w:szCs w:val="20"/>
          <w:lang w:val="uk-UA" w:eastAsia="ru-RU"/>
        </w:rPr>
        <w:t>КЗпП</w:t>
      </w:r>
      <w:proofErr w:type="spellEnd"/>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Строковий трудовий договір укладається у випадках, коли трудові відносини не можуть бути встановлені на невизначений строк з урахуванням характеру наступної роботи, або умов її виконання, або інтересів працівника та в інших випадках, передбачених законодавчими актами.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Письмовий трудовий договір має містити у собі всі істотні умови, а саме: трудові обов’язки, режим роботи, тривалість робочого часу та часу відпочинку, умови оплати праці, пільги, компенсації, додаткові гарантії тощо.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При укладенні трудового договору громадянин зобов’язаний подати паспорт або інший документ, що посвідчує особу, трудову книжку, а у випадках, передбачених законодавством, – також документ про освіту (спеціальність, кваліфікацію), про стан здоров’я та інші документи.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повідомлення центрального органу виконавчої влади з питань забезпечення формування та реалізації державної політики з адміністрування єдиного внеску на загальнообов’язкове державне соціальне страхування про прийняття працівника на роботу у порядку, встановленому постановою Кабінету Міністрів України від 17 червня 2015 року № 413 «Про порядок повідомлення Державної податкової служби та її територіальним органам про прийняття працівника на роботу» із змінами. </w:t>
      </w:r>
    </w:p>
    <w:p w:rsidR="00FD60CE" w:rsidRPr="00DE0A11"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Про заповнення Книга обліку доходів і витрат </w:t>
      </w:r>
      <w:proofErr w:type="spellStart"/>
      <w:r w:rsidRPr="00DE0A11">
        <w:rPr>
          <w:rFonts w:ascii="Times New Roman" w:eastAsia="Times New Roman" w:hAnsi="Times New Roman" w:cs="Times New Roman"/>
          <w:b/>
          <w:bCs/>
          <w:kern w:val="36"/>
          <w:sz w:val="20"/>
          <w:szCs w:val="20"/>
          <w:lang w:val="uk-UA" w:eastAsia="ru-RU"/>
        </w:rPr>
        <w:t>ФОП</w:t>
      </w:r>
      <w:proofErr w:type="spellEnd"/>
      <w:r w:rsidRPr="00DE0A11">
        <w:rPr>
          <w:rFonts w:ascii="Times New Roman" w:eastAsia="Times New Roman" w:hAnsi="Times New Roman" w:cs="Times New Roman"/>
          <w:b/>
          <w:bCs/>
          <w:kern w:val="36"/>
          <w:sz w:val="20"/>
          <w:szCs w:val="20"/>
          <w:lang w:val="uk-UA" w:eastAsia="ru-RU"/>
        </w:rPr>
        <w:t xml:space="preserve"> на загальній системі оподаткування у разі використання праці найманих працівників </w:t>
      </w:r>
    </w:p>
    <w:p w:rsidR="00DE0A11" w:rsidRPr="00DE0A11"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Н</w:t>
      </w:r>
      <w:r w:rsidR="00DE0A11" w:rsidRPr="00DE0A11">
        <w:rPr>
          <w:rFonts w:ascii="Times New Roman" w:eastAsia="Times New Roman" w:hAnsi="Times New Roman" w:cs="Times New Roman"/>
          <w:sz w:val="20"/>
          <w:szCs w:val="20"/>
          <w:lang w:val="uk-UA" w:eastAsia="ru-RU"/>
        </w:rPr>
        <w:t>агадує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що фізичні особи – підприємці (далі – </w:t>
      </w:r>
      <w:proofErr w:type="spellStart"/>
      <w:r w:rsidR="00DE0A11" w:rsidRPr="00DE0A11">
        <w:rPr>
          <w:rFonts w:ascii="Times New Roman" w:eastAsia="Times New Roman" w:hAnsi="Times New Roman" w:cs="Times New Roman"/>
          <w:sz w:val="20"/>
          <w:szCs w:val="20"/>
          <w:lang w:val="uk-UA" w:eastAsia="ru-RU"/>
        </w:rPr>
        <w:t>ФОП</w:t>
      </w:r>
      <w:proofErr w:type="spellEnd"/>
      <w:r w:rsidR="00DE0A11" w:rsidRPr="00DE0A11">
        <w:rPr>
          <w:rFonts w:ascii="Times New Roman" w:eastAsia="Times New Roman" w:hAnsi="Times New Roman" w:cs="Times New Roman"/>
          <w:sz w:val="20"/>
          <w:szCs w:val="20"/>
          <w:lang w:val="uk-UA" w:eastAsia="ru-RU"/>
        </w:rPr>
        <w:t xml:space="preserve">) на загальній системі оподаткування зобов’язані вести Книгу обліку доходів і витрат (далі – Книга), у якій щоденно на підставі первинних документів здійснюються записи про операції, що відбулися у звітному (податковому) періоді.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встановлені п. 177.10 ст. 177 Податкового кодексу України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Порядок ведення Книги фізичними особами – підприємцями на загальній системі оподаткування встановлений наказом Міністерства доходів і зборів України від 16.09.2013 № 481 (далі – Порядок № 481).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Книга ведеться за вибором платника податку в паперовому або електронному вигляді (п. 2 Порядку).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Записи у Книзі виконуються за підсумками робочого дня, протягом якого отримано дохід (п. 5 Порядку № 481).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п. 6 Порядку № 481 </w:t>
      </w:r>
      <w:proofErr w:type="spellStart"/>
      <w:r w:rsidRPr="00DE0A11">
        <w:rPr>
          <w:rFonts w:ascii="Times New Roman" w:eastAsia="Times New Roman" w:hAnsi="Times New Roman" w:cs="Times New Roman"/>
          <w:sz w:val="20"/>
          <w:szCs w:val="20"/>
          <w:lang w:val="uk-UA" w:eastAsia="ru-RU"/>
        </w:rPr>
        <w:t>самозайняті</w:t>
      </w:r>
      <w:proofErr w:type="spellEnd"/>
      <w:r w:rsidRPr="00DE0A11">
        <w:rPr>
          <w:rFonts w:ascii="Times New Roman" w:eastAsia="Times New Roman" w:hAnsi="Times New Roman" w:cs="Times New Roman"/>
          <w:sz w:val="20"/>
          <w:szCs w:val="20"/>
          <w:lang w:val="uk-UA" w:eastAsia="ru-RU"/>
        </w:rPr>
        <w:t xml:space="preserve"> особи заносять до Книги відомості в такому порядку: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1) у графі 1 зазначається дата запису;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2) у графі 2 відображається сума доходу, отриманого від здійснення господарської або незалежної професійної діяльності із сумарним підсумком за місяць, квартал, рік, зокрема, кошти, що надійшли на поточний рахунок, касу платника </w:t>
      </w:r>
      <w:r w:rsidRPr="00DE0A11">
        <w:rPr>
          <w:rFonts w:ascii="Times New Roman" w:eastAsia="Times New Roman" w:hAnsi="Times New Roman" w:cs="Times New Roman"/>
          <w:sz w:val="20"/>
          <w:szCs w:val="20"/>
          <w:lang w:val="uk-UA" w:eastAsia="ru-RU"/>
        </w:rPr>
        <w:lastRenderedPageBreak/>
        <w:t xml:space="preserve">податків та/або отримано готівкою, сума заборгованості, за якою минув строк позовної давності, вартість безоплатно отриманих товарів (робіт, послуг);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3) у графі 3 вказується сума повернутих </w:t>
      </w:r>
      <w:proofErr w:type="spellStart"/>
      <w:r w:rsidRPr="00DE0A11">
        <w:rPr>
          <w:rFonts w:ascii="Times New Roman" w:eastAsia="Times New Roman" w:hAnsi="Times New Roman" w:cs="Times New Roman"/>
          <w:sz w:val="20"/>
          <w:szCs w:val="20"/>
          <w:lang w:val="uk-UA" w:eastAsia="ru-RU"/>
        </w:rPr>
        <w:t>самозайнятою</w:t>
      </w:r>
      <w:proofErr w:type="spellEnd"/>
      <w:r w:rsidRPr="00DE0A11">
        <w:rPr>
          <w:rFonts w:ascii="Times New Roman" w:eastAsia="Times New Roman" w:hAnsi="Times New Roman" w:cs="Times New Roman"/>
          <w:sz w:val="20"/>
          <w:szCs w:val="20"/>
          <w:lang w:val="uk-UA" w:eastAsia="ru-RU"/>
        </w:rPr>
        <w:t xml:space="preserve"> особою коштів за товари (роботи та послуги) та/або повернутої передплати;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4) графа 4 розраховується як різниця між отриманим доходом від здійснення господарської або незалежної професійної діяльності (графа 2) та сумою повернутих </w:t>
      </w:r>
      <w:proofErr w:type="spellStart"/>
      <w:r w:rsidRPr="00DE0A11">
        <w:rPr>
          <w:rFonts w:ascii="Times New Roman" w:eastAsia="Times New Roman" w:hAnsi="Times New Roman" w:cs="Times New Roman"/>
          <w:sz w:val="20"/>
          <w:szCs w:val="20"/>
          <w:lang w:val="uk-UA" w:eastAsia="ru-RU"/>
        </w:rPr>
        <w:t>самозайнятою</w:t>
      </w:r>
      <w:proofErr w:type="spellEnd"/>
      <w:r w:rsidRPr="00DE0A11">
        <w:rPr>
          <w:rFonts w:ascii="Times New Roman" w:eastAsia="Times New Roman" w:hAnsi="Times New Roman" w:cs="Times New Roman"/>
          <w:sz w:val="20"/>
          <w:szCs w:val="20"/>
          <w:lang w:val="uk-UA" w:eastAsia="ru-RU"/>
        </w:rPr>
        <w:t xml:space="preserve"> особою коштів за товари (роботи та послуги) (графа 3);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5) у графі 5 зазначаються реквізити документа, який підтверджує понесені витрати, що безпосередньо пов’язані з отриманим доходом. Документами, які підтверджують витрати, можуть бути, зокрема, платіжне доручення, прибутковий касовий ордер, квитанція, фіскальний чек, акт закупки (виконаних робіт, наданих послуг) та інші первинні документи, що засвічують факт оплати товарів, робіт, послуг;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6) у графі 6 відображається сума витрат, які документально підтверджені та безпосередньо пов’язані з отриманням доходу за підсумками дня;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7) у графі 7 відображається сума витрат на оплату праці та нарахування на оплату праці найманих осіб, понесені у звітному місяці;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8) у графі 8 відображається сума фактично понесених інших витрат, безпосередньо пов’язаних з одержанням доходу, які не зазначені в графах 6 та 7, зокрема, витрати на сплату послуг, зв’язку, орендних та комунальних платежів тощо;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9) у графі 9 зазначається сума чистого оподатковуваного доходу, яка розраховується як різниця між сумою доходу за звітний період (графа 4) та сумою понесених витрат від провадження господарської або незалежної професіональної діяльності (графи 6, 7, 8).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При цьому нормами ПКУ та Порядком № 481 відсутня вимога щодо ведення Книги найманими особами, які перебувають у трудових відносинах із </w:t>
      </w:r>
      <w:proofErr w:type="spellStart"/>
      <w:r w:rsidRPr="00DE0A11">
        <w:rPr>
          <w:rFonts w:ascii="Times New Roman" w:eastAsia="Times New Roman" w:hAnsi="Times New Roman" w:cs="Times New Roman"/>
          <w:sz w:val="20"/>
          <w:szCs w:val="20"/>
          <w:lang w:val="uk-UA" w:eastAsia="ru-RU"/>
        </w:rPr>
        <w:t>самозайнятою</w:t>
      </w:r>
      <w:proofErr w:type="spellEnd"/>
      <w:r w:rsidRPr="00DE0A11">
        <w:rPr>
          <w:rFonts w:ascii="Times New Roman" w:eastAsia="Times New Roman" w:hAnsi="Times New Roman" w:cs="Times New Roman"/>
          <w:sz w:val="20"/>
          <w:szCs w:val="20"/>
          <w:lang w:val="uk-UA" w:eastAsia="ru-RU"/>
        </w:rPr>
        <w:t xml:space="preserve"> особою.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Отже,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на загальній системі оподаткування заповнює Книгу самостійно за підсумками робочого дня, протягом якого отримано дохід. </w:t>
      </w:r>
    </w:p>
    <w:p w:rsidR="00FD60CE" w:rsidRPr="00DE0A11"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Екологічний податок за утворення та тимчасове зберігання радіоактивних відходів </w:t>
      </w:r>
    </w:p>
    <w:p w:rsidR="00DE0A11" w:rsidRPr="00DE0A11"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В</w:t>
      </w:r>
      <w:r w:rsidR="00DE0A11" w:rsidRPr="00DE0A11">
        <w:rPr>
          <w:rFonts w:ascii="Times New Roman" w:eastAsia="Times New Roman" w:hAnsi="Times New Roman" w:cs="Times New Roman"/>
          <w:sz w:val="20"/>
          <w:szCs w:val="20"/>
          <w:lang w:val="uk-UA" w:eastAsia="ru-RU"/>
        </w:rPr>
        <w:t xml:space="preserve">ідповідно до п. 240.1 ст. 240 Податкового кодексу України (далі – ПКУ) платниками екологічного податку (далі – податок)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(морської) економічної зони здійснюються: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утворення радіоактивних відходів (включаючи вже накопичені);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тимчасове зберігання радіоактивних відходів їх виробниками понад установлений особливими умовами ліцензії строк.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Згідно із п. 240.3 ст. 240 ПКУ не є платниками податку за утворення радіоактивних відходів (включаючи вже накопичені) суб’єкти діяльності у сфері використання ядерної енергії, які: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до останнього календарного дня (включно) звітного кварталу, у якому придбано джерело іонізуючого випромінювання, уклали договір щодо повернення відпрацьованого закритого джерела іонізуючого випромінювання за межі України до підприємства – виробника такого джерела;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здійснюють поводження з радіоактивними відходами, що утворилися внаслідок Чорнобильської катастрофи, в частині діяльності, пов’язаної з такими відходами.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Не є платниками податку, що справляється за утворення радіоактивних відходів (включаючи вже накопичені) та/або тимчасове зберігання радіоактивних відходів їх виробниками понад установлений особливими умовами ліцензії строк, державні спеціалізовані підприємства з поводження з радіоактивними відходами, основною діяльністю яких є зберігання, переробка та захоронення тих радіоактивних відходів, що знаходяться у власності держави, а також дезактивація радіаційно-забруднених об’єктів (п. 240.4. ст. 240 ПКУ). </w:t>
      </w:r>
    </w:p>
    <w:p w:rsidR="00FD60CE" w:rsidRPr="00DE0A11"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З початку 2020 року на користь держави вирішено 219 судових справ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Станом на 01 липня 2020 року на розгляді у судах за участю податкових органів Дніпропетровської області перебувало 7827 справ різних категорій на загальну суму 16,2 </w:t>
      </w:r>
      <w:proofErr w:type="spellStart"/>
      <w:r w:rsidRPr="00DE0A11">
        <w:rPr>
          <w:rFonts w:ascii="Times New Roman" w:eastAsia="Times New Roman" w:hAnsi="Times New Roman" w:cs="Times New Roman"/>
          <w:sz w:val="20"/>
          <w:szCs w:val="20"/>
          <w:lang w:val="uk-UA" w:eastAsia="ru-RU"/>
        </w:rPr>
        <w:t>млрд</w:t>
      </w:r>
      <w:proofErr w:type="spellEnd"/>
      <w:r w:rsidRPr="00DE0A11">
        <w:rPr>
          <w:rFonts w:ascii="Times New Roman" w:eastAsia="Times New Roman" w:hAnsi="Times New Roman" w:cs="Times New Roman"/>
          <w:sz w:val="20"/>
          <w:szCs w:val="20"/>
          <w:lang w:val="uk-UA" w:eastAsia="ru-RU"/>
        </w:rPr>
        <w:t xml:space="preserve">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Із розглянутих судами у першому півріччі поточного року справ на користь податкових органів області вирішено 544 справи на загальну суму 2,3 </w:t>
      </w:r>
      <w:proofErr w:type="spellStart"/>
      <w:r w:rsidRPr="00DE0A11">
        <w:rPr>
          <w:rFonts w:ascii="Times New Roman" w:eastAsia="Times New Roman" w:hAnsi="Times New Roman" w:cs="Times New Roman"/>
          <w:sz w:val="20"/>
          <w:szCs w:val="20"/>
          <w:lang w:val="uk-UA" w:eastAsia="ru-RU"/>
        </w:rPr>
        <w:t>млрд</w:t>
      </w:r>
      <w:proofErr w:type="spellEnd"/>
      <w:r w:rsidRPr="00DE0A11">
        <w:rPr>
          <w:rFonts w:ascii="Times New Roman" w:eastAsia="Times New Roman" w:hAnsi="Times New Roman" w:cs="Times New Roman"/>
          <w:sz w:val="20"/>
          <w:szCs w:val="20"/>
          <w:lang w:val="uk-UA" w:eastAsia="ru-RU"/>
        </w:rPr>
        <w:t xml:space="preserve">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Із загальної кількості адміністративних справ за позовами платників податків більшу частину складають справи про визнання недійсними/</w:t>
      </w:r>
      <w:proofErr w:type="spellStart"/>
      <w:r w:rsidRPr="00DE0A11">
        <w:rPr>
          <w:rFonts w:ascii="Times New Roman" w:eastAsia="Times New Roman" w:hAnsi="Times New Roman" w:cs="Times New Roman"/>
          <w:sz w:val="20"/>
          <w:szCs w:val="20"/>
          <w:lang w:val="uk-UA" w:eastAsia="ru-RU"/>
        </w:rPr>
        <w:t>нечинними</w:t>
      </w:r>
      <w:proofErr w:type="spellEnd"/>
      <w:r w:rsidRPr="00DE0A11">
        <w:rPr>
          <w:rFonts w:ascii="Times New Roman" w:eastAsia="Times New Roman" w:hAnsi="Times New Roman" w:cs="Times New Roman"/>
          <w:sz w:val="20"/>
          <w:szCs w:val="20"/>
          <w:lang w:val="uk-UA" w:eastAsia="ru-RU"/>
        </w:rPr>
        <w:t xml:space="preserve"> податкових повідомлень – рішень.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Так, з початку року на розгляді у судах знаходилось 4957 таких справ на суму 9,8 </w:t>
      </w:r>
      <w:proofErr w:type="spellStart"/>
      <w:r w:rsidRPr="00DE0A11">
        <w:rPr>
          <w:rFonts w:ascii="Times New Roman" w:eastAsia="Times New Roman" w:hAnsi="Times New Roman" w:cs="Times New Roman"/>
          <w:sz w:val="20"/>
          <w:szCs w:val="20"/>
          <w:lang w:val="uk-UA" w:eastAsia="ru-RU"/>
        </w:rPr>
        <w:t>млрд</w:t>
      </w:r>
      <w:proofErr w:type="spellEnd"/>
      <w:r w:rsidRPr="00DE0A11">
        <w:rPr>
          <w:rFonts w:ascii="Times New Roman" w:eastAsia="Times New Roman" w:hAnsi="Times New Roman" w:cs="Times New Roman"/>
          <w:sz w:val="20"/>
          <w:szCs w:val="20"/>
          <w:lang w:val="uk-UA" w:eastAsia="ru-RU"/>
        </w:rPr>
        <w:t xml:space="preserve"> гривень. Із розглянутих справ на користь податкових органів вирішено 219 справ на суму 420,5 </w:t>
      </w:r>
      <w:proofErr w:type="spellStart"/>
      <w:r w:rsidRPr="00DE0A11">
        <w:rPr>
          <w:rFonts w:ascii="Times New Roman" w:eastAsia="Times New Roman" w:hAnsi="Times New Roman" w:cs="Times New Roman"/>
          <w:sz w:val="20"/>
          <w:szCs w:val="20"/>
          <w:lang w:val="uk-UA" w:eastAsia="ru-RU"/>
        </w:rPr>
        <w:t>млн</w:t>
      </w:r>
      <w:proofErr w:type="spellEnd"/>
      <w:r w:rsidRPr="00DE0A11">
        <w:rPr>
          <w:rFonts w:ascii="Times New Roman" w:eastAsia="Times New Roman" w:hAnsi="Times New Roman" w:cs="Times New Roman"/>
          <w:sz w:val="20"/>
          <w:szCs w:val="20"/>
          <w:lang w:val="uk-UA" w:eastAsia="ru-RU"/>
        </w:rPr>
        <w:t xml:space="preserve"> гривень. </w:t>
      </w:r>
    </w:p>
    <w:p w:rsidR="00FD60CE" w:rsidRPr="00DE0A11"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Для отримання ліцензії на виробництво спирту, алкогольних напоїв та тютюнових виробів необхідно подати пакет документів </w:t>
      </w:r>
    </w:p>
    <w:p w:rsidR="00DE0A11" w:rsidRPr="00DE0A11"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З</w:t>
      </w:r>
      <w:r w:rsidR="00DE0A11" w:rsidRPr="00DE0A11">
        <w:rPr>
          <w:rFonts w:ascii="Times New Roman" w:eastAsia="Times New Roman" w:hAnsi="Times New Roman" w:cs="Times New Roman"/>
          <w:sz w:val="20"/>
          <w:szCs w:val="20"/>
          <w:lang w:val="uk-UA" w:eastAsia="ru-RU"/>
        </w:rPr>
        <w:t xml:space="preserve">гідно з ст. 3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(далі – Закон № 481) ліцензії на виробництво спирту етилового, коньячного і плодового, спирту етилового ректифікованого виноградного, спирту етилового ректифікованого плодового, дистиляту виноградного спиртового, спирту-сирцю плодового, алкогольних напоїв та тютюнових виробів (далі – ліцензія) видається за заявою суб’єкта господарювання (у тому числі іноземних суб’єктів господарювання, які діють через свої зареєстровані постійні представництва), до якої додаються: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копії засновницьких документів;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lastRenderedPageBreak/>
        <w:t xml:space="preserve">► атестат виробництва, виданий центральним органом виконавчої влади, уповноваженим відповідно до законодавства, а для малих виробництв виноробної продукції – зареєстрована декларація відповідності матеріально-технічної бази вимогам законодавства;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договір з акредитованою відповідно до законодавства лабораторією (у разі відсутності власної акредитованої лабораторії);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документ, що підтверджує внесення річної плати за ліцензію.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Вимагати представлення інших документів, крім зазначених у Законі № 481, забороняється.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Зазначені у Законі № 481 документи подаються в одному примірнику в копіях, засвідчених нотаріально або органом, який видав оригінал документа.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Заява про видачу ліцензії та вищезазначені документи подаються уповноваженою особою заявника або надсилаються рекомендованим листом. У разі подання заяви про видачу ліцензії та доданих до неї документів особисто вони приймаються за описом, копія якого видається заявнику з відміткою про дату прийняття заяви та документів і підписом особи, яка їх прийняла.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Ліцензії на виробництво тютюнових виробів видаються лише суб’єктам господарювання (у тому числі іноземним суб’єктам господарювання, які діють через свої зареєстровані постійні представництва), які мають повний технологічний цикл виробництва тютюнових виробів, включаючи виготовлення тютюнової суміші, сигаретні цехи (частина четверта ст. 3 Закону № 481).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Ліцензії на виробництво спирту етилового, коньячного і плодового та зернового дистиляту, спирту етилового ректифікованого виноградного, спирту етилового ректифікованого плодового, дистиляту виноградного спиртового, спирту-сирцю плодового, </w:t>
      </w:r>
      <w:proofErr w:type="spellStart"/>
      <w:r w:rsidRPr="00DE0A11">
        <w:rPr>
          <w:rFonts w:ascii="Times New Roman" w:eastAsia="Times New Roman" w:hAnsi="Times New Roman" w:cs="Times New Roman"/>
          <w:sz w:val="20"/>
          <w:szCs w:val="20"/>
          <w:lang w:val="uk-UA" w:eastAsia="ru-RU"/>
        </w:rPr>
        <w:t>біоетанолу</w:t>
      </w:r>
      <w:proofErr w:type="spellEnd"/>
      <w:r w:rsidRPr="00DE0A11">
        <w:rPr>
          <w:rFonts w:ascii="Times New Roman" w:eastAsia="Times New Roman" w:hAnsi="Times New Roman" w:cs="Times New Roman"/>
          <w:sz w:val="20"/>
          <w:szCs w:val="20"/>
          <w:lang w:val="uk-UA" w:eastAsia="ru-RU"/>
        </w:rPr>
        <w:t xml:space="preserve"> та алкогольних напоїв видаються суб’єктам господарювання (у тому числі іноземним суб’єктам господарювання, які діють через свої зареєстровані постійні представництва), які на момент подання заяви про видачу ліцензії є власниками або відповідно до інших не заборонених законодавством підстав володіють та/або користуються приміщеннями та обладнанням, що забезпечують повний технологічний цикл виробництва спирту етилового, коньячного і плодового та зернового дистиляту, спирту етилового ректифікованого виноградного, спирту етилового ректифікованого плодового, дистиляту виноградного спиртового, спирту-сирцю плодового, </w:t>
      </w:r>
      <w:proofErr w:type="spellStart"/>
      <w:r w:rsidRPr="00DE0A11">
        <w:rPr>
          <w:rFonts w:ascii="Times New Roman" w:eastAsia="Times New Roman" w:hAnsi="Times New Roman" w:cs="Times New Roman"/>
          <w:sz w:val="20"/>
          <w:szCs w:val="20"/>
          <w:lang w:val="uk-UA" w:eastAsia="ru-RU"/>
        </w:rPr>
        <w:t>біоетанолу</w:t>
      </w:r>
      <w:proofErr w:type="spellEnd"/>
      <w:r w:rsidRPr="00DE0A11">
        <w:rPr>
          <w:rFonts w:ascii="Times New Roman" w:eastAsia="Times New Roman" w:hAnsi="Times New Roman" w:cs="Times New Roman"/>
          <w:sz w:val="20"/>
          <w:szCs w:val="20"/>
          <w:lang w:val="uk-UA" w:eastAsia="ru-RU"/>
        </w:rPr>
        <w:t xml:space="preserve"> та алкогольних напоїв, за умови, що використання таких приміщень та обладнання здійснює тільки один суб’єкт господарювання (у тому числі іноземний суб’єкт господарювання, який діє через свої зареєстровані постійні представництва) (частина п’ятнадцята ст. 3 Закону № 481).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Повний технологічний цикл виробництва – це сукупність приміщень, технологічного та іншого обладнання, відповідних технологічних процесів, що забезпечують переробку сировини в продукцію, готову для реалізації кінцевому споживачу, а також лабораторій (власних або залучених на договірних засадах у випадках, передбачених Законом № 481), акредитованих відповідно до законодавства (абзац двадцятий ст. 1 Закону № 481).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При цьому атестація виробництва здійснюється на підставі наказу Державного комітету України по стандартизації, метрології та сертифікації від 29.02.1996 № 85 «Про затвердження Порядку проведення атестації виробництва спирту етилового, коньячного і плодового, алкогольних напоїв та тютюнових виробів», зареєстрованого у Міністерстві юстиції України 12.06.1996 за  № 291/1316, із змінами та доповненнями. </w:t>
      </w:r>
    </w:p>
    <w:p w:rsidR="00FD60CE" w:rsidRPr="00DE0A11"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Податкова соціальна пільга застосована без заяви: чи є відповідальним за сплату ПДФО працедавець? </w:t>
      </w:r>
    </w:p>
    <w:p w:rsidR="00DE0A11" w:rsidRPr="00DE0A11" w:rsidRDefault="00FD60CE"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Н</w:t>
      </w:r>
      <w:r w:rsidR="00DE0A11" w:rsidRPr="00DE0A11">
        <w:rPr>
          <w:rFonts w:ascii="Times New Roman" w:eastAsia="Times New Roman" w:hAnsi="Times New Roman" w:cs="Times New Roman"/>
          <w:sz w:val="20"/>
          <w:szCs w:val="20"/>
          <w:lang w:val="uk-UA" w:eastAsia="ru-RU"/>
        </w:rPr>
        <w:t>агадує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що податкова соціальна пільга застосовується до нарахованого платнику податку місячного доходу у вигляді заробітної плати тільки за одним місцем його нарахування (виплати).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встановлені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169.2.1 п. 169.2 ст. 169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Податкова соціальна пільга починає застосовуватися до нарахованих доходів у вигляді заробітної плати з дня отримання роботодавцем заяви платника податку на доходи фізичних осіб (далі – ПДФО) про застосування пільги та документів, що підтверджують таке право. Роботодавець відображає у податковій звітності всі випадки застосування або незастосування податкової соціальної пільги згідно з отриманими від платників ПДФО заявами про застосування пільги, а також заявами про відмову від такої пільги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169.2.2 п. 169.2 ст. 169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Проте податкова соціальна пільга до заробітної плати державних службовців застосовується під час її нарахування до завершення нарахування таких доходів без подання відповідних заяв, зазначених у підпункті 169.2.2 цього пункту, але з поданням підтвердних документів для встановлення розміру пільги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169.2.3 п. 169.2 ст. 169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Перелік таких документів та порядок їх подання затверджено постановою Кабінету Міністрів України від 29 грудня 2010 року № 1227 «Про затвердження Порядку подання документів для застосування податкової соціальної пільги» (далі – Порядок № 1227).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Згідно із п. 169.3 ст. 169 ПКУ у випадку, якщо платник ПДФО має право на застосування пільги за кількома підставами, то в заяві необхідно вказати, яким видом пільги платник хоче скористатись та додати відповідні підтвердні документи.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Якщо ж державний службовець має право на підвищений розмір податкової соціальної пільги, то він повинен подати заяву, в якій зазначається якою саме пільгою він бажає користуватися, та додати до заяви підтвердні документи.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п. 171.1 ст. 171 ПКУ особою, відповідальною за нарахування, утримання та сплату (перерахування) до бюджету ПДФО з доходів у вигляді заробітної плати, є роботодавець, який виплачує такі доходи на користь платника ПДФО.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Враховуючи вищевикладене, відповідальним за сплату ПДФО є працедавець, який застосував податкову соціальну пільгу без отримання від працівника заяви про її застосування. </w:t>
      </w:r>
    </w:p>
    <w:p w:rsidR="00FD60CE" w:rsidRPr="00893CD4" w:rsidRDefault="00FD60CE"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За порушення порядку утримання та сплати податку на доходи нерезидентів ПКУ передбачена відповідальність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В</w:t>
      </w:r>
      <w:r w:rsidR="00DE0A11" w:rsidRPr="00DE0A11">
        <w:rPr>
          <w:rFonts w:ascii="Times New Roman" w:eastAsia="Times New Roman" w:hAnsi="Times New Roman" w:cs="Times New Roman"/>
          <w:sz w:val="20"/>
          <w:szCs w:val="20"/>
          <w:lang w:val="uk-UA" w:eastAsia="ru-RU"/>
        </w:rPr>
        <w:t xml:space="preserve">ідповідно до абзацу першого </w:t>
      </w:r>
      <w:proofErr w:type="spellStart"/>
      <w:r w:rsidR="00DE0A11" w:rsidRPr="00DE0A11">
        <w:rPr>
          <w:rFonts w:ascii="Times New Roman" w:eastAsia="Times New Roman" w:hAnsi="Times New Roman" w:cs="Times New Roman"/>
          <w:sz w:val="20"/>
          <w:szCs w:val="20"/>
          <w:lang w:val="uk-UA" w:eastAsia="ru-RU"/>
        </w:rPr>
        <w:t>п.п</w:t>
      </w:r>
      <w:proofErr w:type="spellEnd"/>
      <w:r w:rsidR="00DE0A11" w:rsidRPr="00DE0A11">
        <w:rPr>
          <w:rFonts w:ascii="Times New Roman" w:eastAsia="Times New Roman" w:hAnsi="Times New Roman" w:cs="Times New Roman"/>
          <w:sz w:val="20"/>
          <w:szCs w:val="20"/>
          <w:lang w:val="uk-UA" w:eastAsia="ru-RU"/>
        </w:rPr>
        <w:t xml:space="preserve">. 141.4.2 п. 141.4 ст. 141 Податкового кодексу України (далі – ПКУ) резидент, у тому числі фізична особа – підприємець, фізична особа, яка провадить незалежну професійну діяльність, або суб’єкт господарювання (юридична особа чи фізична особа підприємець), який обрав спрощену систему оподаткування, або інший нерезидент, який провадить господарську діяльність через постійне представництво на території України, які здійснюють на користь нерезидента або уповноваженої ним особи будь-яку виплату з доходу з джерелом його </w:t>
      </w:r>
      <w:r w:rsidR="00DE0A11" w:rsidRPr="00DE0A11">
        <w:rPr>
          <w:rFonts w:ascii="Times New Roman" w:eastAsia="Times New Roman" w:hAnsi="Times New Roman" w:cs="Times New Roman"/>
          <w:sz w:val="20"/>
          <w:szCs w:val="20"/>
          <w:lang w:val="uk-UA" w:eastAsia="ru-RU"/>
        </w:rPr>
        <w:lastRenderedPageBreak/>
        <w:t xml:space="preserve">походження з України, отриманого таким нерезидентом (у тому числі на рахунки нерезидента, що ведуться в національній валюті), утримують податок з таких доходів, зазначених у </w:t>
      </w:r>
      <w:proofErr w:type="spellStart"/>
      <w:r w:rsidR="00DE0A11" w:rsidRPr="00DE0A11">
        <w:rPr>
          <w:rFonts w:ascii="Times New Roman" w:eastAsia="Times New Roman" w:hAnsi="Times New Roman" w:cs="Times New Roman"/>
          <w:sz w:val="20"/>
          <w:szCs w:val="20"/>
          <w:lang w:val="uk-UA" w:eastAsia="ru-RU"/>
        </w:rPr>
        <w:t>п.п</w:t>
      </w:r>
      <w:proofErr w:type="spellEnd"/>
      <w:r w:rsidR="00DE0A11" w:rsidRPr="00DE0A11">
        <w:rPr>
          <w:rFonts w:ascii="Times New Roman" w:eastAsia="Times New Roman" w:hAnsi="Times New Roman" w:cs="Times New Roman"/>
          <w:sz w:val="20"/>
          <w:szCs w:val="20"/>
          <w:lang w:val="uk-UA" w:eastAsia="ru-RU"/>
        </w:rPr>
        <w:t xml:space="preserve">. 141.4.1 п. 141.4 ст. 141 ПКУ, за ставкою у розмірі 15 % </w:t>
      </w:r>
      <w:r w:rsidR="00DE0A11" w:rsidRPr="00893CD4">
        <w:rPr>
          <w:rFonts w:ascii="Times New Roman" w:eastAsia="Times New Roman" w:hAnsi="Times New Roman" w:cs="Times New Roman"/>
          <w:i/>
          <w:iCs/>
          <w:sz w:val="20"/>
          <w:szCs w:val="20"/>
          <w:lang w:val="uk-UA" w:eastAsia="ru-RU"/>
        </w:rPr>
        <w:t>(крім доходів, зазначених у підпунктах 141.4.3 – 141.4.6 та 141.4.11 п. 141.4 ст. 141 ПКУ)</w:t>
      </w:r>
      <w:r w:rsidR="00DE0A11" w:rsidRPr="00DE0A11">
        <w:rPr>
          <w:rFonts w:ascii="Times New Roman" w:eastAsia="Times New Roman" w:hAnsi="Times New Roman" w:cs="Times New Roman"/>
          <w:sz w:val="20"/>
          <w:szCs w:val="20"/>
          <w:lang w:val="uk-UA" w:eastAsia="ru-RU"/>
        </w:rPr>
        <w:t xml:space="preserve"> їх суми та за їх рахунок, що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виплати, що набрали чинності. Вимоги цього абзацу не застосовуються до доходів нерезидентів, що отримуються ними через їх постійні представництва на території України.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Як зазначено у п. 127.1 ст. 127 ПКУ, </w:t>
      </w:r>
      <w:proofErr w:type="spellStart"/>
      <w:r w:rsidRPr="00DE0A11">
        <w:rPr>
          <w:rFonts w:ascii="Times New Roman" w:eastAsia="Times New Roman" w:hAnsi="Times New Roman" w:cs="Times New Roman"/>
          <w:sz w:val="20"/>
          <w:szCs w:val="20"/>
          <w:lang w:val="uk-UA" w:eastAsia="ru-RU"/>
        </w:rPr>
        <w:t>ненарахування</w:t>
      </w:r>
      <w:proofErr w:type="spellEnd"/>
      <w:r w:rsidRPr="00DE0A11">
        <w:rPr>
          <w:rFonts w:ascii="Times New Roman" w:eastAsia="Times New Roman" w:hAnsi="Times New Roman" w:cs="Times New Roman"/>
          <w:sz w:val="20"/>
          <w:szCs w:val="20"/>
          <w:lang w:val="uk-UA" w:eastAsia="ru-RU"/>
        </w:rPr>
        <w:t xml:space="preserve">, неутримання та/або несплата (неперерахування) податків платником податків, у тому числі податковим агентом, до або під час виплати доходу на користь іншого платника податків, тягнуть за собою накладення штрафу у розмірі 25 % суми податку, що підлягає нарахуванню та/або сплаті до бюджету.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Ті самі дії, вчинені повторно протягом 1095 днів, тягнуть за собою накладення штрафу у розмірі 50 % суми податку, що підлягає нарахуванню та/або сплаті до бюджету.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Дії, передбачені абзацом першим п. 127.1 ст. 127 ПКУ, вчинені протягом 1095 днів втретє та більше, тягнуть за собою накладення штрафу у розмірі 75 % суми податку, що підлягає нарахуванню та/або сплаті до бюджету.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Відповідальність за погашення суми податкового зобов’язання або податкового боргу, що виникає внаслідок вчинення таких дій, та обов’язок щодо погашення такого податкового боргу покладається на особу, визначену ПКУ, у тому числі на податкового агента. При цьому платник податку – </w:t>
      </w:r>
      <w:proofErr w:type="spellStart"/>
      <w:r w:rsidRPr="00DE0A11">
        <w:rPr>
          <w:rFonts w:ascii="Times New Roman" w:eastAsia="Times New Roman" w:hAnsi="Times New Roman" w:cs="Times New Roman"/>
          <w:sz w:val="20"/>
          <w:szCs w:val="20"/>
          <w:lang w:val="uk-UA" w:eastAsia="ru-RU"/>
        </w:rPr>
        <w:t>отримувач</w:t>
      </w:r>
      <w:proofErr w:type="spellEnd"/>
      <w:r w:rsidRPr="00DE0A11">
        <w:rPr>
          <w:rFonts w:ascii="Times New Roman" w:eastAsia="Times New Roman" w:hAnsi="Times New Roman" w:cs="Times New Roman"/>
          <w:sz w:val="20"/>
          <w:szCs w:val="20"/>
          <w:lang w:val="uk-UA" w:eastAsia="ru-RU"/>
        </w:rPr>
        <w:t xml:space="preserve"> таких доходів звільняється від обов’язків погашення такої суми податкових зобов’язань або податкового боргу, </w:t>
      </w:r>
      <w:r w:rsidRPr="00893CD4">
        <w:rPr>
          <w:rFonts w:ascii="Times New Roman" w:eastAsia="Times New Roman" w:hAnsi="Times New Roman" w:cs="Times New Roman"/>
          <w:i/>
          <w:iCs/>
          <w:sz w:val="20"/>
          <w:szCs w:val="20"/>
          <w:lang w:val="uk-UA" w:eastAsia="ru-RU"/>
        </w:rPr>
        <w:t>крім випадків, встановлених розділом IV ПКУ</w:t>
      </w:r>
      <w:r w:rsidRPr="00DE0A11">
        <w:rPr>
          <w:rFonts w:ascii="Times New Roman" w:eastAsia="Times New Roman" w:hAnsi="Times New Roman" w:cs="Times New Roman"/>
          <w:sz w:val="20"/>
          <w:szCs w:val="20"/>
          <w:lang w:val="uk-UA" w:eastAsia="ru-RU"/>
        </w:rPr>
        <w:t xml:space="preserve">.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Отже, до платника податку, який здійснює виплати доходу нерезиденту без утримання та внесення до бюджету податку з такого доходу, або який перерахував податок з доходів нерезидента до бюджету в повному обсязі, але пізніше терміну, застосовується штраф, передбачений ст. 127 ПКУ.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Особа, яка виплачує доходи нерезиденту, зобов’язана при здійсненні у звітному періоді (кварталі) виплат нерезидентам доходів із джерелом їх походження з України подавати контролюючому органу за своїм місцезнаходженням (місцем проживання) звіт про виплачені доходи, утримані та перераховані до бюджету податки на доходи нерезидентів у строки та за формою, встановленими центральним органом виконавчої влади, що забезпечує формування та реалізує державну фінансову політику (п. 103.9 ст. 103 ПКУ).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До уваги платників рентної плати за спеціальне використання води!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п. 255.1 ст. 255 Податкового кодексу України (далі – ПКУ) платниками рентної плати за спеціальне використання води (далі – рентна плата) є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 а також використовують воду для потреб гідроенергетики, водного транспорту і рибництва (далі – водокористувачі).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Об’єктом оподаткування рентною платою є фактичний обсяг води, який використовують водокористувачі (п. 255.3 ст. 255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Пункт 255.4 ст. 255 ПКУ містить перелік умов використання водокористувачами обсягів води для надання послуг з водопостачання, де об’єктом оподаткування рентною платою є фактичний обсяг використаної води  (п. 255.11 ст. 255 ПКУ), але рентна плата за які платниками рентної плати не справляється.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вторинних водокористувачів для випадків, зазначених у п. 255.4 ст. 255 ПКУ, не виникають підстави для відшкодування первинним водокористувачам витрат на сплату рентної плати у складі вартості послуг з водопостачання.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proofErr w:type="spellStart"/>
      <w:r w:rsidRPr="00DE0A11">
        <w:rPr>
          <w:rFonts w:ascii="Times New Roman" w:eastAsia="Times New Roman" w:hAnsi="Times New Roman" w:cs="Times New Roman"/>
          <w:b/>
          <w:bCs/>
          <w:kern w:val="36"/>
          <w:sz w:val="20"/>
          <w:szCs w:val="20"/>
          <w:lang w:val="uk-UA" w:eastAsia="ru-RU"/>
        </w:rPr>
        <w:t>ФОП</w:t>
      </w:r>
      <w:proofErr w:type="spellEnd"/>
      <w:r w:rsidRPr="00DE0A11">
        <w:rPr>
          <w:rFonts w:ascii="Times New Roman" w:eastAsia="Times New Roman" w:hAnsi="Times New Roman" w:cs="Times New Roman"/>
          <w:b/>
          <w:bCs/>
          <w:kern w:val="36"/>
          <w:sz w:val="20"/>
          <w:szCs w:val="20"/>
          <w:lang w:val="uk-UA" w:eastAsia="ru-RU"/>
        </w:rPr>
        <w:t xml:space="preserve"> – «</w:t>
      </w:r>
      <w:proofErr w:type="spellStart"/>
      <w:r w:rsidRPr="00DE0A11">
        <w:rPr>
          <w:rFonts w:ascii="Times New Roman" w:eastAsia="Times New Roman" w:hAnsi="Times New Roman" w:cs="Times New Roman"/>
          <w:b/>
          <w:bCs/>
          <w:kern w:val="36"/>
          <w:sz w:val="20"/>
          <w:szCs w:val="20"/>
          <w:lang w:val="uk-UA" w:eastAsia="ru-RU"/>
        </w:rPr>
        <w:t>єдинник</w:t>
      </w:r>
      <w:proofErr w:type="spellEnd"/>
      <w:r w:rsidRPr="00DE0A11">
        <w:rPr>
          <w:rFonts w:ascii="Times New Roman" w:eastAsia="Times New Roman" w:hAnsi="Times New Roman" w:cs="Times New Roman"/>
          <w:b/>
          <w:bCs/>
          <w:kern w:val="36"/>
          <w:sz w:val="20"/>
          <w:szCs w:val="20"/>
          <w:lang w:val="uk-UA" w:eastAsia="ru-RU"/>
        </w:rPr>
        <w:t xml:space="preserve">» першої групи, яка здійснює перукарські послуги, має право надавати послуги манікюру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Н</w:t>
      </w:r>
      <w:r w:rsidR="00DE0A11" w:rsidRPr="00DE0A11">
        <w:rPr>
          <w:rFonts w:ascii="Times New Roman" w:eastAsia="Times New Roman" w:hAnsi="Times New Roman" w:cs="Times New Roman"/>
          <w:sz w:val="20"/>
          <w:szCs w:val="20"/>
          <w:lang w:val="uk-UA" w:eastAsia="ru-RU"/>
        </w:rPr>
        <w:t>агадує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що до платників єдиного податку, які відносяться до першої групи, належать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1 000 </w:t>
      </w:r>
      <w:proofErr w:type="spellStart"/>
      <w:r w:rsidR="00DE0A11" w:rsidRPr="00DE0A11">
        <w:rPr>
          <w:rFonts w:ascii="Times New Roman" w:eastAsia="Times New Roman" w:hAnsi="Times New Roman" w:cs="Times New Roman"/>
          <w:sz w:val="20"/>
          <w:szCs w:val="20"/>
          <w:lang w:val="uk-UA" w:eastAsia="ru-RU"/>
        </w:rPr>
        <w:t>000</w:t>
      </w:r>
      <w:proofErr w:type="spellEnd"/>
      <w:r w:rsidR="00DE0A11" w:rsidRPr="00DE0A11">
        <w:rPr>
          <w:rFonts w:ascii="Times New Roman" w:eastAsia="Times New Roman" w:hAnsi="Times New Roman" w:cs="Times New Roman"/>
          <w:sz w:val="20"/>
          <w:szCs w:val="20"/>
          <w:lang w:val="uk-UA" w:eastAsia="ru-RU"/>
        </w:rPr>
        <w:t xml:space="preserve">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встановлені п. 1 п. 291.4 ст. 291 Податкового кодексу України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Перелік видів послуг, які відносяться до побутових послуг населенню та надаються платниками єдиного податку першої та другої груп, визначено п. 291.7 ст. 291 ПКУ, який включає вид діяльності «послуги перукарень».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При цьому згідно з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5 п. 298.3 ст. 298 ПКУ у заяві про застосування спрощеної системи оподаткування зазначаються обрані суб’єктом господарювання види господарської діяльності згідно з Класифікатором видів економічної діяльності </w:t>
      </w:r>
      <w:proofErr w:type="spellStart"/>
      <w:r w:rsidRPr="00DE0A11">
        <w:rPr>
          <w:rFonts w:ascii="Times New Roman" w:eastAsia="Times New Roman" w:hAnsi="Times New Roman" w:cs="Times New Roman"/>
          <w:sz w:val="20"/>
          <w:szCs w:val="20"/>
          <w:lang w:val="uk-UA" w:eastAsia="ru-RU"/>
        </w:rPr>
        <w:t>ДК</w:t>
      </w:r>
      <w:proofErr w:type="spellEnd"/>
      <w:r w:rsidRPr="00DE0A11">
        <w:rPr>
          <w:rFonts w:ascii="Times New Roman" w:eastAsia="Times New Roman" w:hAnsi="Times New Roman" w:cs="Times New Roman"/>
          <w:sz w:val="20"/>
          <w:szCs w:val="20"/>
          <w:lang w:val="uk-UA" w:eastAsia="ru-RU"/>
        </w:rPr>
        <w:t xml:space="preserve"> 009:2010.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Класифікація видів економічної діяльності </w:t>
      </w:r>
      <w:proofErr w:type="spellStart"/>
      <w:r w:rsidRPr="00DE0A11">
        <w:rPr>
          <w:rFonts w:ascii="Times New Roman" w:eastAsia="Times New Roman" w:hAnsi="Times New Roman" w:cs="Times New Roman"/>
          <w:sz w:val="20"/>
          <w:szCs w:val="20"/>
          <w:lang w:val="uk-UA" w:eastAsia="ru-RU"/>
        </w:rPr>
        <w:t>ДК</w:t>
      </w:r>
      <w:proofErr w:type="spellEnd"/>
      <w:r w:rsidRPr="00DE0A11">
        <w:rPr>
          <w:rFonts w:ascii="Times New Roman" w:eastAsia="Times New Roman" w:hAnsi="Times New Roman" w:cs="Times New Roman"/>
          <w:sz w:val="20"/>
          <w:szCs w:val="20"/>
          <w:lang w:val="uk-UA" w:eastAsia="ru-RU"/>
        </w:rPr>
        <w:t xml:space="preserve"> 009:2010 (далі – КВЕД </w:t>
      </w:r>
      <w:proofErr w:type="spellStart"/>
      <w:r w:rsidRPr="00DE0A11">
        <w:rPr>
          <w:rFonts w:ascii="Times New Roman" w:eastAsia="Times New Roman" w:hAnsi="Times New Roman" w:cs="Times New Roman"/>
          <w:sz w:val="20"/>
          <w:szCs w:val="20"/>
          <w:lang w:val="uk-UA" w:eastAsia="ru-RU"/>
        </w:rPr>
        <w:t>ДК</w:t>
      </w:r>
      <w:proofErr w:type="spellEnd"/>
      <w:r w:rsidRPr="00DE0A11">
        <w:rPr>
          <w:rFonts w:ascii="Times New Roman" w:eastAsia="Times New Roman" w:hAnsi="Times New Roman" w:cs="Times New Roman"/>
          <w:sz w:val="20"/>
          <w:szCs w:val="20"/>
          <w:lang w:val="uk-UA" w:eastAsia="ru-RU"/>
        </w:rPr>
        <w:t xml:space="preserve"> 009:2010) затверджена наказом Держспоживстандарту України від 11.10.2010      № 457 зі змінами та доповненнями (далі – Наказ № 457).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Абзацом другим п. 1 Наказу № 457 визначено, що основне призначення Класифікації видів економічної діяльності – визначати та кодувати основні та другорядні види економічної діяльності юридичних осіб, відокремлених підрозділів юридичних осіб, фізичних осіб – підприємців.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КВЕД </w:t>
      </w:r>
      <w:proofErr w:type="spellStart"/>
      <w:r w:rsidRPr="00DE0A11">
        <w:rPr>
          <w:rFonts w:ascii="Times New Roman" w:eastAsia="Times New Roman" w:hAnsi="Times New Roman" w:cs="Times New Roman"/>
          <w:sz w:val="20"/>
          <w:szCs w:val="20"/>
          <w:lang w:val="uk-UA" w:eastAsia="ru-RU"/>
        </w:rPr>
        <w:t>ДК</w:t>
      </w:r>
      <w:proofErr w:type="spellEnd"/>
      <w:r w:rsidRPr="00DE0A11">
        <w:rPr>
          <w:rFonts w:ascii="Times New Roman" w:eastAsia="Times New Roman" w:hAnsi="Times New Roman" w:cs="Times New Roman"/>
          <w:sz w:val="20"/>
          <w:szCs w:val="20"/>
          <w:lang w:val="uk-UA" w:eastAsia="ru-RU"/>
        </w:rPr>
        <w:t xml:space="preserve"> 009:2010 послуги перукарень відносяться до класу 96.02 «Надання послуг перукарнями та салонами краси».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Згідно з наказом Державного комітету статистики України від 23.12.2011 № 396 «Про затвердження Методологічних основ та пояснень до позицій Класифікації видів економічної діяльності» клас 96.02 «Надання послуг перукарнями та салонами краси» КВЕД </w:t>
      </w:r>
      <w:proofErr w:type="spellStart"/>
      <w:r w:rsidRPr="00DE0A11">
        <w:rPr>
          <w:rFonts w:ascii="Times New Roman" w:eastAsia="Times New Roman" w:hAnsi="Times New Roman" w:cs="Times New Roman"/>
          <w:sz w:val="20"/>
          <w:szCs w:val="20"/>
          <w:lang w:val="uk-UA" w:eastAsia="ru-RU"/>
        </w:rPr>
        <w:t>ДК</w:t>
      </w:r>
      <w:proofErr w:type="spellEnd"/>
      <w:r w:rsidRPr="00DE0A11">
        <w:rPr>
          <w:rFonts w:ascii="Times New Roman" w:eastAsia="Times New Roman" w:hAnsi="Times New Roman" w:cs="Times New Roman"/>
          <w:sz w:val="20"/>
          <w:szCs w:val="20"/>
          <w:lang w:val="uk-UA" w:eastAsia="ru-RU"/>
        </w:rPr>
        <w:t xml:space="preserve"> 009:2010 включає миття волосся, підрівнювання та підстригання, укладання, фарбування, тонування, завивання, розпрямлення волосся та подібні види послуг, що їх надають для чоловіків та жінок, а також гоління та підрівнювання бороди, масаж обличчя, манікюр і педикюр, макіяж тощо.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Отже, фізична особа – підприємець – платник єдиного податку першої групи, яка здійснює діяльність, з надання перукарських послуг, що належить до класу 96.02 «Надання послуг перукарнями та салонами краси», також має право надавати послуги манікюру, педикюру, </w:t>
      </w:r>
      <w:proofErr w:type="spellStart"/>
      <w:r w:rsidRPr="00DE0A11">
        <w:rPr>
          <w:rFonts w:ascii="Times New Roman" w:eastAsia="Times New Roman" w:hAnsi="Times New Roman" w:cs="Times New Roman"/>
          <w:sz w:val="20"/>
          <w:szCs w:val="20"/>
          <w:lang w:val="uk-UA" w:eastAsia="ru-RU"/>
        </w:rPr>
        <w:t>візажу</w:t>
      </w:r>
      <w:proofErr w:type="spellEnd"/>
      <w:r w:rsidRPr="00DE0A11">
        <w:rPr>
          <w:rFonts w:ascii="Times New Roman" w:eastAsia="Times New Roman" w:hAnsi="Times New Roman" w:cs="Times New Roman"/>
          <w:sz w:val="20"/>
          <w:szCs w:val="20"/>
          <w:lang w:val="uk-UA" w:eastAsia="ru-RU"/>
        </w:rPr>
        <w:t xml:space="preserve">, косметології та масажу обличчя без використання праці найманих осіб. </w:t>
      </w:r>
    </w:p>
    <w:p w:rsidR="0037522D" w:rsidRPr="00893CD4" w:rsidRDefault="0037522D" w:rsidP="00FD60CE">
      <w:pPr>
        <w:jc w:val="left"/>
        <w:outlineLvl w:val="0"/>
        <w:rPr>
          <w:rFonts w:ascii="Times New Roman" w:eastAsia="Times New Roman" w:hAnsi="Times New Roman" w:cs="Times New Roman"/>
          <w:b/>
          <w:bCs/>
          <w:kern w:val="36"/>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Трудові відносини: </w:t>
      </w:r>
      <w:proofErr w:type="spellStart"/>
      <w:r w:rsidRPr="00DE0A11">
        <w:rPr>
          <w:rFonts w:ascii="Times New Roman" w:eastAsia="Times New Roman" w:hAnsi="Times New Roman" w:cs="Times New Roman"/>
          <w:b/>
          <w:bCs/>
          <w:kern w:val="36"/>
          <w:sz w:val="20"/>
          <w:szCs w:val="20"/>
          <w:lang w:val="uk-UA" w:eastAsia="ru-RU"/>
        </w:rPr>
        <w:t>ФОП</w:t>
      </w:r>
      <w:proofErr w:type="spellEnd"/>
      <w:r w:rsidRPr="00DE0A11">
        <w:rPr>
          <w:rFonts w:ascii="Times New Roman" w:eastAsia="Times New Roman" w:hAnsi="Times New Roman" w:cs="Times New Roman"/>
          <w:b/>
          <w:bCs/>
          <w:kern w:val="36"/>
          <w:sz w:val="20"/>
          <w:szCs w:val="20"/>
          <w:lang w:val="uk-UA" w:eastAsia="ru-RU"/>
        </w:rPr>
        <w:t xml:space="preserve"> має право укладати трудові договори на одному або на декількох підприємствах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В</w:t>
      </w:r>
      <w:r w:rsidR="00DE0A11" w:rsidRPr="00DE0A11">
        <w:rPr>
          <w:rFonts w:ascii="Times New Roman" w:eastAsia="Times New Roman" w:hAnsi="Times New Roman" w:cs="Times New Roman"/>
          <w:sz w:val="20"/>
          <w:szCs w:val="20"/>
          <w:lang w:val="uk-UA" w:eastAsia="ru-RU"/>
        </w:rPr>
        <w:t xml:space="preserve">ідповідно до ст. 43 Конституції України кожний громадянин України має право на працю, а також на створення державою умов для повного виконання цього права.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Відповідно до ч. 2 ст. 21 Кодексу законів про працю України (далі – </w:t>
      </w:r>
      <w:proofErr w:type="spellStart"/>
      <w:r w:rsidRPr="00DE0A11">
        <w:rPr>
          <w:rFonts w:ascii="Times New Roman" w:eastAsia="Times New Roman" w:hAnsi="Times New Roman" w:cs="Times New Roman"/>
          <w:sz w:val="20"/>
          <w:szCs w:val="20"/>
          <w:lang w:val="uk-UA" w:eastAsia="ru-RU"/>
        </w:rPr>
        <w:t>КЗпП</w:t>
      </w:r>
      <w:proofErr w:type="spellEnd"/>
      <w:r w:rsidRPr="00DE0A11">
        <w:rPr>
          <w:rFonts w:ascii="Times New Roman" w:eastAsia="Times New Roman" w:hAnsi="Times New Roman" w:cs="Times New Roman"/>
          <w:sz w:val="20"/>
          <w:szCs w:val="20"/>
          <w:lang w:val="uk-UA" w:eastAsia="ru-RU"/>
        </w:rPr>
        <w:t xml:space="preserve">) працівники – фізичні особи – підприємці (далі –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мають право укладати трудові договори на одному або на декількох підприємствах, установах або організаціях одночасно, якщо це не суперечить законодавству або колективному договору та здійснюється за угодою сторін.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Згідно з п. 1 Положення про умови роботи за сумісництвом працівників державних підприємств, установ, організацій, затвердженого наказом Міністерства праці України, Міністерства юстиції України, Міністерства фінансів України від 28.06.1993 № 43, роботою за сумісництвом є виконання працівником основної роботи, а також іншої регулярної оплачуваної роботи за трудовим договором на тому ж або іншому підприємстві, в організації, установі або у громадянина (підприємця, приватної особи) за наймом.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зареєстрована у встановленому законом порядку, має право працювати за трудовим договором у одного або у кількох роботодавців. Основним місцем роботи </w:t>
      </w:r>
      <w:proofErr w:type="spellStart"/>
      <w:r w:rsidRPr="00DE0A11">
        <w:rPr>
          <w:rFonts w:ascii="Times New Roman" w:eastAsia="Times New Roman" w:hAnsi="Times New Roman" w:cs="Times New Roman"/>
          <w:sz w:val="20"/>
          <w:szCs w:val="20"/>
          <w:lang w:val="uk-UA" w:eastAsia="ru-RU"/>
        </w:rPr>
        <w:t>ФОП</w:t>
      </w:r>
      <w:proofErr w:type="spellEnd"/>
      <w:r w:rsidRPr="00DE0A11">
        <w:rPr>
          <w:rFonts w:ascii="Times New Roman" w:eastAsia="Times New Roman" w:hAnsi="Times New Roman" w:cs="Times New Roman"/>
          <w:sz w:val="20"/>
          <w:szCs w:val="20"/>
          <w:lang w:val="uk-UA" w:eastAsia="ru-RU"/>
        </w:rPr>
        <w:t xml:space="preserve"> є підприємство (установа), в якій знаходиться трудова книжка даного працівника.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Закон України № 466: податкові консультації за новими правилами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Н</w:t>
      </w:r>
      <w:r w:rsidR="00DE0A11" w:rsidRPr="00DE0A11">
        <w:rPr>
          <w:rFonts w:ascii="Times New Roman" w:eastAsia="Times New Roman" w:hAnsi="Times New Roman" w:cs="Times New Roman"/>
          <w:sz w:val="20"/>
          <w:szCs w:val="20"/>
          <w:lang w:val="uk-UA" w:eastAsia="ru-RU"/>
        </w:rPr>
        <w:t>агадує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що 23.05.2020 набрав чинності 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яким було внесено зміни до Податкового кодексу України (далі – ПКУ), зокрема у частині вдосконалення порядку надання податковими органами індивідуальних податкових консультацій (далі – ІПК).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Так, змінами: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визначено, що Електронний кабінет надає можливість платнику податків подавати звернення на отримання ІПК в електронній формі (зміни набрали чинності з 01.07.2020);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надано право податковим органам надавати ІПК в електронній формі;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Запит на ІПК та ІПК в електронній формі необхідно підписувати з дотриманням вимог законів України «Про електронні документи та електронний документообіг» та «Про електронні довірчі послуги».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збільшено з 10 до 15 кількість календарних днів терміну, на який може бути продовжено строк розгляду звернення на отримання ІПК.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Звертаємо увагу, що норми щодо звільнення від відповідальності, включаючи фінансової (штрафні санкції та/або пеня), платника податків, який діяв відповідно до наданої ІПК, а також узагальнюючої податкової консультації (п. 53.1 ст. 53 ПКУ) діють до 31.12.2020.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 01.01.2021 вказані норми відповідно до Закону № 466 переносяться до п. 112.8 ст. 112 ПКУ і продовжать діяти.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Платникам ПДВ про перерахунок суми «овердрафту»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З</w:t>
      </w:r>
      <w:r w:rsidR="00DE0A11" w:rsidRPr="00DE0A11">
        <w:rPr>
          <w:rFonts w:ascii="Times New Roman" w:eastAsia="Times New Roman" w:hAnsi="Times New Roman" w:cs="Times New Roman"/>
          <w:sz w:val="20"/>
          <w:szCs w:val="20"/>
          <w:lang w:val="uk-UA" w:eastAsia="ru-RU"/>
        </w:rPr>
        <w:t>вертає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увагу, що відповідно до п. 9 Порядку електронного адміністрування податку на додану вартість, затвердженого постановою Кабінету Міністрів України від 16 жовтня 2014 року № 569 із змінами і доповненнями (далі – Порядок № 569), складовою формули, що визначає суму ПДВ, на яку платник ПДВ має право зареєструвати податкові накладні та/або розрахунки коригування (далі – реєстраційна сума) в Єдиному реєстрі податкових накладних (далі – ЄРПН) є показник </w:t>
      </w:r>
      <w:proofErr w:type="spellStart"/>
      <w:r w:rsidR="00DE0A11" w:rsidRPr="00893CD4">
        <w:rPr>
          <w:rFonts w:ascii="Times New Roman" w:eastAsia="Times New Roman" w:hAnsi="Times New Roman" w:cs="Times New Roman"/>
          <w:b/>
          <w:bCs/>
          <w:i/>
          <w:iCs/>
          <w:sz w:val="20"/>
          <w:szCs w:val="20"/>
          <w:lang w:val="uk-UA" w:eastAsia="ru-RU"/>
        </w:rPr>
        <w:t>SОвердрафт</w:t>
      </w:r>
      <w:proofErr w:type="spellEnd"/>
      <w:r w:rsidR="00DE0A11" w:rsidRPr="00DE0A11">
        <w:rPr>
          <w:rFonts w:ascii="Times New Roman" w:eastAsia="Times New Roman" w:hAnsi="Times New Roman" w:cs="Times New Roman"/>
          <w:sz w:val="20"/>
          <w:szCs w:val="20"/>
          <w:lang w:val="uk-UA" w:eastAsia="ru-RU"/>
        </w:rPr>
        <w:t xml:space="preserve"> – сума середньомісячного розміру сум ПДВ, які за останніх 12 звітних (податкових) місяців були задекларовані платником до сплати до бюджету та погашені чи розстрочені або відстрочені, а також задекларовані платником ПДВ – сільськогосподарським підприємством, що до 01.01.2017 застосовував спеціальний режим оподаткування відповідно до ст. 209 Податкового кодексу України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Пунктом 13 Порядку № 569 встановлено, що ДПС автоматично обчислює суму ПДВ, на яку платник ПДВ має право зареєструвати податкові накладні та/або розрахунки коригування в ЄРПН.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Показник </w:t>
      </w:r>
      <w:proofErr w:type="spellStart"/>
      <w:r w:rsidRPr="00893CD4">
        <w:rPr>
          <w:rFonts w:ascii="Times New Roman" w:eastAsia="Times New Roman" w:hAnsi="Times New Roman" w:cs="Times New Roman"/>
          <w:b/>
          <w:bCs/>
          <w:i/>
          <w:iCs/>
          <w:sz w:val="20"/>
          <w:szCs w:val="20"/>
          <w:lang w:val="uk-UA" w:eastAsia="ru-RU"/>
        </w:rPr>
        <w:t>SОвердрафт</w:t>
      </w:r>
      <w:proofErr w:type="spellEnd"/>
      <w:r w:rsidRPr="00DE0A11">
        <w:rPr>
          <w:rFonts w:ascii="Times New Roman" w:eastAsia="Times New Roman" w:hAnsi="Times New Roman" w:cs="Times New Roman"/>
          <w:sz w:val="20"/>
          <w:szCs w:val="20"/>
          <w:lang w:val="uk-UA" w:eastAsia="ru-RU"/>
        </w:rPr>
        <w:t xml:space="preserve"> підлягає автоматичному перерахунку щокварталу (протягом перших шести робочих днів такого кварталу) з урахуванням показника середньомісячного розміру сум ПДВ, які за останніх 12 звітних (податкових) місяців станом на дату такого перерахунку, були задекларовані платником до сплати до бюджету та погашені чи розстрочені або відстрочені. Такий перерахунок здійснюється шляхом віднімання суми попереднього збільшення та додавання суми збільшення згідно з поточним перерахунком.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Громадяни для звірки даних щодо плати за землю мають право звернутись до органів ДПС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Доводимо</w:t>
      </w:r>
      <w:r w:rsidR="00DE0A11" w:rsidRPr="00DE0A11">
        <w:rPr>
          <w:rFonts w:ascii="Times New Roman" w:eastAsia="Times New Roman" w:hAnsi="Times New Roman" w:cs="Times New Roman"/>
          <w:sz w:val="20"/>
          <w:szCs w:val="20"/>
          <w:lang w:val="uk-UA" w:eastAsia="ru-RU"/>
        </w:rPr>
        <w:t xml:space="preserve"> до відома громадян, що плата за землю – це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визначені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14.1.147 п. 14.1 ст. 14 Податкового кодексу України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Земельний податок – це обов’язковий платіж, що справляється з власників земельних ділянок та земельних часток (паїв), а також постійних землекористувачів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14.1.72 п. 14.1 ст. 14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Орендна плата за земельні ділянки державної і комунальної власності – це обов’язковий платіж, який орендар вносить орендодавцеві за користування земельною ділянкою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14.1.136 п. 14.1 ст. 14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Нарахування фізичним особам сум плати за землю проводиться контролюючими органами (за місцем знаходження земельної ділянки),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 (п. 286.5 ст. 286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Згідно з п. 286.5 ст. 286 ПКУ платники плати за землю мають право звернутися з письмовою заявою до контролюючого органу за місцем знаходження земельних ділянок для проведення звірки даних щодо: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розміру площ та кількості земельних ділянок, що перебувають у власності та/або користуванні платника податку;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права на користування пільгою зі сплати земельного податку з урахуванням положень підпунктів 281.4 та 281.5 ст. 281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lastRenderedPageBreak/>
        <w:t xml:space="preserve">► розміру ставки земельного податку;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 нарахованої суми плати за землю.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разі виявлення розбіжностей між даними контролюючих органів та даними, підтвердженими платником плати за землю на підставі оригіналів відповідних документів, зокрема документів на право власності, користування пільгою, а також у разі зміни розміру ставки плати за землю контролюючий орган (контролюючі органи) за місцем знаходження кожної із земельних ділянок проводить (проводять) протягом десяти робочих днів перерахунок суми податку і надсилає (вручає)/надсилають (вручають) йому нове податкове повідомлення-рішення. Попереднє податкове повідомлення-рішення вважається скасованим (відкликаним).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Поряд з цим, у разі якщо платник податків має у власності декілька земельних ділянок, щодо яких необхідно провести звірку даних, для її проведення такий платник податків має право звернутися до контролюючого органу за місцем знаходження будь-якої з таких земельних ділянок (п. 286.5 ст. 286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Крім того, фізичні особи, з використанням кваліфікованого електронного підпису, мають можливість переглянути сформовані податкові повідомлення-рішення щодо сум нарахованих їм податкових зобов’язань з плати за землю, в меню </w:t>
      </w:r>
      <w:r w:rsidRPr="00893CD4">
        <w:rPr>
          <w:rFonts w:ascii="Times New Roman" w:eastAsia="Times New Roman" w:hAnsi="Times New Roman" w:cs="Times New Roman"/>
          <w:i/>
          <w:iCs/>
          <w:sz w:val="20"/>
          <w:szCs w:val="20"/>
          <w:lang w:val="uk-UA" w:eastAsia="ru-RU"/>
        </w:rPr>
        <w:t>«ЕК для громадян»</w:t>
      </w:r>
      <w:r w:rsidRPr="00DE0A11">
        <w:rPr>
          <w:rFonts w:ascii="Times New Roman" w:eastAsia="Times New Roman" w:hAnsi="Times New Roman" w:cs="Times New Roman"/>
          <w:sz w:val="20"/>
          <w:szCs w:val="20"/>
          <w:lang w:val="uk-UA" w:eastAsia="ru-RU"/>
        </w:rPr>
        <w:t xml:space="preserve"> приватної частини Електронного кабінету, вхід до якого здійснюється за адресою: </w:t>
      </w:r>
      <w:hyperlink r:id="rId5" w:history="1">
        <w:r w:rsidRPr="00893CD4">
          <w:rPr>
            <w:rFonts w:ascii="Times New Roman" w:eastAsia="Times New Roman" w:hAnsi="Times New Roman" w:cs="Times New Roman"/>
            <w:color w:val="0000FF"/>
            <w:sz w:val="20"/>
            <w:szCs w:val="20"/>
            <w:u w:val="single"/>
            <w:lang w:val="uk-UA" w:eastAsia="ru-RU"/>
          </w:rPr>
          <w:t>http://cabinet.tax.gov.ua</w:t>
        </w:r>
      </w:hyperlink>
      <w:r w:rsidRPr="00DE0A11">
        <w:rPr>
          <w:rFonts w:ascii="Times New Roman" w:eastAsia="Times New Roman" w:hAnsi="Times New Roman" w:cs="Times New Roman"/>
          <w:sz w:val="20"/>
          <w:szCs w:val="20"/>
          <w:lang w:val="uk-UA" w:eastAsia="ru-RU"/>
        </w:rPr>
        <w:t xml:space="preserve">, а також через офіційний </w:t>
      </w:r>
      <w:proofErr w:type="spellStart"/>
      <w:r w:rsidRPr="00DE0A11">
        <w:rPr>
          <w:rFonts w:ascii="Times New Roman" w:eastAsia="Times New Roman" w:hAnsi="Times New Roman" w:cs="Times New Roman"/>
          <w:sz w:val="20"/>
          <w:szCs w:val="20"/>
          <w:lang w:val="uk-UA" w:eastAsia="ru-RU"/>
        </w:rPr>
        <w:t>вебпортал</w:t>
      </w:r>
      <w:proofErr w:type="spellEnd"/>
      <w:r w:rsidRPr="00DE0A11">
        <w:rPr>
          <w:rFonts w:ascii="Times New Roman" w:eastAsia="Times New Roman" w:hAnsi="Times New Roman" w:cs="Times New Roman"/>
          <w:sz w:val="20"/>
          <w:szCs w:val="20"/>
          <w:lang w:val="uk-UA" w:eastAsia="ru-RU"/>
        </w:rPr>
        <w:t xml:space="preserve"> ДПС.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Нагадуємо, що земельний податок за земельні ділянки державної і комунальної власності фізичними особами сплачується протягом 60 днів з дня вручення податкового повідомлення-рішення.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Витрати на сплату страхових внесків, сплачених за страхування життя: скористатись податковою знижкою можна по 31 грудня 2020 року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П</w:t>
      </w:r>
      <w:r w:rsidR="00DE0A11" w:rsidRPr="00DE0A11">
        <w:rPr>
          <w:rFonts w:ascii="Times New Roman" w:eastAsia="Times New Roman" w:hAnsi="Times New Roman" w:cs="Times New Roman"/>
          <w:sz w:val="20"/>
          <w:szCs w:val="20"/>
          <w:lang w:val="uk-UA" w:eastAsia="ru-RU"/>
        </w:rPr>
        <w:t>овідомляє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що платник податку на доходи фізичних осіб (далі – ПДФО) має право на податкову знижку у зменшення оподатковуваного доходу платника ПДФО за наслідками звітного податкового року.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встановлені ст. 166 Податкового кодексу України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Перелік витрат, дозволених до включення до податкової знижки, визначено п. 166.3 ст. 166 ПКУ,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166.3.5 якого встановлено, що 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суму фактично здійснених ним протягом звітного податкового року витрат на сплату страхових платежів (страхових внесків, страхових премій) та пенсійних внесків, сплачених платником ПДФО страховику – резиденту, недержавному пенсійному фонду, банківській установі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учасників фондів банківського управління як такого платника ПДФО,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а) при страхуванні платника ПДФО або за пенсійним контрактом з недержавним пенсійним фондом платника ПДФО, або на банківський пенсійний депозитний рахунок, пенсійний вклад, рахунок учасника фонду банківського управління чи за їх сукупністю – суму, визначену в абзаці першому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169.4.1 п. 169.4 ст. 169 ПКУ (сума,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б) при страхуванні члена сім’ї платника ПДФО першого ступеня споріднення або за пенсійним контрактом з недержавним пенсійним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 суми, визначеної в абзаці першому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169.4.1 п. 169.4 ст. 169 ПКУ, в розрахунку на кожного застрахованого члена сім’ї.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Підстави для нарахування податкової знижки із зазначенням конкретних сум відображаються платником ПДФО у річній податковій декларації про майновий стан і доходи (далі – податкова декларація), яка подається по 31 грудня включно наступного за звітним податкового року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166.1.2 п. 166.1 ст. 166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w:t>
      </w:r>
      <w:proofErr w:type="spellStart"/>
      <w:r w:rsidRPr="00DE0A11">
        <w:rPr>
          <w:rFonts w:ascii="Times New Roman" w:eastAsia="Times New Roman" w:hAnsi="Times New Roman" w:cs="Times New Roman"/>
          <w:sz w:val="20"/>
          <w:szCs w:val="20"/>
          <w:lang w:val="uk-UA" w:eastAsia="ru-RU"/>
        </w:rPr>
        <w:t>отримувача</w:t>
      </w:r>
      <w:proofErr w:type="spellEnd"/>
      <w:r w:rsidRPr="00DE0A11">
        <w:rPr>
          <w:rFonts w:ascii="Times New Roman" w:eastAsia="Times New Roman" w:hAnsi="Times New Roman" w:cs="Times New Roman"/>
          <w:sz w:val="20"/>
          <w:szCs w:val="20"/>
          <w:lang w:val="uk-UA" w:eastAsia="ru-RU"/>
        </w:rPr>
        <w:t>)), а також копіями договорів за їх наявності в яких обов’язково відображається вартість таких товарів (робіт, послуг) і строк оплати за такі товари (роботи, послуги)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166.2.1 п. 166.2 ст. 166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Підпунктом 166.2.2 п. 166.2 ст. 166 ПКУ визначено, що копії зазначених у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166.2.1 п. 166.2 ст. 166 ПКУ документів </w:t>
      </w:r>
      <w:r w:rsidRPr="00893CD4">
        <w:rPr>
          <w:rFonts w:ascii="Times New Roman" w:eastAsia="Times New Roman" w:hAnsi="Times New Roman" w:cs="Times New Roman"/>
          <w:i/>
          <w:iCs/>
          <w:sz w:val="20"/>
          <w:szCs w:val="20"/>
          <w:lang w:val="uk-UA" w:eastAsia="ru-RU"/>
        </w:rPr>
        <w:t>(крім електронних розрахункових документів)</w:t>
      </w:r>
      <w:r w:rsidRPr="00DE0A11">
        <w:rPr>
          <w:rFonts w:ascii="Times New Roman" w:eastAsia="Times New Roman" w:hAnsi="Times New Roman" w:cs="Times New Roman"/>
          <w:sz w:val="20"/>
          <w:szCs w:val="20"/>
          <w:lang w:val="uk-UA" w:eastAsia="ru-RU"/>
        </w:rPr>
        <w:t xml:space="preserve"> надаються разом з податковою декларацією, а оригінали цих документів не надсилаються контролюючому органу, але підлягають зберіганню платником ПДФО протягом строку давності, встановленого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разі якщо відповідні витрати підтверджені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Статтею 981 Цивільного кодексу України від 16 січня 2003 року № 435-IV із змінами та доповненнями визначено форму договору страхування. Договір укладається в письмовій формі. Договір страхування може укладатись шляхом видачі страховиком страхувальникові страхового свідоцтва (поліса, сертифіката).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разі недодержання письмової форми договору страхування такий договір є нікчемним.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Отже, 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w:t>
      </w:r>
      <w:proofErr w:type="spellStart"/>
      <w:r w:rsidRPr="00DE0A11">
        <w:rPr>
          <w:rFonts w:ascii="Times New Roman" w:eastAsia="Times New Roman" w:hAnsi="Times New Roman" w:cs="Times New Roman"/>
          <w:sz w:val="20"/>
          <w:szCs w:val="20"/>
          <w:lang w:val="uk-UA" w:eastAsia="ru-RU"/>
        </w:rPr>
        <w:t>отримувача</w:t>
      </w:r>
      <w:proofErr w:type="spellEnd"/>
      <w:r w:rsidRPr="00DE0A11">
        <w:rPr>
          <w:rFonts w:ascii="Times New Roman" w:eastAsia="Times New Roman" w:hAnsi="Times New Roman" w:cs="Times New Roman"/>
          <w:sz w:val="20"/>
          <w:szCs w:val="20"/>
          <w:lang w:val="uk-UA" w:eastAsia="ru-RU"/>
        </w:rPr>
        <w:t xml:space="preserve">)), а також копіями договорів в яких обов’язково повинно бути відображено вартість таких товарів (робіт, послуг) і строк оплати за такі товари (роботи, послуги).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У зазначених документах обов’язково необхідно відобразити суму сплачених страхових та пенсійних внесків, дату сплати, прізвище платника, реквізити договору згідно з яким здійснюється така плата, відповідний договір (договір </w:t>
      </w:r>
      <w:r w:rsidRPr="00DE0A11">
        <w:rPr>
          <w:rFonts w:ascii="Times New Roman" w:eastAsia="Times New Roman" w:hAnsi="Times New Roman" w:cs="Times New Roman"/>
          <w:sz w:val="20"/>
          <w:szCs w:val="20"/>
          <w:lang w:val="uk-UA" w:eastAsia="ru-RU"/>
        </w:rPr>
        <w:lastRenderedPageBreak/>
        <w:t xml:space="preserve">довгострокового страхування життя, договір недержавного пенсійного забезпечення, пенсійний контракт з недержавним пенсійним фондом тощо).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Кошти, які після оподаткування переведені з рахунку </w:t>
      </w:r>
      <w:proofErr w:type="spellStart"/>
      <w:r w:rsidRPr="00DE0A11">
        <w:rPr>
          <w:rFonts w:ascii="Times New Roman" w:eastAsia="Times New Roman" w:hAnsi="Times New Roman" w:cs="Times New Roman"/>
          <w:b/>
          <w:bCs/>
          <w:kern w:val="36"/>
          <w:sz w:val="20"/>
          <w:szCs w:val="20"/>
          <w:lang w:val="uk-UA" w:eastAsia="ru-RU"/>
        </w:rPr>
        <w:t>юрособи</w:t>
      </w:r>
      <w:proofErr w:type="spellEnd"/>
      <w:r w:rsidRPr="00DE0A11">
        <w:rPr>
          <w:rFonts w:ascii="Times New Roman" w:eastAsia="Times New Roman" w:hAnsi="Times New Roman" w:cs="Times New Roman"/>
          <w:b/>
          <w:bCs/>
          <w:kern w:val="36"/>
          <w:sz w:val="20"/>
          <w:szCs w:val="20"/>
          <w:lang w:val="uk-UA" w:eastAsia="ru-RU"/>
        </w:rPr>
        <w:t xml:space="preserve"> – «</w:t>
      </w:r>
      <w:proofErr w:type="spellStart"/>
      <w:r w:rsidRPr="00DE0A11">
        <w:rPr>
          <w:rFonts w:ascii="Times New Roman" w:eastAsia="Times New Roman" w:hAnsi="Times New Roman" w:cs="Times New Roman"/>
          <w:b/>
          <w:bCs/>
          <w:kern w:val="36"/>
          <w:sz w:val="20"/>
          <w:szCs w:val="20"/>
          <w:lang w:val="uk-UA" w:eastAsia="ru-RU"/>
        </w:rPr>
        <w:t>єдинника</w:t>
      </w:r>
      <w:proofErr w:type="spellEnd"/>
      <w:r w:rsidRPr="00DE0A11">
        <w:rPr>
          <w:rFonts w:ascii="Times New Roman" w:eastAsia="Times New Roman" w:hAnsi="Times New Roman" w:cs="Times New Roman"/>
          <w:b/>
          <w:bCs/>
          <w:kern w:val="36"/>
          <w:sz w:val="20"/>
          <w:szCs w:val="20"/>
          <w:lang w:val="uk-UA" w:eastAsia="ru-RU"/>
        </w:rPr>
        <w:t xml:space="preserve">» третьої групи на рахунок того ж платника в іншому банку, не підлягають повторному оподаткуванню </w:t>
      </w:r>
    </w:p>
    <w:p w:rsidR="00DE0A11" w:rsidRPr="00DE0A11" w:rsidRDefault="0037522D" w:rsidP="00FD60CE">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І</w:t>
      </w:r>
      <w:r w:rsidR="00DE0A11" w:rsidRPr="00DE0A11">
        <w:rPr>
          <w:rFonts w:ascii="Times New Roman" w:eastAsia="Times New Roman" w:hAnsi="Times New Roman" w:cs="Times New Roman"/>
          <w:sz w:val="20"/>
          <w:szCs w:val="20"/>
          <w:lang w:val="uk-UA" w:eastAsia="ru-RU"/>
        </w:rPr>
        <w:t>нформує</w:t>
      </w:r>
      <w:r w:rsidRPr="00893CD4">
        <w:rPr>
          <w:rFonts w:ascii="Times New Roman" w:eastAsia="Times New Roman" w:hAnsi="Times New Roman" w:cs="Times New Roman"/>
          <w:sz w:val="20"/>
          <w:szCs w:val="20"/>
          <w:lang w:val="uk-UA" w:eastAsia="ru-RU"/>
        </w:rPr>
        <w:t>мо</w:t>
      </w:r>
      <w:r w:rsidR="00DE0A11" w:rsidRPr="00DE0A11">
        <w:rPr>
          <w:rFonts w:ascii="Times New Roman" w:eastAsia="Times New Roman" w:hAnsi="Times New Roman" w:cs="Times New Roman"/>
          <w:sz w:val="20"/>
          <w:szCs w:val="20"/>
          <w:lang w:val="uk-UA" w:eastAsia="ru-RU"/>
        </w:rPr>
        <w:t xml:space="preserve">, що доходом платника єдиного податку для юридичної особи є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Податкового кодексу України (далі –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Норми встановлені </w:t>
      </w:r>
      <w:proofErr w:type="spellStart"/>
      <w:r w:rsidRPr="00DE0A11">
        <w:rPr>
          <w:rFonts w:ascii="Times New Roman" w:eastAsia="Times New Roman" w:hAnsi="Times New Roman" w:cs="Times New Roman"/>
          <w:sz w:val="20"/>
          <w:szCs w:val="20"/>
          <w:lang w:val="uk-UA" w:eastAsia="ru-RU"/>
        </w:rPr>
        <w:t>п.п</w:t>
      </w:r>
      <w:proofErr w:type="spellEnd"/>
      <w:r w:rsidRPr="00DE0A11">
        <w:rPr>
          <w:rFonts w:ascii="Times New Roman" w:eastAsia="Times New Roman" w:hAnsi="Times New Roman" w:cs="Times New Roman"/>
          <w:sz w:val="20"/>
          <w:szCs w:val="20"/>
          <w:lang w:val="uk-UA" w:eastAsia="ru-RU"/>
        </w:rPr>
        <w:t xml:space="preserve">. 2 п. 292.1 ст. 292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Визначення доходу здійснюється для цілей оподаткування єдиним податком та для надання права суб’єкту господарювання зареєструватися платником єдиного податку та/або перебувати на спрощеній системі оподаткування (п. 292. 14 ст. 292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підписання платником єдиного податку акта приймання-передачі безоплатно отриманих товарів (робіт, послуг). Для платника єдиного податку третьої групи, який є платником податку на додану вартість, датою отримання доходу є дата списання кредиторської заборгованості, за якою минув строк позовної давності.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Для платника єдиного податку третьої групи – юридичні особи датою отримання доходу також є дата відвантаження товарів (виконання робіт, надання послуг), за які отримана попередня оплата (аванс) у період сплати інших податків і зборів, визначених ПКУ (п. 292.6 ст. 292 ПКУ).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Отже, оподатковані кошти є прибутком підприємства, тобто власними коштами платника єдиного податку третьої групи – юридичної особи, які залишаються у розпорядженні підприємства.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Враховуючи вищевикладене, кошти, які після оподаткування переведені з рахунку платника єдиного податку третьої групи – юридичної особи на рахунок того ж платника в іншому банку, не підлягають повторному оподаткуванню єдиним податком.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Звернення громадян є пріоритетним напрямком роботи податківців Дніпропетровської області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Впродовж січня – вересня 2020 року до Головного управління ДПС у Дніпропетровській області надійшло 282 письмових звернення громадян. За відповідний період 2019 року таких звернень надійшло 322.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Тематика письмових звернень в більшості стосувалася наступних питань: контрольно-перевірочної роботи, консультації з питань податкового законодавства тощо.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Колективних звернень надійшло 14, які розглянуті у визначені законодавством терміни.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«Пріоритетним напрямом роботи податкової служби області є створення комфортних умов для платників податків при виконанні ними своїх обов’язків по сплаті податків, зборів, платежів. Першочергова увага приділяється забезпеченню всебічного, кваліфікованого, об’єктивного розгляду звернень, оперативному і своєчасному вирішенню виявлених питань», - підкреслила </w:t>
      </w:r>
      <w:proofErr w:type="spellStart"/>
      <w:r w:rsidRPr="00DE0A11">
        <w:rPr>
          <w:rFonts w:ascii="Times New Roman" w:eastAsia="Times New Roman" w:hAnsi="Times New Roman" w:cs="Times New Roman"/>
          <w:sz w:val="20"/>
          <w:szCs w:val="20"/>
          <w:lang w:val="uk-UA" w:eastAsia="ru-RU"/>
        </w:rPr>
        <w:t>в.о</w:t>
      </w:r>
      <w:proofErr w:type="spellEnd"/>
      <w:r w:rsidRPr="00DE0A11">
        <w:rPr>
          <w:rFonts w:ascii="Times New Roman" w:eastAsia="Times New Roman" w:hAnsi="Times New Roman" w:cs="Times New Roman"/>
          <w:sz w:val="20"/>
          <w:szCs w:val="20"/>
          <w:lang w:val="uk-UA" w:eastAsia="ru-RU"/>
        </w:rPr>
        <w:t xml:space="preserve">. заступника начальника Головного управління ДПС у Дніпропетровській області Ольга Мазур. </w:t>
      </w:r>
    </w:p>
    <w:p w:rsidR="00DE0A11" w:rsidRPr="00893CD4"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З метою поліпшення інформаційного обміну з громадянами при Головному управлінні ДПС у Дніпропетровській області працює спеціальна електронна поштова скринька dp.zvern436@</w:t>
      </w:r>
      <w:proofErr w:type="spellStart"/>
      <w:r w:rsidRPr="00DE0A11">
        <w:rPr>
          <w:rFonts w:ascii="Times New Roman" w:eastAsia="Times New Roman" w:hAnsi="Times New Roman" w:cs="Times New Roman"/>
          <w:sz w:val="20"/>
          <w:szCs w:val="20"/>
          <w:lang w:val="uk-UA" w:eastAsia="ru-RU"/>
        </w:rPr>
        <w:t>tax.gov.ua</w:t>
      </w:r>
      <w:proofErr w:type="spellEnd"/>
      <w:r w:rsidRPr="00DE0A11">
        <w:rPr>
          <w:rFonts w:ascii="Times New Roman" w:eastAsia="Times New Roman" w:hAnsi="Times New Roman" w:cs="Times New Roman"/>
          <w:sz w:val="20"/>
          <w:szCs w:val="20"/>
          <w:lang w:val="uk-UA" w:eastAsia="ru-RU"/>
        </w:rPr>
        <w:t xml:space="preserve">, звернення з якої протягом кожного робочого дня приймаються працівниками відповідно до вимог Закону України від 2 жовтня 1996 року № 393/96-ВР «Про звернення громадян». </w:t>
      </w:r>
    </w:p>
    <w:p w:rsidR="0037522D" w:rsidRPr="00DE0A11" w:rsidRDefault="0037522D" w:rsidP="00FD60CE">
      <w:pPr>
        <w:rPr>
          <w:rFonts w:ascii="Times New Roman" w:eastAsia="Times New Roman" w:hAnsi="Times New Roman" w:cs="Times New Roman"/>
          <w:sz w:val="20"/>
          <w:szCs w:val="20"/>
          <w:lang w:val="uk-UA" w:eastAsia="ru-RU"/>
        </w:rPr>
      </w:pPr>
    </w:p>
    <w:p w:rsidR="00DE0A11" w:rsidRPr="00DE0A11" w:rsidRDefault="00DE0A11" w:rsidP="00FD60CE">
      <w:pPr>
        <w:jc w:val="left"/>
        <w:outlineLvl w:val="0"/>
        <w:rPr>
          <w:rFonts w:ascii="Times New Roman" w:eastAsia="Times New Roman" w:hAnsi="Times New Roman" w:cs="Times New Roman"/>
          <w:b/>
          <w:bCs/>
          <w:kern w:val="36"/>
          <w:sz w:val="20"/>
          <w:szCs w:val="20"/>
          <w:lang w:val="uk-UA" w:eastAsia="ru-RU"/>
        </w:rPr>
      </w:pPr>
      <w:r w:rsidRPr="00DE0A11">
        <w:rPr>
          <w:rFonts w:ascii="Times New Roman" w:eastAsia="Times New Roman" w:hAnsi="Times New Roman" w:cs="Times New Roman"/>
          <w:b/>
          <w:bCs/>
          <w:kern w:val="36"/>
          <w:sz w:val="20"/>
          <w:szCs w:val="20"/>
          <w:lang w:val="uk-UA" w:eastAsia="ru-RU"/>
        </w:rPr>
        <w:t xml:space="preserve">Головним управлінням ДПС у Дніпропетровській області упереджено розповсюдження схемного податкового кредиту на суму понад 7 </w:t>
      </w:r>
      <w:proofErr w:type="spellStart"/>
      <w:r w:rsidRPr="00DE0A11">
        <w:rPr>
          <w:rFonts w:ascii="Times New Roman" w:eastAsia="Times New Roman" w:hAnsi="Times New Roman" w:cs="Times New Roman"/>
          <w:b/>
          <w:bCs/>
          <w:kern w:val="36"/>
          <w:sz w:val="20"/>
          <w:szCs w:val="20"/>
          <w:lang w:val="uk-UA" w:eastAsia="ru-RU"/>
        </w:rPr>
        <w:t>млн</w:t>
      </w:r>
      <w:proofErr w:type="spellEnd"/>
      <w:r w:rsidRPr="00DE0A11">
        <w:rPr>
          <w:rFonts w:ascii="Times New Roman" w:eastAsia="Times New Roman" w:hAnsi="Times New Roman" w:cs="Times New Roman"/>
          <w:b/>
          <w:bCs/>
          <w:kern w:val="36"/>
          <w:sz w:val="20"/>
          <w:szCs w:val="20"/>
          <w:lang w:val="uk-UA" w:eastAsia="ru-RU"/>
        </w:rPr>
        <w:t xml:space="preserve"> гривень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Підприємство шляхом маніпулювання критеріями </w:t>
      </w:r>
      <w:proofErr w:type="spellStart"/>
      <w:r w:rsidRPr="00DE0A11">
        <w:rPr>
          <w:rFonts w:ascii="Times New Roman" w:eastAsia="Times New Roman" w:hAnsi="Times New Roman" w:cs="Times New Roman"/>
          <w:sz w:val="20"/>
          <w:szCs w:val="20"/>
          <w:lang w:val="uk-UA" w:eastAsia="ru-RU"/>
        </w:rPr>
        <w:t>ризиковості</w:t>
      </w:r>
      <w:proofErr w:type="spellEnd"/>
      <w:r w:rsidRPr="00DE0A11">
        <w:rPr>
          <w:rFonts w:ascii="Times New Roman" w:eastAsia="Times New Roman" w:hAnsi="Times New Roman" w:cs="Times New Roman"/>
          <w:sz w:val="20"/>
          <w:szCs w:val="20"/>
          <w:lang w:val="uk-UA" w:eastAsia="ru-RU"/>
        </w:rPr>
        <w:t xml:space="preserve">, показниками податкової звітності з ПДВ зареєструвало податкові накладні з датою виписки попередніх періодів та з номенклатурою, відмінною від придбаної.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Працівниками Головного управління ДПС у Дніпропетровській області виявлено схему та унеможливлено подальше розповсюдження сумнівного податкового кредиту на суму 7 073,7 тис. гривень. Зокрема, вірогідний факт, що особисті електронні ключі </w:t>
      </w:r>
      <w:proofErr w:type="spellStart"/>
      <w:r w:rsidRPr="00DE0A11">
        <w:rPr>
          <w:rFonts w:ascii="Times New Roman" w:eastAsia="Times New Roman" w:hAnsi="Times New Roman" w:cs="Times New Roman"/>
          <w:sz w:val="20"/>
          <w:szCs w:val="20"/>
          <w:lang w:val="uk-UA" w:eastAsia="ru-RU"/>
        </w:rPr>
        <w:t>скомпроментовано</w:t>
      </w:r>
      <w:proofErr w:type="spellEnd"/>
      <w:r w:rsidRPr="00DE0A11">
        <w:rPr>
          <w:rFonts w:ascii="Times New Roman" w:eastAsia="Times New Roman" w:hAnsi="Times New Roman" w:cs="Times New Roman"/>
          <w:sz w:val="20"/>
          <w:szCs w:val="20"/>
          <w:lang w:val="uk-UA" w:eastAsia="ru-RU"/>
        </w:rPr>
        <w:t xml:space="preserve">, про що повідомлено органи юстиції. </w:t>
      </w:r>
    </w:p>
    <w:p w:rsidR="00DE0A11" w:rsidRPr="00DE0A11" w:rsidRDefault="00DE0A11" w:rsidP="00FD60CE">
      <w:pPr>
        <w:rPr>
          <w:rFonts w:ascii="Times New Roman" w:eastAsia="Times New Roman" w:hAnsi="Times New Roman" w:cs="Times New Roman"/>
          <w:sz w:val="20"/>
          <w:szCs w:val="20"/>
          <w:lang w:val="uk-UA" w:eastAsia="ru-RU"/>
        </w:rPr>
      </w:pPr>
      <w:r w:rsidRPr="00DE0A11">
        <w:rPr>
          <w:rFonts w:ascii="Times New Roman" w:eastAsia="Times New Roman" w:hAnsi="Times New Roman" w:cs="Times New Roman"/>
          <w:sz w:val="20"/>
          <w:szCs w:val="20"/>
          <w:lang w:val="uk-UA" w:eastAsia="ru-RU"/>
        </w:rPr>
        <w:t xml:space="preserve">Стосовно даного факту  направлено матеріали до Головного управління Національної поліції у Дніпропетровській області, що стало підставою для відкриття кримінального провадження за статтею 366 КК України, а саме: підроблення офіційних документів та завідомо неправдивих відомостей. </w:t>
      </w:r>
    </w:p>
    <w:p w:rsidR="00893CD4" w:rsidRDefault="00893CD4" w:rsidP="00893CD4">
      <w:pPr>
        <w:rPr>
          <w:rFonts w:ascii="Times New Roman" w:eastAsia="Times New Roman" w:hAnsi="Times New Roman" w:cs="Times New Roman"/>
          <w:sz w:val="20"/>
          <w:szCs w:val="20"/>
          <w:lang w:val="uk-UA" w:eastAsia="ru-RU"/>
        </w:rPr>
      </w:pPr>
    </w:p>
    <w:p w:rsidR="00893CD4" w:rsidRPr="00893CD4" w:rsidRDefault="00893CD4" w:rsidP="00893CD4">
      <w:pPr>
        <w:jc w:val="left"/>
        <w:outlineLvl w:val="0"/>
        <w:rPr>
          <w:rFonts w:ascii="Times New Roman" w:eastAsia="Times New Roman" w:hAnsi="Times New Roman" w:cs="Times New Roman"/>
          <w:b/>
          <w:bCs/>
          <w:kern w:val="36"/>
          <w:sz w:val="20"/>
          <w:szCs w:val="20"/>
          <w:lang w:val="uk-UA" w:eastAsia="ru-RU"/>
        </w:rPr>
      </w:pPr>
      <w:r w:rsidRPr="00893CD4">
        <w:rPr>
          <w:rFonts w:ascii="Times New Roman" w:eastAsia="Times New Roman" w:hAnsi="Times New Roman" w:cs="Times New Roman"/>
          <w:b/>
          <w:bCs/>
          <w:kern w:val="36"/>
          <w:sz w:val="20"/>
          <w:szCs w:val="20"/>
          <w:lang w:val="uk-UA" w:eastAsia="ru-RU"/>
        </w:rPr>
        <w:t xml:space="preserve">До уваги фінансових агентів!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Відповідно до Закону України від 29 жовтня 2019 року № 229-IX «Про ратифікацію Угоди між Урядом України та Урядом Сполучених Штатів Америки для поліпшення виконання податкових правил й застосування положень Закону США «Про податкові вимоги до іноземних рахунків» (FATCA)» (далі – Угода FATCA) та </w:t>
      </w:r>
      <w:proofErr w:type="spellStart"/>
      <w:r w:rsidRPr="00893CD4">
        <w:rPr>
          <w:rFonts w:ascii="Times New Roman" w:eastAsia="Times New Roman" w:hAnsi="Times New Roman" w:cs="Times New Roman"/>
          <w:sz w:val="20"/>
          <w:szCs w:val="20"/>
          <w:lang w:val="uk-UA" w:eastAsia="ru-RU"/>
        </w:rPr>
        <w:t>п.п</w:t>
      </w:r>
      <w:proofErr w:type="spellEnd"/>
      <w:r w:rsidRPr="00893CD4">
        <w:rPr>
          <w:rFonts w:ascii="Times New Roman" w:eastAsia="Times New Roman" w:hAnsi="Times New Roman" w:cs="Times New Roman"/>
          <w:sz w:val="20"/>
          <w:szCs w:val="20"/>
          <w:lang w:val="uk-UA" w:eastAsia="ru-RU"/>
        </w:rPr>
        <w:t xml:space="preserve">. 69.8.3 п. 69.8 ст. 69 Податкового кодексу України від 02 грудня 2010 № 2755-VI зі змінами та доповненнями (далі – ПКУ) фінансові агенти України зобов’язані щороку, до 01 вересня, подавати до центрального органу виконавчої влади, що реалізує державну податкову політику, звіт про підзвітні рахунки.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Порядок заповнення і подання фінансовими агентами звіту про підзвітні рахунки затверджено наказом Міністерства фінансів України від 12.08.2020 № 496. Відповідно до документа фінансові агенти України зможуть подавати до ДПС України через платформу IDES (</w:t>
      </w:r>
      <w:proofErr w:type="spellStart"/>
      <w:r w:rsidRPr="00893CD4">
        <w:rPr>
          <w:rFonts w:ascii="Times New Roman" w:eastAsia="Times New Roman" w:hAnsi="Times New Roman" w:cs="Times New Roman"/>
          <w:sz w:val="20"/>
          <w:szCs w:val="20"/>
          <w:lang w:val="uk-UA" w:eastAsia="ru-RU"/>
        </w:rPr>
        <w:t>International</w:t>
      </w:r>
      <w:proofErr w:type="spellEnd"/>
      <w:r w:rsidRPr="00893CD4">
        <w:rPr>
          <w:rFonts w:ascii="Times New Roman" w:eastAsia="Times New Roman" w:hAnsi="Times New Roman" w:cs="Times New Roman"/>
          <w:sz w:val="20"/>
          <w:szCs w:val="20"/>
          <w:lang w:val="uk-UA" w:eastAsia="ru-RU"/>
        </w:rPr>
        <w:t xml:space="preserve"> </w:t>
      </w:r>
      <w:proofErr w:type="spellStart"/>
      <w:r w:rsidRPr="00893CD4">
        <w:rPr>
          <w:rFonts w:ascii="Times New Roman" w:eastAsia="Times New Roman" w:hAnsi="Times New Roman" w:cs="Times New Roman"/>
          <w:sz w:val="20"/>
          <w:szCs w:val="20"/>
          <w:lang w:val="uk-UA" w:eastAsia="ru-RU"/>
        </w:rPr>
        <w:t>Data</w:t>
      </w:r>
      <w:proofErr w:type="spellEnd"/>
      <w:r w:rsidRPr="00893CD4">
        <w:rPr>
          <w:rFonts w:ascii="Times New Roman" w:eastAsia="Times New Roman" w:hAnsi="Times New Roman" w:cs="Times New Roman"/>
          <w:sz w:val="20"/>
          <w:szCs w:val="20"/>
          <w:lang w:val="uk-UA" w:eastAsia="ru-RU"/>
        </w:rPr>
        <w:t xml:space="preserve"> Exchange </w:t>
      </w:r>
      <w:proofErr w:type="spellStart"/>
      <w:r w:rsidRPr="00893CD4">
        <w:rPr>
          <w:rFonts w:ascii="Times New Roman" w:eastAsia="Times New Roman" w:hAnsi="Times New Roman" w:cs="Times New Roman"/>
          <w:sz w:val="20"/>
          <w:szCs w:val="20"/>
          <w:lang w:val="uk-UA" w:eastAsia="ru-RU"/>
        </w:rPr>
        <w:t>Services</w:t>
      </w:r>
      <w:proofErr w:type="spellEnd"/>
      <w:r w:rsidRPr="00893CD4">
        <w:rPr>
          <w:rFonts w:ascii="Times New Roman" w:eastAsia="Times New Roman" w:hAnsi="Times New Roman" w:cs="Times New Roman"/>
          <w:sz w:val="20"/>
          <w:szCs w:val="20"/>
          <w:lang w:val="uk-UA" w:eastAsia="ru-RU"/>
        </w:rPr>
        <w:t xml:space="preserve"> – Міжнародна служба обміну даними) звіти про підзвітні рахунки, відкриті платниками податків США в українських фінансових установах у випадках та в обсязі, визначених Угодою. Обмін інформацією буде централізовано здійснюватися ДПС України до податкового органу Сполучених Штатів Америки (IRS) з дотриманням вимог українського законодавства.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Враховуючи ситуацію з COVID-19, Службою внутрішніх доходів США опубліковане повідомлення </w:t>
      </w:r>
      <w:r w:rsidRPr="00893CD4">
        <w:rPr>
          <w:rFonts w:ascii="Times New Roman" w:eastAsia="Times New Roman" w:hAnsi="Times New Roman" w:cs="Times New Roman"/>
          <w:b/>
          <w:bCs/>
          <w:sz w:val="20"/>
          <w:szCs w:val="20"/>
          <w:lang w:val="uk-UA" w:eastAsia="ru-RU"/>
        </w:rPr>
        <w:t>про перенесення</w:t>
      </w:r>
      <w:r w:rsidRPr="00893CD4">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b/>
          <w:bCs/>
          <w:sz w:val="20"/>
          <w:szCs w:val="20"/>
          <w:lang w:val="uk-UA" w:eastAsia="ru-RU"/>
        </w:rPr>
        <w:t>строків подання звітів за 2019</w:t>
      </w:r>
      <w:r w:rsidRPr="00893CD4">
        <w:rPr>
          <w:rFonts w:ascii="Times New Roman" w:eastAsia="Times New Roman" w:hAnsi="Times New Roman" w:cs="Times New Roman"/>
          <w:sz w:val="20"/>
          <w:szCs w:val="20"/>
          <w:lang w:val="uk-UA" w:eastAsia="ru-RU"/>
        </w:rPr>
        <w:t xml:space="preserve"> </w:t>
      </w:r>
      <w:r w:rsidRPr="00893CD4">
        <w:rPr>
          <w:rFonts w:ascii="Times New Roman" w:eastAsia="Times New Roman" w:hAnsi="Times New Roman" w:cs="Times New Roman"/>
          <w:b/>
          <w:bCs/>
          <w:sz w:val="20"/>
          <w:szCs w:val="20"/>
          <w:lang w:val="uk-UA" w:eastAsia="ru-RU"/>
        </w:rPr>
        <w:t>до 31 грудня 2020 року</w:t>
      </w:r>
      <w:r w:rsidRPr="00893CD4">
        <w:rPr>
          <w:rFonts w:ascii="Times New Roman" w:eastAsia="Times New Roman" w:hAnsi="Times New Roman" w:cs="Times New Roman"/>
          <w:sz w:val="20"/>
          <w:szCs w:val="20"/>
          <w:lang w:val="uk-UA" w:eastAsia="ru-RU"/>
        </w:rPr>
        <w:t xml:space="preserve">. </w:t>
      </w:r>
    </w:p>
    <w:p w:rsid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lastRenderedPageBreak/>
        <w:t xml:space="preserve">Зважаючи на те, що у ПКУ встановлений термін звітності для фінансових агентів, який забезпечує компетентному органу місячний термін для обробки та перевірки наданої інформації, кінцевий </w:t>
      </w:r>
      <w:r w:rsidRPr="00893CD4">
        <w:rPr>
          <w:rFonts w:ascii="Times New Roman" w:eastAsia="Times New Roman" w:hAnsi="Times New Roman" w:cs="Times New Roman"/>
          <w:b/>
          <w:bCs/>
          <w:sz w:val="20"/>
          <w:szCs w:val="20"/>
          <w:lang w:val="uk-UA" w:eastAsia="ru-RU"/>
        </w:rPr>
        <w:t>строк подання фінансовими агентами звіту</w:t>
      </w:r>
      <w:r w:rsidRPr="00893CD4">
        <w:rPr>
          <w:rFonts w:ascii="Times New Roman" w:eastAsia="Times New Roman" w:hAnsi="Times New Roman" w:cs="Times New Roman"/>
          <w:sz w:val="20"/>
          <w:szCs w:val="20"/>
          <w:lang w:val="uk-UA" w:eastAsia="ru-RU"/>
        </w:rPr>
        <w:t xml:space="preserve"> про підзвітні рахунки через портал IDES до ДПС України </w:t>
      </w:r>
      <w:r w:rsidRPr="00893CD4">
        <w:rPr>
          <w:rFonts w:ascii="Times New Roman" w:eastAsia="Times New Roman" w:hAnsi="Times New Roman" w:cs="Times New Roman"/>
          <w:b/>
          <w:bCs/>
          <w:sz w:val="20"/>
          <w:szCs w:val="20"/>
          <w:lang w:val="uk-UA" w:eastAsia="ru-RU"/>
        </w:rPr>
        <w:t>подовжуються до 01 грудня 2020 року.</w:t>
      </w:r>
      <w:r w:rsidRPr="00893CD4">
        <w:rPr>
          <w:rFonts w:ascii="Times New Roman" w:eastAsia="Times New Roman" w:hAnsi="Times New Roman" w:cs="Times New Roman"/>
          <w:sz w:val="20"/>
          <w:szCs w:val="20"/>
          <w:lang w:val="uk-UA" w:eastAsia="ru-RU"/>
        </w:rPr>
        <w:t xml:space="preserve"> </w:t>
      </w:r>
    </w:p>
    <w:p w:rsidR="00893CD4" w:rsidRPr="00893CD4" w:rsidRDefault="00893CD4" w:rsidP="00893CD4">
      <w:pPr>
        <w:rPr>
          <w:rFonts w:ascii="Times New Roman" w:eastAsia="Times New Roman" w:hAnsi="Times New Roman" w:cs="Times New Roman"/>
          <w:sz w:val="20"/>
          <w:szCs w:val="20"/>
          <w:lang w:val="uk-UA" w:eastAsia="ru-RU"/>
        </w:rPr>
      </w:pPr>
    </w:p>
    <w:p w:rsidR="00893CD4" w:rsidRPr="00893CD4" w:rsidRDefault="00893CD4" w:rsidP="00893CD4">
      <w:pPr>
        <w:jc w:val="left"/>
        <w:outlineLvl w:val="0"/>
        <w:rPr>
          <w:rFonts w:ascii="Times New Roman" w:eastAsia="Times New Roman" w:hAnsi="Times New Roman" w:cs="Times New Roman"/>
          <w:b/>
          <w:bCs/>
          <w:kern w:val="36"/>
          <w:sz w:val="20"/>
          <w:szCs w:val="20"/>
          <w:lang w:val="uk-UA" w:eastAsia="ru-RU"/>
        </w:rPr>
      </w:pPr>
      <w:r w:rsidRPr="00893CD4">
        <w:rPr>
          <w:rFonts w:ascii="Times New Roman" w:eastAsia="Times New Roman" w:hAnsi="Times New Roman" w:cs="Times New Roman"/>
          <w:b/>
          <w:bCs/>
          <w:kern w:val="36"/>
          <w:sz w:val="20"/>
          <w:szCs w:val="20"/>
          <w:lang w:val="uk-UA" w:eastAsia="ru-RU"/>
        </w:rPr>
        <w:t xml:space="preserve">Оподаткування ПДВ послуг з надання орендодавцем комунального майна в оренду </w:t>
      </w:r>
    </w:p>
    <w:p w:rsidR="00893CD4" w:rsidRPr="00893CD4" w:rsidRDefault="00893CD4" w:rsidP="00893CD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Pr="00893CD4">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Pr="00893CD4">
        <w:rPr>
          <w:rFonts w:ascii="Times New Roman" w:eastAsia="Times New Roman" w:hAnsi="Times New Roman" w:cs="Times New Roman"/>
          <w:sz w:val="20"/>
          <w:szCs w:val="20"/>
          <w:lang w:val="uk-UA" w:eastAsia="ru-RU"/>
        </w:rPr>
        <w:t xml:space="preserve">, що п. 14 частини першої ст. 69 Бюджетного кодексу України від 08 липня 2010 року № 2456-VI зі змінами та доповненнями визначено, що до доходів загального фонду бюджетів міст районного значення, сільських, селищних бюджетів належать надходження від орендної плати за користування майновим комплексом та іншим майном, що перебуває в комунальній власності, засновником яких є міські (міст районного значення), селищні та сільські ради.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Відповідно до п. 5 ст. 17 Закону України від 03 жовтня 2019 року № 157-IX «Про оренду державного та комунального майна» із змінами та доповненнями порядок розподілу орендної плати для об’єктів, що перебувають у комунальній власності, між відповідним бюджетом, орендодавцем і </w:t>
      </w:r>
      <w:proofErr w:type="spellStart"/>
      <w:r w:rsidRPr="00893CD4">
        <w:rPr>
          <w:rFonts w:ascii="Times New Roman" w:eastAsia="Times New Roman" w:hAnsi="Times New Roman" w:cs="Times New Roman"/>
          <w:sz w:val="20"/>
          <w:szCs w:val="20"/>
          <w:lang w:val="uk-UA" w:eastAsia="ru-RU"/>
        </w:rPr>
        <w:t>балансоутримувачем</w:t>
      </w:r>
      <w:proofErr w:type="spellEnd"/>
      <w:r w:rsidRPr="00893CD4">
        <w:rPr>
          <w:rFonts w:ascii="Times New Roman" w:eastAsia="Times New Roman" w:hAnsi="Times New Roman" w:cs="Times New Roman"/>
          <w:sz w:val="20"/>
          <w:szCs w:val="20"/>
          <w:lang w:val="uk-UA" w:eastAsia="ru-RU"/>
        </w:rPr>
        <w:t xml:space="preserve"> визначається представницьким органом місцевого самоврядування.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Згідно із </w:t>
      </w:r>
      <w:proofErr w:type="spellStart"/>
      <w:r w:rsidRPr="00893CD4">
        <w:rPr>
          <w:rFonts w:ascii="Times New Roman" w:eastAsia="Times New Roman" w:hAnsi="Times New Roman" w:cs="Times New Roman"/>
          <w:sz w:val="20"/>
          <w:szCs w:val="20"/>
          <w:lang w:val="uk-UA" w:eastAsia="ru-RU"/>
        </w:rPr>
        <w:t>п.п</w:t>
      </w:r>
      <w:proofErr w:type="spellEnd"/>
      <w:r w:rsidRPr="00893CD4">
        <w:rPr>
          <w:rFonts w:ascii="Times New Roman" w:eastAsia="Times New Roman" w:hAnsi="Times New Roman" w:cs="Times New Roman"/>
          <w:sz w:val="20"/>
          <w:szCs w:val="20"/>
          <w:lang w:val="uk-UA" w:eastAsia="ru-RU"/>
        </w:rPr>
        <w:t xml:space="preserve">. «б» п. 185.1 ст. 185 Податкового кодексу України (далі – ПКУ) об’єктом оподаткування є операції платників ПДВ з постачання послуг, місце постачання яких розташоване на митній території України, відповідно до ст. 186 ПКУ.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Не є об’єктом оподаткування ПДВ операції з оплати орендної плати чи концесійного платежу за договорами відповідно оренди чи концесії цілісного майнового комплексу державного чи комунального підприємства (його структурного підрозділу), якщо орендодавцями чи </w:t>
      </w:r>
      <w:proofErr w:type="spellStart"/>
      <w:r w:rsidRPr="00893CD4">
        <w:rPr>
          <w:rFonts w:ascii="Times New Roman" w:eastAsia="Times New Roman" w:hAnsi="Times New Roman" w:cs="Times New Roman"/>
          <w:sz w:val="20"/>
          <w:szCs w:val="20"/>
          <w:lang w:val="uk-UA" w:eastAsia="ru-RU"/>
        </w:rPr>
        <w:t>концесієдавцями</w:t>
      </w:r>
      <w:proofErr w:type="spellEnd"/>
      <w:r w:rsidRPr="00893CD4">
        <w:rPr>
          <w:rFonts w:ascii="Times New Roman" w:eastAsia="Times New Roman" w:hAnsi="Times New Roman" w:cs="Times New Roman"/>
          <w:sz w:val="20"/>
          <w:szCs w:val="20"/>
          <w:lang w:val="uk-UA" w:eastAsia="ru-RU"/>
        </w:rPr>
        <w:t xml:space="preserve"> за договорами виступають органи державної влади чи органи місцевого самоврядування, а платежі відповідно до закону зараховуються до Державного бюджету України або місцевого бюджету (</w:t>
      </w:r>
      <w:proofErr w:type="spellStart"/>
      <w:r w:rsidRPr="00893CD4">
        <w:rPr>
          <w:rFonts w:ascii="Times New Roman" w:eastAsia="Times New Roman" w:hAnsi="Times New Roman" w:cs="Times New Roman"/>
          <w:sz w:val="20"/>
          <w:szCs w:val="20"/>
          <w:lang w:val="uk-UA" w:eastAsia="ru-RU"/>
        </w:rPr>
        <w:t>п.п</w:t>
      </w:r>
      <w:proofErr w:type="spellEnd"/>
      <w:r w:rsidRPr="00893CD4">
        <w:rPr>
          <w:rFonts w:ascii="Times New Roman" w:eastAsia="Times New Roman" w:hAnsi="Times New Roman" w:cs="Times New Roman"/>
          <w:sz w:val="20"/>
          <w:szCs w:val="20"/>
          <w:lang w:val="uk-UA" w:eastAsia="ru-RU"/>
        </w:rPr>
        <w:t xml:space="preserve">. 196.1.15 п. 196.1 ст. 196 ПКУ).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Тобто, не є об’єктом оподаткування операції з оплати орендної плати за надане в оренду комунальне майно при дотримані наступних умов: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в оренду надається цілісний майновий комплекс комунального підприємства (його структурного підрозділу);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орендодавцем за договором виступає орган місцевого самоврядування;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орендні платежі в повному обсязі зараховуються до місцевого бюджету.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У разі недотримання будь-якої із зазначених умов операція з оплати орендної плати за надане в оренду комунальне майно підлягає оподаткуванню ПДВ у загальновстановленому порядку за основною ставкою – 20%.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Відповідно до п. 201.1 ст. 201 ПКУ на дату виникнення податкових зобов’язань платник ПДВ зобов’язаний скласти податкову накладну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у встановлений ПКУ термін.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Таким чином, послуги з надання орендодавцем комунального майна в оренду є об’єктом оподаткування ПДВ, незалежно від того, чи розподіляє орендар суму орендної плати, чи перераховує її на рахунок орендодавця в повному обсязі </w:t>
      </w:r>
      <w:r w:rsidRPr="00893CD4">
        <w:rPr>
          <w:rFonts w:ascii="Times New Roman" w:eastAsia="Times New Roman" w:hAnsi="Times New Roman" w:cs="Times New Roman"/>
          <w:i/>
          <w:iCs/>
          <w:sz w:val="20"/>
          <w:szCs w:val="20"/>
          <w:lang w:val="uk-UA" w:eastAsia="ru-RU"/>
        </w:rPr>
        <w:t xml:space="preserve">(крім операцій, визначених </w:t>
      </w:r>
      <w:proofErr w:type="spellStart"/>
      <w:r w:rsidRPr="00893CD4">
        <w:rPr>
          <w:rFonts w:ascii="Times New Roman" w:eastAsia="Times New Roman" w:hAnsi="Times New Roman" w:cs="Times New Roman"/>
          <w:i/>
          <w:iCs/>
          <w:sz w:val="20"/>
          <w:szCs w:val="20"/>
          <w:lang w:val="uk-UA" w:eastAsia="ru-RU"/>
        </w:rPr>
        <w:t>п.п</w:t>
      </w:r>
      <w:proofErr w:type="spellEnd"/>
      <w:r w:rsidRPr="00893CD4">
        <w:rPr>
          <w:rFonts w:ascii="Times New Roman" w:eastAsia="Times New Roman" w:hAnsi="Times New Roman" w:cs="Times New Roman"/>
          <w:i/>
          <w:iCs/>
          <w:sz w:val="20"/>
          <w:szCs w:val="20"/>
          <w:lang w:val="uk-UA" w:eastAsia="ru-RU"/>
        </w:rPr>
        <w:t>. 196.1.15 п. 196.1 ст. 196 ПКУ)</w:t>
      </w:r>
      <w:r w:rsidRPr="00893CD4">
        <w:rPr>
          <w:rFonts w:ascii="Times New Roman" w:eastAsia="Times New Roman" w:hAnsi="Times New Roman" w:cs="Times New Roman"/>
          <w:sz w:val="20"/>
          <w:szCs w:val="20"/>
          <w:lang w:val="uk-UA" w:eastAsia="ru-RU"/>
        </w:rPr>
        <w:t xml:space="preserve">. </w:t>
      </w:r>
    </w:p>
    <w:p w:rsid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Отже, на дату виникнення податкових зобов’язань з ПДВ комунальне підприємство – орендодавець (незалежно від того, чи розподіляє орендар суму орендної плати чи перераховує її на рахунок орендодавця в повному обсязі) складає податкову накладну на всю суму орендної плати, передбачену договором оренди. </w:t>
      </w:r>
    </w:p>
    <w:p w:rsidR="00893CD4" w:rsidRPr="00893CD4" w:rsidRDefault="00893CD4" w:rsidP="00893CD4">
      <w:pPr>
        <w:rPr>
          <w:rFonts w:ascii="Times New Roman" w:eastAsia="Times New Roman" w:hAnsi="Times New Roman" w:cs="Times New Roman"/>
          <w:sz w:val="20"/>
          <w:szCs w:val="20"/>
          <w:lang w:val="uk-UA" w:eastAsia="ru-RU"/>
        </w:rPr>
      </w:pPr>
    </w:p>
    <w:p w:rsidR="008D128C" w:rsidRPr="008D128C" w:rsidRDefault="008D128C" w:rsidP="008D128C">
      <w:pPr>
        <w:rPr>
          <w:rFonts w:ascii="Times New Roman" w:hAnsi="Times New Roman" w:cs="Times New Roman"/>
          <w:b/>
          <w:sz w:val="20"/>
          <w:szCs w:val="20"/>
          <w:lang w:val="uk-UA"/>
        </w:rPr>
      </w:pPr>
      <w:r w:rsidRPr="008D128C">
        <w:rPr>
          <w:rFonts w:ascii="Times New Roman" w:hAnsi="Times New Roman" w:cs="Times New Roman"/>
          <w:b/>
          <w:sz w:val="20"/>
          <w:szCs w:val="20"/>
          <w:lang w:val="uk-UA"/>
        </w:rPr>
        <w:t>Своєчасна сплата єдиного соціального внеску – гарантія соціального захисту населення</w:t>
      </w:r>
    </w:p>
    <w:p w:rsidR="008D128C" w:rsidRPr="008D128C" w:rsidRDefault="008D128C" w:rsidP="008D128C">
      <w:pPr>
        <w:rPr>
          <w:rStyle w:val="a7"/>
          <w:rFonts w:ascii="Times New Roman" w:hAnsi="Times New Roman" w:cs="Times New Roman"/>
          <w:sz w:val="20"/>
          <w:szCs w:val="20"/>
          <w:lang w:val="uk-UA"/>
        </w:rPr>
      </w:pPr>
      <w:r w:rsidRPr="008D128C">
        <w:rPr>
          <w:rFonts w:ascii="Times New Roman" w:hAnsi="Times New Roman" w:cs="Times New Roman"/>
          <w:sz w:val="20"/>
          <w:szCs w:val="20"/>
          <w:lang w:val="uk-UA"/>
        </w:rPr>
        <w:t xml:space="preserve">Криворізький північний відділ організації роботи організаційно-розпорядчого управління ГУ ДПС у Дніпропетровській області повідомляє, що 21.10.2020 року проведено зустріч зі ЗМІ за участі головного державного ревізора - інспектора Криворізького північного відділу податків і зборів з юридичних та фізичних осіб управління податкового адміністрування ГУ ДПС у Дніпропетровській області Оксани </w:t>
      </w:r>
      <w:proofErr w:type="spellStart"/>
      <w:r w:rsidRPr="008D128C">
        <w:rPr>
          <w:rFonts w:ascii="Times New Roman" w:hAnsi="Times New Roman" w:cs="Times New Roman"/>
          <w:sz w:val="20"/>
          <w:szCs w:val="20"/>
          <w:lang w:val="uk-UA"/>
        </w:rPr>
        <w:t>Коненко</w:t>
      </w:r>
      <w:proofErr w:type="spellEnd"/>
      <w:r w:rsidRPr="008D128C">
        <w:rPr>
          <w:rFonts w:ascii="Times New Roman" w:hAnsi="Times New Roman" w:cs="Times New Roman"/>
          <w:sz w:val="20"/>
          <w:szCs w:val="20"/>
          <w:lang w:val="uk-UA"/>
        </w:rPr>
        <w:t>.</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«Звертаю увагу, що</w:t>
      </w:r>
      <w:r w:rsidRPr="008D128C">
        <w:rPr>
          <w:rFonts w:ascii="Times New Roman" w:hAnsi="Times New Roman" w:cs="Times New Roman"/>
          <w:b/>
          <w:sz w:val="20"/>
          <w:szCs w:val="20"/>
          <w:lang w:val="uk-UA"/>
        </w:rPr>
        <w:t xml:space="preserve"> </w:t>
      </w:r>
      <w:r w:rsidRPr="008D128C">
        <w:rPr>
          <w:rFonts w:ascii="Times New Roman" w:hAnsi="Times New Roman" w:cs="Times New Roman"/>
          <w:sz w:val="20"/>
          <w:szCs w:val="20"/>
          <w:lang w:val="uk-UA"/>
        </w:rPr>
        <w:t>єдиний соціальний внесок (ЄСВ) це обов’язкові відрахування на загальнодержавне соціальне страхування. ЄСВ сплачується підприємцем за себе та за кожного найманого робітника.</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Своєчасна сплата єдиного внеску гарантує громадянам право на соціальний захист, а це: соціальні гарантії на випадок безробіття, нещасних випадків чи професійних захворювань, пенсійне забезпечення та інші виплати.</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Роботодавцям — юридичним особам та фізичним особам-підприємцям, членам фермерських господарств, особам, які провадять незалежну професійну діяльність — слід пам’ятати, що створення та накопичення заборгованості з єдиного внеску призводить до негативних наслідків.</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Відповідно до чинного законодавства ЄСВ підлягає сплаті незалежно від фінансового стану платника.</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За наявності у платника одночасно зобов’язань зі сплати ЄСВ, зобов’язань по сплаті податків та інших обов’язкових платежів, передбачених законом, або зобов’язань перед іншими кредиторами – сплата єдиного внеску виконуються в першу чергу і має пріоритет перед усіма іншими, крім зобов’язань з виплати заробітної плати.</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Базою нарахування ЄСВ для підприємців на загальній системі оподаткування є сума доходу (прибутку), що підлягає оподаткуванню податком на доходи фізичних осіб. Для підприємців – платників єдиного податку першої – третьої груп базою нарахування ЄСВ є сума, визначена такими платниками самостійно, але не більше максимальної величини бази нарахування єдиного внеску.</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При цьому сума ЄСВ не може бути меншою за розмір мінімального страхового внеску на місяць і встановлена у розмірі 22% від мінімальної заробітної плати для всіх платників єдиного внеску (крім пільгових категорій).</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Згідно закону України від 25 серпня 2020 року №822-ІХ «Про внесення змін до Закону України «Про Державний бюджет України на 2020 рік» з 01.09.2020 підвищено розмір мінімальної заробітної плати до 5 000 гривень. Отже з 01.092020 мінімальний розмір єдиного внеску становить 1 100 грн.</w:t>
      </w:r>
    </w:p>
    <w:p w:rsidR="008D128C" w:rsidRPr="008D128C" w:rsidRDefault="008D128C" w:rsidP="008D128C">
      <w:pPr>
        <w:rPr>
          <w:rFonts w:ascii="Times New Roman" w:hAnsi="Times New Roman" w:cs="Times New Roman"/>
          <w:sz w:val="20"/>
          <w:szCs w:val="20"/>
          <w:lang w:val="uk-UA"/>
        </w:rPr>
      </w:pPr>
      <w:proofErr w:type="spellStart"/>
      <w:r w:rsidRPr="008D128C">
        <w:rPr>
          <w:rFonts w:ascii="Times New Roman" w:hAnsi="Times New Roman" w:cs="Times New Roman"/>
          <w:sz w:val="20"/>
          <w:szCs w:val="20"/>
          <w:lang w:val="uk-UA"/>
        </w:rPr>
        <w:t>ФОП</w:t>
      </w:r>
      <w:proofErr w:type="spellEnd"/>
      <w:r w:rsidRPr="008D128C">
        <w:rPr>
          <w:rFonts w:ascii="Times New Roman" w:hAnsi="Times New Roman" w:cs="Times New Roman"/>
          <w:sz w:val="20"/>
          <w:szCs w:val="20"/>
          <w:lang w:val="uk-UA"/>
        </w:rPr>
        <w:t xml:space="preserve"> на загальній системі та спрощенці, звільняються від сплати ЄСВ за себе, якщо вони є пенсіонерами за віком або інвалідами та отримують соціальну допомогу чи пенсію.</w:t>
      </w:r>
    </w:p>
    <w:p w:rsidR="008D128C" w:rsidRPr="008D128C" w:rsidRDefault="008D128C" w:rsidP="008D128C">
      <w:pPr>
        <w:rPr>
          <w:rFonts w:ascii="Times New Roman" w:hAnsi="Times New Roman" w:cs="Times New Roman"/>
          <w:sz w:val="20"/>
          <w:szCs w:val="20"/>
          <w:lang w:val="uk-UA"/>
        </w:rPr>
      </w:pPr>
      <w:r w:rsidRPr="008D128C">
        <w:rPr>
          <w:rFonts w:ascii="Times New Roman" w:hAnsi="Times New Roman" w:cs="Times New Roman"/>
          <w:sz w:val="20"/>
          <w:szCs w:val="20"/>
          <w:lang w:val="uk-UA"/>
        </w:rPr>
        <w:t>Єдиний соціальний внесок сплачується щоквартально – не пізніше 20 числа місяця, наступного за звітним кварталом на рахунки податкових органів за місцем обліку фізичної особи - підприємця.</w:t>
      </w:r>
    </w:p>
    <w:p w:rsidR="00893CD4" w:rsidRPr="008D128C" w:rsidRDefault="008D128C" w:rsidP="008D128C">
      <w:pPr>
        <w:rPr>
          <w:rFonts w:ascii="Times New Roman" w:eastAsia="Times New Roman" w:hAnsi="Times New Roman" w:cs="Times New Roman"/>
          <w:sz w:val="20"/>
          <w:szCs w:val="20"/>
          <w:lang w:val="uk-UA" w:eastAsia="ru-RU"/>
        </w:rPr>
      </w:pPr>
      <w:r w:rsidRPr="008D128C">
        <w:rPr>
          <w:rFonts w:ascii="Times New Roman" w:hAnsi="Times New Roman" w:cs="Times New Roman"/>
          <w:sz w:val="20"/>
          <w:szCs w:val="20"/>
          <w:lang w:val="uk-UA"/>
        </w:rPr>
        <w:lastRenderedPageBreak/>
        <w:t xml:space="preserve">Своєчасне здійснення державою зобов’язань перед громадянами – виплата пенсій, заробітних плат, тощо – напряму залежить від наповнюваності соціальних фондів за рахунок єдиного внеску. У випадку його несплати, у держави бракує коштів для належних виплат, а громадяни позбавлені соціального захисту.» - проінформувала Оксана </w:t>
      </w:r>
      <w:proofErr w:type="spellStart"/>
      <w:r w:rsidRPr="008D128C">
        <w:rPr>
          <w:rFonts w:ascii="Times New Roman" w:hAnsi="Times New Roman" w:cs="Times New Roman"/>
          <w:sz w:val="20"/>
          <w:szCs w:val="20"/>
          <w:lang w:val="uk-UA"/>
        </w:rPr>
        <w:t>Коненко</w:t>
      </w:r>
      <w:proofErr w:type="spellEnd"/>
      <w:r w:rsidRPr="008D128C">
        <w:rPr>
          <w:rFonts w:ascii="Times New Roman" w:hAnsi="Times New Roman" w:cs="Times New Roman"/>
          <w:sz w:val="20"/>
          <w:szCs w:val="20"/>
          <w:lang w:val="uk-UA"/>
        </w:rPr>
        <w:t xml:space="preserve"> присутніх.</w:t>
      </w:r>
      <w:r w:rsidR="00893CD4" w:rsidRPr="00893CD4">
        <w:rPr>
          <w:rFonts w:ascii="Times New Roman" w:eastAsia="Times New Roman" w:hAnsi="Times New Roman" w:cs="Times New Roman"/>
          <w:sz w:val="20"/>
          <w:szCs w:val="20"/>
          <w:lang w:val="uk-UA" w:eastAsia="ru-RU"/>
        </w:rPr>
        <w:t xml:space="preserve"> </w:t>
      </w:r>
    </w:p>
    <w:p w:rsidR="00893CD4" w:rsidRPr="00893CD4" w:rsidRDefault="00893CD4" w:rsidP="00893CD4">
      <w:pPr>
        <w:rPr>
          <w:rFonts w:ascii="Times New Roman" w:eastAsia="Times New Roman" w:hAnsi="Times New Roman" w:cs="Times New Roman"/>
          <w:sz w:val="20"/>
          <w:szCs w:val="20"/>
          <w:lang w:val="uk-UA" w:eastAsia="ru-RU"/>
        </w:rPr>
      </w:pPr>
    </w:p>
    <w:p w:rsidR="00893CD4" w:rsidRPr="00893CD4" w:rsidRDefault="00893CD4" w:rsidP="00893CD4">
      <w:pPr>
        <w:jc w:val="left"/>
        <w:outlineLvl w:val="0"/>
        <w:rPr>
          <w:rFonts w:ascii="Times New Roman" w:eastAsia="Times New Roman" w:hAnsi="Times New Roman" w:cs="Times New Roman"/>
          <w:b/>
          <w:bCs/>
          <w:kern w:val="36"/>
          <w:sz w:val="20"/>
          <w:szCs w:val="20"/>
          <w:lang w:val="uk-UA" w:eastAsia="ru-RU"/>
        </w:rPr>
      </w:pPr>
      <w:r w:rsidRPr="00893CD4">
        <w:rPr>
          <w:rFonts w:ascii="Times New Roman" w:eastAsia="Times New Roman" w:hAnsi="Times New Roman" w:cs="Times New Roman"/>
          <w:b/>
          <w:bCs/>
          <w:kern w:val="36"/>
          <w:sz w:val="20"/>
          <w:szCs w:val="20"/>
          <w:lang w:val="uk-UA" w:eastAsia="ru-RU"/>
        </w:rPr>
        <w:t xml:space="preserve">Закон України № 466: про звітні періоди для подання розрахунку частини чистого прибутку (доходу), дивідендів на державну частку </w:t>
      </w:r>
    </w:p>
    <w:p w:rsidR="00893CD4" w:rsidRPr="00893CD4" w:rsidRDefault="00893CD4" w:rsidP="00893CD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Pr="00893CD4">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Pr="00893CD4">
        <w:rPr>
          <w:rFonts w:ascii="Times New Roman" w:eastAsia="Times New Roman" w:hAnsi="Times New Roman" w:cs="Times New Roman"/>
          <w:sz w:val="20"/>
          <w:szCs w:val="20"/>
          <w:lang w:val="uk-UA" w:eastAsia="ru-RU"/>
        </w:rPr>
        <w:t xml:space="preserve">, що Податковим кодексом України з урахуванням змін, внесених Закон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визначені наступні податкові періоди для подання розрахунку частини чистого прибутку (доходу), дивідендів на державну частку: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для державних унітарних підприємств та їх об’єднань (які є платниками частини чистого прибутку (доходу)): </w:t>
      </w:r>
      <w:r w:rsidRPr="00893CD4">
        <w:rPr>
          <w:rFonts w:ascii="Times New Roman" w:eastAsia="Times New Roman" w:hAnsi="Times New Roman" w:cs="Times New Roman"/>
          <w:i/>
          <w:iCs/>
          <w:sz w:val="20"/>
          <w:szCs w:val="20"/>
          <w:lang w:val="uk-UA" w:eastAsia="ru-RU"/>
        </w:rPr>
        <w:t>календарний квартал, півріччя, три квартали, календарний рік</w:t>
      </w:r>
      <w:r w:rsidRPr="00893CD4">
        <w:rPr>
          <w:rFonts w:ascii="Times New Roman" w:eastAsia="Times New Roman" w:hAnsi="Times New Roman" w:cs="Times New Roman"/>
          <w:sz w:val="20"/>
          <w:szCs w:val="20"/>
          <w:lang w:val="uk-UA" w:eastAsia="ru-RU"/>
        </w:rPr>
        <w:t xml:space="preserve">;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для господарських товариств з державною часткою у статутному капіталі (які є платниками дивідендів на державну частку): </w:t>
      </w:r>
      <w:r w:rsidRPr="00893CD4">
        <w:rPr>
          <w:rFonts w:ascii="Times New Roman" w:eastAsia="Times New Roman" w:hAnsi="Times New Roman" w:cs="Times New Roman"/>
          <w:i/>
          <w:iCs/>
          <w:sz w:val="20"/>
          <w:szCs w:val="20"/>
          <w:lang w:val="uk-UA" w:eastAsia="ru-RU"/>
        </w:rPr>
        <w:t>календарний рік</w:t>
      </w:r>
      <w:r w:rsidRPr="00893CD4">
        <w:rPr>
          <w:rFonts w:ascii="Times New Roman" w:eastAsia="Times New Roman" w:hAnsi="Times New Roman" w:cs="Times New Roman"/>
          <w:sz w:val="20"/>
          <w:szCs w:val="20"/>
          <w:lang w:val="uk-UA" w:eastAsia="ru-RU"/>
        </w:rPr>
        <w:t xml:space="preserve">.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Державні унітарні підприємства та їх об’єднання складають Розрахунок частини чистого прибутку (доходу), що використовується державними унітарними підприємствами та їх об’єднаннями (далі – Розрахунок) наростаючим підсумком та подають до контролюючих органів разом з фінансовою звітністю протягом 40 календарних днів, що настають за останнім календарним днем звітного (податкового) кварталу. Цей термін застосовується щодо звітності за календарний квартал, півріччя, три квартали, але не щодо звітування за рік.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Законом № 466 передбачений триваліший термін для подання Розрахунку, який складають наростаючим підсумком за рік, – протягом 60 календарних днів, що настають за останнім календарним днем звітного (податкового) року (разом із річною фінансовою звітністю).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Таким чином, останній день подання Розрахунку: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за півріччя 2020 року було 10 серпня 2020 року (понеділок);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за три квартали – 10 листопада 2020 року (вівторок);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 за 2020 рік у цілому – 01 березня 2021 року (понеділок).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Особливі правила подання зазначеної звітності передбачені абзацом четвертим п. 49.19 ст. 49 ПКУ для господарських товариств, у статутному капіталі яких є корпоративні права держави, та господарських товариств, 50 і більше відсотків акцій (часток, паїв) яких знаходяться у статутних капіталах господарських товариств, частка держави яких становить 100 відсотків.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З урахуванням уточнення, внесеного Законом України від 14 липня 2020 року № 786-IX «Про внесення змін до Податкового кодексу України щодо функціонування електронного кабінету та спрощення роботи фізичних осіб – підприємців» (далі – Закон № 786), це правило має такий вигляд: незалежно від того чи сплачують ці товариства дивіденди на державну частку або частину чистого прибутку (доходу) (у разі неприйняття ними рішення про виплату дивідендів на державну частку до 01 травня року, що настає за звітним), такі платники складають Розрахунок за підсумками звітного року та подають його до контролюючих органів один раз на рік у термін до 01 липня року, що настає за звітним.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Наприклад, якщо звітним роком є 2020 рік і господарське товариство, корпоративні права якого належать державі, не прийняло рішення про виплату дивідендів до 01 травня 2021 року, то відповідно до вимог Податкового кодексу України (далі – ПКУ) таке товариство має скласти Розрахунок за 2020 рік та подати звітність до податкових органів у строк до 01 липня 2021 року.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Для господарських товариств з державною часткою у статутному капіталі встановлений єдиний термін для сплати до бюджету дивідендів на державну частку, сплати частини чистого прибутку (доходу) та подання до контролюючих органів Розрахунку – до 01 липня року, що настає за звітним.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Зміни до підпунктів 49.18.6 та 49.18.7 п. 49.18 та п. 49.19 ст. 49 ПКУ, внесені Законом № 466, набрали чинності з 23.05.2020. </w:t>
      </w:r>
    </w:p>
    <w:p w:rsidR="00893CD4" w:rsidRPr="00893CD4" w:rsidRDefault="00893CD4" w:rsidP="00893CD4">
      <w:pPr>
        <w:rPr>
          <w:rFonts w:ascii="Times New Roman" w:eastAsia="Times New Roman" w:hAnsi="Times New Roman" w:cs="Times New Roman"/>
          <w:sz w:val="20"/>
          <w:szCs w:val="20"/>
          <w:lang w:val="uk-UA" w:eastAsia="ru-RU"/>
        </w:rPr>
      </w:pPr>
      <w:r w:rsidRPr="00893CD4">
        <w:rPr>
          <w:rFonts w:ascii="Times New Roman" w:eastAsia="Times New Roman" w:hAnsi="Times New Roman" w:cs="Times New Roman"/>
          <w:sz w:val="20"/>
          <w:szCs w:val="20"/>
          <w:lang w:val="uk-UA" w:eastAsia="ru-RU"/>
        </w:rPr>
        <w:t xml:space="preserve">Зміни до </w:t>
      </w:r>
      <w:proofErr w:type="spellStart"/>
      <w:r w:rsidRPr="00893CD4">
        <w:rPr>
          <w:rFonts w:ascii="Times New Roman" w:eastAsia="Times New Roman" w:hAnsi="Times New Roman" w:cs="Times New Roman"/>
          <w:sz w:val="20"/>
          <w:szCs w:val="20"/>
          <w:lang w:val="uk-UA" w:eastAsia="ru-RU"/>
        </w:rPr>
        <w:t>п.п</w:t>
      </w:r>
      <w:proofErr w:type="spellEnd"/>
      <w:r w:rsidRPr="00893CD4">
        <w:rPr>
          <w:rFonts w:ascii="Times New Roman" w:eastAsia="Times New Roman" w:hAnsi="Times New Roman" w:cs="Times New Roman"/>
          <w:sz w:val="20"/>
          <w:szCs w:val="20"/>
          <w:lang w:val="uk-UA" w:eastAsia="ru-RU"/>
        </w:rPr>
        <w:t xml:space="preserve">. 49.18.6 п. 49.18 та п. 49.19 ст. 49 ПКУ, внесені Законом № 786, набрали чинності з 08.08.2020. </w:t>
      </w:r>
    </w:p>
    <w:p w:rsidR="00DE0A11" w:rsidRPr="00893CD4" w:rsidRDefault="00DE0A11" w:rsidP="00FD60CE">
      <w:pPr>
        <w:rPr>
          <w:rFonts w:ascii="Times New Roman" w:hAnsi="Times New Roman" w:cs="Times New Roman"/>
          <w:sz w:val="20"/>
          <w:szCs w:val="20"/>
          <w:lang w:val="uk-UA"/>
        </w:rPr>
      </w:pPr>
    </w:p>
    <w:sectPr w:rsidR="00DE0A11" w:rsidRPr="00893CD4" w:rsidSect="00E05BD1">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21254"/>
    <w:rsid w:val="00141718"/>
    <w:rsid w:val="00144E22"/>
    <w:rsid w:val="001A7580"/>
    <w:rsid w:val="00314BE1"/>
    <w:rsid w:val="0037522D"/>
    <w:rsid w:val="00521254"/>
    <w:rsid w:val="006D29A2"/>
    <w:rsid w:val="00707AD5"/>
    <w:rsid w:val="00713C85"/>
    <w:rsid w:val="007C291B"/>
    <w:rsid w:val="007F6593"/>
    <w:rsid w:val="00893CD4"/>
    <w:rsid w:val="008A20F5"/>
    <w:rsid w:val="008D128C"/>
    <w:rsid w:val="009406DF"/>
    <w:rsid w:val="00DE0A11"/>
    <w:rsid w:val="00FD60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254"/>
  </w:style>
  <w:style w:type="paragraph" w:styleId="1">
    <w:name w:val="heading 1"/>
    <w:basedOn w:val="a"/>
    <w:link w:val="10"/>
    <w:uiPriority w:val="9"/>
    <w:qFormat/>
    <w:rsid w:val="00DE0A11"/>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254"/>
    <w:rPr>
      <w:rFonts w:ascii="Tahoma" w:hAnsi="Tahoma" w:cs="Tahoma"/>
      <w:sz w:val="16"/>
      <w:szCs w:val="16"/>
    </w:rPr>
  </w:style>
  <w:style w:type="character" w:customStyle="1" w:styleId="a4">
    <w:name w:val="Текст выноски Знак"/>
    <w:basedOn w:val="a0"/>
    <w:link w:val="a3"/>
    <w:uiPriority w:val="99"/>
    <w:semiHidden/>
    <w:rsid w:val="00521254"/>
    <w:rPr>
      <w:rFonts w:ascii="Tahoma" w:hAnsi="Tahoma" w:cs="Tahoma"/>
      <w:sz w:val="16"/>
      <w:szCs w:val="16"/>
    </w:rPr>
  </w:style>
  <w:style w:type="character" w:customStyle="1" w:styleId="10">
    <w:name w:val="Заголовок 1 Знак"/>
    <w:basedOn w:val="a0"/>
    <w:link w:val="1"/>
    <w:uiPriority w:val="9"/>
    <w:rsid w:val="00DE0A11"/>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DE0A11"/>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6">
    <w:name w:val="Hyperlink"/>
    <w:basedOn w:val="a0"/>
    <w:uiPriority w:val="99"/>
    <w:unhideWhenUsed/>
    <w:rsid w:val="00DE0A11"/>
    <w:rPr>
      <w:color w:val="0000FF"/>
      <w:u w:val="single"/>
    </w:rPr>
  </w:style>
  <w:style w:type="character" w:styleId="a7">
    <w:name w:val="Strong"/>
    <w:basedOn w:val="a0"/>
    <w:qFormat/>
    <w:rsid w:val="00DE0A11"/>
    <w:rPr>
      <w:b/>
      <w:bCs/>
    </w:rPr>
  </w:style>
  <w:style w:type="character" w:styleId="a8">
    <w:name w:val="Emphasis"/>
    <w:basedOn w:val="a0"/>
    <w:uiPriority w:val="20"/>
    <w:qFormat/>
    <w:rsid w:val="00DE0A11"/>
    <w:rPr>
      <w:i/>
      <w:iCs/>
    </w:rPr>
  </w:style>
</w:styles>
</file>

<file path=word/webSettings.xml><?xml version="1.0" encoding="utf-8"?>
<w:webSettings xmlns:r="http://schemas.openxmlformats.org/officeDocument/2006/relationships" xmlns:w="http://schemas.openxmlformats.org/wordprocessingml/2006/main">
  <w:divs>
    <w:div w:id="9643409">
      <w:bodyDiv w:val="1"/>
      <w:marLeft w:val="0"/>
      <w:marRight w:val="0"/>
      <w:marTop w:val="0"/>
      <w:marBottom w:val="0"/>
      <w:divBdr>
        <w:top w:val="none" w:sz="0" w:space="0" w:color="auto"/>
        <w:left w:val="none" w:sz="0" w:space="0" w:color="auto"/>
        <w:bottom w:val="none" w:sz="0" w:space="0" w:color="auto"/>
        <w:right w:val="none" w:sz="0" w:space="0" w:color="auto"/>
      </w:divBdr>
      <w:divsChild>
        <w:div w:id="1220287713">
          <w:marLeft w:val="0"/>
          <w:marRight w:val="0"/>
          <w:marTop w:val="0"/>
          <w:marBottom w:val="0"/>
          <w:divBdr>
            <w:top w:val="none" w:sz="0" w:space="0" w:color="auto"/>
            <w:left w:val="none" w:sz="0" w:space="0" w:color="auto"/>
            <w:bottom w:val="none" w:sz="0" w:space="0" w:color="auto"/>
            <w:right w:val="none" w:sz="0" w:space="0" w:color="auto"/>
          </w:divBdr>
          <w:divsChild>
            <w:div w:id="118555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9576">
      <w:bodyDiv w:val="1"/>
      <w:marLeft w:val="0"/>
      <w:marRight w:val="0"/>
      <w:marTop w:val="0"/>
      <w:marBottom w:val="0"/>
      <w:divBdr>
        <w:top w:val="none" w:sz="0" w:space="0" w:color="auto"/>
        <w:left w:val="none" w:sz="0" w:space="0" w:color="auto"/>
        <w:bottom w:val="none" w:sz="0" w:space="0" w:color="auto"/>
        <w:right w:val="none" w:sz="0" w:space="0" w:color="auto"/>
      </w:divBdr>
      <w:divsChild>
        <w:div w:id="282737882">
          <w:marLeft w:val="0"/>
          <w:marRight w:val="0"/>
          <w:marTop w:val="0"/>
          <w:marBottom w:val="0"/>
          <w:divBdr>
            <w:top w:val="none" w:sz="0" w:space="0" w:color="auto"/>
            <w:left w:val="none" w:sz="0" w:space="0" w:color="auto"/>
            <w:bottom w:val="none" w:sz="0" w:space="0" w:color="auto"/>
            <w:right w:val="none" w:sz="0" w:space="0" w:color="auto"/>
          </w:divBdr>
          <w:divsChild>
            <w:div w:id="15114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19625">
      <w:bodyDiv w:val="1"/>
      <w:marLeft w:val="0"/>
      <w:marRight w:val="0"/>
      <w:marTop w:val="0"/>
      <w:marBottom w:val="0"/>
      <w:divBdr>
        <w:top w:val="none" w:sz="0" w:space="0" w:color="auto"/>
        <w:left w:val="none" w:sz="0" w:space="0" w:color="auto"/>
        <w:bottom w:val="none" w:sz="0" w:space="0" w:color="auto"/>
        <w:right w:val="none" w:sz="0" w:space="0" w:color="auto"/>
      </w:divBdr>
      <w:divsChild>
        <w:div w:id="1736203341">
          <w:marLeft w:val="0"/>
          <w:marRight w:val="0"/>
          <w:marTop w:val="0"/>
          <w:marBottom w:val="0"/>
          <w:divBdr>
            <w:top w:val="none" w:sz="0" w:space="0" w:color="auto"/>
            <w:left w:val="none" w:sz="0" w:space="0" w:color="auto"/>
            <w:bottom w:val="none" w:sz="0" w:space="0" w:color="auto"/>
            <w:right w:val="none" w:sz="0" w:space="0" w:color="auto"/>
          </w:divBdr>
          <w:divsChild>
            <w:div w:id="13905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06285">
      <w:bodyDiv w:val="1"/>
      <w:marLeft w:val="0"/>
      <w:marRight w:val="0"/>
      <w:marTop w:val="0"/>
      <w:marBottom w:val="0"/>
      <w:divBdr>
        <w:top w:val="none" w:sz="0" w:space="0" w:color="auto"/>
        <w:left w:val="none" w:sz="0" w:space="0" w:color="auto"/>
        <w:bottom w:val="none" w:sz="0" w:space="0" w:color="auto"/>
        <w:right w:val="none" w:sz="0" w:space="0" w:color="auto"/>
      </w:divBdr>
      <w:divsChild>
        <w:div w:id="750008868">
          <w:marLeft w:val="0"/>
          <w:marRight w:val="0"/>
          <w:marTop w:val="0"/>
          <w:marBottom w:val="0"/>
          <w:divBdr>
            <w:top w:val="none" w:sz="0" w:space="0" w:color="auto"/>
            <w:left w:val="none" w:sz="0" w:space="0" w:color="auto"/>
            <w:bottom w:val="none" w:sz="0" w:space="0" w:color="auto"/>
            <w:right w:val="none" w:sz="0" w:space="0" w:color="auto"/>
          </w:divBdr>
          <w:divsChild>
            <w:div w:id="165491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286691">
      <w:bodyDiv w:val="1"/>
      <w:marLeft w:val="0"/>
      <w:marRight w:val="0"/>
      <w:marTop w:val="0"/>
      <w:marBottom w:val="0"/>
      <w:divBdr>
        <w:top w:val="none" w:sz="0" w:space="0" w:color="auto"/>
        <w:left w:val="none" w:sz="0" w:space="0" w:color="auto"/>
        <w:bottom w:val="none" w:sz="0" w:space="0" w:color="auto"/>
        <w:right w:val="none" w:sz="0" w:space="0" w:color="auto"/>
      </w:divBdr>
      <w:divsChild>
        <w:div w:id="1654681045">
          <w:marLeft w:val="0"/>
          <w:marRight w:val="0"/>
          <w:marTop w:val="0"/>
          <w:marBottom w:val="0"/>
          <w:divBdr>
            <w:top w:val="none" w:sz="0" w:space="0" w:color="auto"/>
            <w:left w:val="none" w:sz="0" w:space="0" w:color="auto"/>
            <w:bottom w:val="none" w:sz="0" w:space="0" w:color="auto"/>
            <w:right w:val="none" w:sz="0" w:space="0" w:color="auto"/>
          </w:divBdr>
          <w:divsChild>
            <w:div w:id="144515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064475">
      <w:bodyDiv w:val="1"/>
      <w:marLeft w:val="0"/>
      <w:marRight w:val="0"/>
      <w:marTop w:val="0"/>
      <w:marBottom w:val="0"/>
      <w:divBdr>
        <w:top w:val="none" w:sz="0" w:space="0" w:color="auto"/>
        <w:left w:val="none" w:sz="0" w:space="0" w:color="auto"/>
        <w:bottom w:val="none" w:sz="0" w:space="0" w:color="auto"/>
        <w:right w:val="none" w:sz="0" w:space="0" w:color="auto"/>
      </w:divBdr>
      <w:divsChild>
        <w:div w:id="1437168566">
          <w:marLeft w:val="0"/>
          <w:marRight w:val="0"/>
          <w:marTop w:val="0"/>
          <w:marBottom w:val="0"/>
          <w:divBdr>
            <w:top w:val="none" w:sz="0" w:space="0" w:color="auto"/>
            <w:left w:val="none" w:sz="0" w:space="0" w:color="auto"/>
            <w:bottom w:val="none" w:sz="0" w:space="0" w:color="auto"/>
            <w:right w:val="none" w:sz="0" w:space="0" w:color="auto"/>
          </w:divBdr>
          <w:divsChild>
            <w:div w:id="61586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528653">
      <w:bodyDiv w:val="1"/>
      <w:marLeft w:val="0"/>
      <w:marRight w:val="0"/>
      <w:marTop w:val="0"/>
      <w:marBottom w:val="0"/>
      <w:divBdr>
        <w:top w:val="none" w:sz="0" w:space="0" w:color="auto"/>
        <w:left w:val="none" w:sz="0" w:space="0" w:color="auto"/>
        <w:bottom w:val="none" w:sz="0" w:space="0" w:color="auto"/>
        <w:right w:val="none" w:sz="0" w:space="0" w:color="auto"/>
      </w:divBdr>
      <w:divsChild>
        <w:div w:id="547835934">
          <w:marLeft w:val="0"/>
          <w:marRight w:val="0"/>
          <w:marTop w:val="0"/>
          <w:marBottom w:val="0"/>
          <w:divBdr>
            <w:top w:val="none" w:sz="0" w:space="0" w:color="auto"/>
            <w:left w:val="none" w:sz="0" w:space="0" w:color="auto"/>
            <w:bottom w:val="none" w:sz="0" w:space="0" w:color="auto"/>
            <w:right w:val="none" w:sz="0" w:space="0" w:color="auto"/>
          </w:divBdr>
          <w:divsChild>
            <w:div w:id="11183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51117">
      <w:bodyDiv w:val="1"/>
      <w:marLeft w:val="0"/>
      <w:marRight w:val="0"/>
      <w:marTop w:val="0"/>
      <w:marBottom w:val="0"/>
      <w:divBdr>
        <w:top w:val="none" w:sz="0" w:space="0" w:color="auto"/>
        <w:left w:val="none" w:sz="0" w:space="0" w:color="auto"/>
        <w:bottom w:val="none" w:sz="0" w:space="0" w:color="auto"/>
        <w:right w:val="none" w:sz="0" w:space="0" w:color="auto"/>
      </w:divBdr>
      <w:divsChild>
        <w:div w:id="1094740977">
          <w:marLeft w:val="0"/>
          <w:marRight w:val="0"/>
          <w:marTop w:val="0"/>
          <w:marBottom w:val="0"/>
          <w:divBdr>
            <w:top w:val="none" w:sz="0" w:space="0" w:color="auto"/>
            <w:left w:val="none" w:sz="0" w:space="0" w:color="auto"/>
            <w:bottom w:val="none" w:sz="0" w:space="0" w:color="auto"/>
            <w:right w:val="none" w:sz="0" w:space="0" w:color="auto"/>
          </w:divBdr>
          <w:divsChild>
            <w:div w:id="11835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8427">
      <w:bodyDiv w:val="1"/>
      <w:marLeft w:val="0"/>
      <w:marRight w:val="0"/>
      <w:marTop w:val="0"/>
      <w:marBottom w:val="0"/>
      <w:divBdr>
        <w:top w:val="none" w:sz="0" w:space="0" w:color="auto"/>
        <w:left w:val="none" w:sz="0" w:space="0" w:color="auto"/>
        <w:bottom w:val="none" w:sz="0" w:space="0" w:color="auto"/>
        <w:right w:val="none" w:sz="0" w:space="0" w:color="auto"/>
      </w:divBdr>
      <w:divsChild>
        <w:div w:id="1837575806">
          <w:marLeft w:val="0"/>
          <w:marRight w:val="0"/>
          <w:marTop w:val="0"/>
          <w:marBottom w:val="0"/>
          <w:divBdr>
            <w:top w:val="none" w:sz="0" w:space="0" w:color="auto"/>
            <w:left w:val="none" w:sz="0" w:space="0" w:color="auto"/>
            <w:bottom w:val="none" w:sz="0" w:space="0" w:color="auto"/>
            <w:right w:val="none" w:sz="0" w:space="0" w:color="auto"/>
          </w:divBdr>
          <w:divsChild>
            <w:div w:id="6733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561068">
      <w:bodyDiv w:val="1"/>
      <w:marLeft w:val="0"/>
      <w:marRight w:val="0"/>
      <w:marTop w:val="0"/>
      <w:marBottom w:val="0"/>
      <w:divBdr>
        <w:top w:val="none" w:sz="0" w:space="0" w:color="auto"/>
        <w:left w:val="none" w:sz="0" w:space="0" w:color="auto"/>
        <w:bottom w:val="none" w:sz="0" w:space="0" w:color="auto"/>
        <w:right w:val="none" w:sz="0" w:space="0" w:color="auto"/>
      </w:divBdr>
      <w:divsChild>
        <w:div w:id="1654487043">
          <w:marLeft w:val="0"/>
          <w:marRight w:val="0"/>
          <w:marTop w:val="0"/>
          <w:marBottom w:val="0"/>
          <w:divBdr>
            <w:top w:val="none" w:sz="0" w:space="0" w:color="auto"/>
            <w:left w:val="none" w:sz="0" w:space="0" w:color="auto"/>
            <w:bottom w:val="none" w:sz="0" w:space="0" w:color="auto"/>
            <w:right w:val="none" w:sz="0" w:space="0" w:color="auto"/>
          </w:divBdr>
          <w:divsChild>
            <w:div w:id="175100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84632">
      <w:bodyDiv w:val="1"/>
      <w:marLeft w:val="0"/>
      <w:marRight w:val="0"/>
      <w:marTop w:val="0"/>
      <w:marBottom w:val="0"/>
      <w:divBdr>
        <w:top w:val="none" w:sz="0" w:space="0" w:color="auto"/>
        <w:left w:val="none" w:sz="0" w:space="0" w:color="auto"/>
        <w:bottom w:val="none" w:sz="0" w:space="0" w:color="auto"/>
        <w:right w:val="none" w:sz="0" w:space="0" w:color="auto"/>
      </w:divBdr>
      <w:divsChild>
        <w:div w:id="830753575">
          <w:marLeft w:val="0"/>
          <w:marRight w:val="0"/>
          <w:marTop w:val="0"/>
          <w:marBottom w:val="0"/>
          <w:divBdr>
            <w:top w:val="none" w:sz="0" w:space="0" w:color="auto"/>
            <w:left w:val="none" w:sz="0" w:space="0" w:color="auto"/>
            <w:bottom w:val="none" w:sz="0" w:space="0" w:color="auto"/>
            <w:right w:val="none" w:sz="0" w:space="0" w:color="auto"/>
          </w:divBdr>
          <w:divsChild>
            <w:div w:id="70028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355222">
      <w:bodyDiv w:val="1"/>
      <w:marLeft w:val="0"/>
      <w:marRight w:val="0"/>
      <w:marTop w:val="0"/>
      <w:marBottom w:val="0"/>
      <w:divBdr>
        <w:top w:val="none" w:sz="0" w:space="0" w:color="auto"/>
        <w:left w:val="none" w:sz="0" w:space="0" w:color="auto"/>
        <w:bottom w:val="none" w:sz="0" w:space="0" w:color="auto"/>
        <w:right w:val="none" w:sz="0" w:space="0" w:color="auto"/>
      </w:divBdr>
      <w:divsChild>
        <w:div w:id="911738118">
          <w:marLeft w:val="0"/>
          <w:marRight w:val="0"/>
          <w:marTop w:val="0"/>
          <w:marBottom w:val="0"/>
          <w:divBdr>
            <w:top w:val="none" w:sz="0" w:space="0" w:color="auto"/>
            <w:left w:val="none" w:sz="0" w:space="0" w:color="auto"/>
            <w:bottom w:val="none" w:sz="0" w:space="0" w:color="auto"/>
            <w:right w:val="none" w:sz="0" w:space="0" w:color="auto"/>
          </w:divBdr>
          <w:divsChild>
            <w:div w:id="124827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948162">
      <w:bodyDiv w:val="1"/>
      <w:marLeft w:val="0"/>
      <w:marRight w:val="0"/>
      <w:marTop w:val="0"/>
      <w:marBottom w:val="0"/>
      <w:divBdr>
        <w:top w:val="none" w:sz="0" w:space="0" w:color="auto"/>
        <w:left w:val="none" w:sz="0" w:space="0" w:color="auto"/>
        <w:bottom w:val="none" w:sz="0" w:space="0" w:color="auto"/>
        <w:right w:val="none" w:sz="0" w:space="0" w:color="auto"/>
      </w:divBdr>
      <w:divsChild>
        <w:div w:id="1487428442">
          <w:marLeft w:val="0"/>
          <w:marRight w:val="0"/>
          <w:marTop w:val="0"/>
          <w:marBottom w:val="0"/>
          <w:divBdr>
            <w:top w:val="none" w:sz="0" w:space="0" w:color="auto"/>
            <w:left w:val="none" w:sz="0" w:space="0" w:color="auto"/>
            <w:bottom w:val="none" w:sz="0" w:space="0" w:color="auto"/>
            <w:right w:val="none" w:sz="0" w:space="0" w:color="auto"/>
          </w:divBdr>
          <w:divsChild>
            <w:div w:id="2248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82263">
      <w:bodyDiv w:val="1"/>
      <w:marLeft w:val="0"/>
      <w:marRight w:val="0"/>
      <w:marTop w:val="0"/>
      <w:marBottom w:val="0"/>
      <w:divBdr>
        <w:top w:val="none" w:sz="0" w:space="0" w:color="auto"/>
        <w:left w:val="none" w:sz="0" w:space="0" w:color="auto"/>
        <w:bottom w:val="none" w:sz="0" w:space="0" w:color="auto"/>
        <w:right w:val="none" w:sz="0" w:space="0" w:color="auto"/>
      </w:divBdr>
      <w:divsChild>
        <w:div w:id="1146049797">
          <w:marLeft w:val="0"/>
          <w:marRight w:val="0"/>
          <w:marTop w:val="0"/>
          <w:marBottom w:val="0"/>
          <w:divBdr>
            <w:top w:val="none" w:sz="0" w:space="0" w:color="auto"/>
            <w:left w:val="none" w:sz="0" w:space="0" w:color="auto"/>
            <w:bottom w:val="none" w:sz="0" w:space="0" w:color="auto"/>
            <w:right w:val="none" w:sz="0" w:space="0" w:color="auto"/>
          </w:divBdr>
          <w:divsChild>
            <w:div w:id="196773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158871">
      <w:bodyDiv w:val="1"/>
      <w:marLeft w:val="0"/>
      <w:marRight w:val="0"/>
      <w:marTop w:val="0"/>
      <w:marBottom w:val="0"/>
      <w:divBdr>
        <w:top w:val="none" w:sz="0" w:space="0" w:color="auto"/>
        <w:left w:val="none" w:sz="0" w:space="0" w:color="auto"/>
        <w:bottom w:val="none" w:sz="0" w:space="0" w:color="auto"/>
        <w:right w:val="none" w:sz="0" w:space="0" w:color="auto"/>
      </w:divBdr>
      <w:divsChild>
        <w:div w:id="906263636">
          <w:marLeft w:val="0"/>
          <w:marRight w:val="0"/>
          <w:marTop w:val="0"/>
          <w:marBottom w:val="0"/>
          <w:divBdr>
            <w:top w:val="none" w:sz="0" w:space="0" w:color="auto"/>
            <w:left w:val="none" w:sz="0" w:space="0" w:color="auto"/>
            <w:bottom w:val="none" w:sz="0" w:space="0" w:color="auto"/>
            <w:right w:val="none" w:sz="0" w:space="0" w:color="auto"/>
          </w:divBdr>
          <w:divsChild>
            <w:div w:id="117869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093300">
      <w:bodyDiv w:val="1"/>
      <w:marLeft w:val="0"/>
      <w:marRight w:val="0"/>
      <w:marTop w:val="0"/>
      <w:marBottom w:val="0"/>
      <w:divBdr>
        <w:top w:val="none" w:sz="0" w:space="0" w:color="auto"/>
        <w:left w:val="none" w:sz="0" w:space="0" w:color="auto"/>
        <w:bottom w:val="none" w:sz="0" w:space="0" w:color="auto"/>
        <w:right w:val="none" w:sz="0" w:space="0" w:color="auto"/>
      </w:divBdr>
      <w:divsChild>
        <w:div w:id="1891575509">
          <w:marLeft w:val="0"/>
          <w:marRight w:val="0"/>
          <w:marTop w:val="0"/>
          <w:marBottom w:val="0"/>
          <w:divBdr>
            <w:top w:val="none" w:sz="0" w:space="0" w:color="auto"/>
            <w:left w:val="none" w:sz="0" w:space="0" w:color="auto"/>
            <w:bottom w:val="none" w:sz="0" w:space="0" w:color="auto"/>
            <w:right w:val="none" w:sz="0" w:space="0" w:color="auto"/>
          </w:divBdr>
          <w:divsChild>
            <w:div w:id="19650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758854">
      <w:bodyDiv w:val="1"/>
      <w:marLeft w:val="0"/>
      <w:marRight w:val="0"/>
      <w:marTop w:val="0"/>
      <w:marBottom w:val="0"/>
      <w:divBdr>
        <w:top w:val="none" w:sz="0" w:space="0" w:color="auto"/>
        <w:left w:val="none" w:sz="0" w:space="0" w:color="auto"/>
        <w:bottom w:val="none" w:sz="0" w:space="0" w:color="auto"/>
        <w:right w:val="none" w:sz="0" w:space="0" w:color="auto"/>
      </w:divBdr>
      <w:divsChild>
        <w:div w:id="1419325812">
          <w:marLeft w:val="0"/>
          <w:marRight w:val="0"/>
          <w:marTop w:val="0"/>
          <w:marBottom w:val="0"/>
          <w:divBdr>
            <w:top w:val="none" w:sz="0" w:space="0" w:color="auto"/>
            <w:left w:val="none" w:sz="0" w:space="0" w:color="auto"/>
            <w:bottom w:val="none" w:sz="0" w:space="0" w:color="auto"/>
            <w:right w:val="none" w:sz="0" w:space="0" w:color="auto"/>
          </w:divBdr>
          <w:divsChild>
            <w:div w:id="888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4613">
      <w:bodyDiv w:val="1"/>
      <w:marLeft w:val="0"/>
      <w:marRight w:val="0"/>
      <w:marTop w:val="0"/>
      <w:marBottom w:val="0"/>
      <w:divBdr>
        <w:top w:val="none" w:sz="0" w:space="0" w:color="auto"/>
        <w:left w:val="none" w:sz="0" w:space="0" w:color="auto"/>
        <w:bottom w:val="none" w:sz="0" w:space="0" w:color="auto"/>
        <w:right w:val="none" w:sz="0" w:space="0" w:color="auto"/>
      </w:divBdr>
      <w:divsChild>
        <w:div w:id="1104810081">
          <w:marLeft w:val="0"/>
          <w:marRight w:val="0"/>
          <w:marTop w:val="0"/>
          <w:marBottom w:val="0"/>
          <w:divBdr>
            <w:top w:val="none" w:sz="0" w:space="0" w:color="auto"/>
            <w:left w:val="none" w:sz="0" w:space="0" w:color="auto"/>
            <w:bottom w:val="none" w:sz="0" w:space="0" w:color="auto"/>
            <w:right w:val="none" w:sz="0" w:space="0" w:color="auto"/>
          </w:divBdr>
          <w:divsChild>
            <w:div w:id="149371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349509">
      <w:bodyDiv w:val="1"/>
      <w:marLeft w:val="0"/>
      <w:marRight w:val="0"/>
      <w:marTop w:val="0"/>
      <w:marBottom w:val="0"/>
      <w:divBdr>
        <w:top w:val="none" w:sz="0" w:space="0" w:color="auto"/>
        <w:left w:val="none" w:sz="0" w:space="0" w:color="auto"/>
        <w:bottom w:val="none" w:sz="0" w:space="0" w:color="auto"/>
        <w:right w:val="none" w:sz="0" w:space="0" w:color="auto"/>
      </w:divBdr>
      <w:divsChild>
        <w:div w:id="337541834">
          <w:marLeft w:val="0"/>
          <w:marRight w:val="0"/>
          <w:marTop w:val="0"/>
          <w:marBottom w:val="0"/>
          <w:divBdr>
            <w:top w:val="none" w:sz="0" w:space="0" w:color="auto"/>
            <w:left w:val="none" w:sz="0" w:space="0" w:color="auto"/>
            <w:bottom w:val="none" w:sz="0" w:space="0" w:color="auto"/>
            <w:right w:val="none" w:sz="0" w:space="0" w:color="auto"/>
          </w:divBdr>
          <w:divsChild>
            <w:div w:id="40168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821478">
      <w:bodyDiv w:val="1"/>
      <w:marLeft w:val="0"/>
      <w:marRight w:val="0"/>
      <w:marTop w:val="0"/>
      <w:marBottom w:val="0"/>
      <w:divBdr>
        <w:top w:val="none" w:sz="0" w:space="0" w:color="auto"/>
        <w:left w:val="none" w:sz="0" w:space="0" w:color="auto"/>
        <w:bottom w:val="none" w:sz="0" w:space="0" w:color="auto"/>
        <w:right w:val="none" w:sz="0" w:space="0" w:color="auto"/>
      </w:divBdr>
      <w:divsChild>
        <w:div w:id="424808241">
          <w:marLeft w:val="0"/>
          <w:marRight w:val="0"/>
          <w:marTop w:val="0"/>
          <w:marBottom w:val="0"/>
          <w:divBdr>
            <w:top w:val="none" w:sz="0" w:space="0" w:color="auto"/>
            <w:left w:val="none" w:sz="0" w:space="0" w:color="auto"/>
            <w:bottom w:val="none" w:sz="0" w:space="0" w:color="auto"/>
            <w:right w:val="none" w:sz="0" w:space="0" w:color="auto"/>
          </w:divBdr>
          <w:divsChild>
            <w:div w:id="145594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56662">
      <w:bodyDiv w:val="1"/>
      <w:marLeft w:val="0"/>
      <w:marRight w:val="0"/>
      <w:marTop w:val="0"/>
      <w:marBottom w:val="0"/>
      <w:divBdr>
        <w:top w:val="none" w:sz="0" w:space="0" w:color="auto"/>
        <w:left w:val="none" w:sz="0" w:space="0" w:color="auto"/>
        <w:bottom w:val="none" w:sz="0" w:space="0" w:color="auto"/>
        <w:right w:val="none" w:sz="0" w:space="0" w:color="auto"/>
      </w:divBdr>
      <w:divsChild>
        <w:div w:id="1280451826">
          <w:marLeft w:val="0"/>
          <w:marRight w:val="0"/>
          <w:marTop w:val="0"/>
          <w:marBottom w:val="0"/>
          <w:divBdr>
            <w:top w:val="none" w:sz="0" w:space="0" w:color="auto"/>
            <w:left w:val="none" w:sz="0" w:space="0" w:color="auto"/>
            <w:bottom w:val="none" w:sz="0" w:space="0" w:color="auto"/>
            <w:right w:val="none" w:sz="0" w:space="0" w:color="auto"/>
          </w:divBdr>
          <w:divsChild>
            <w:div w:id="78697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7787">
      <w:bodyDiv w:val="1"/>
      <w:marLeft w:val="0"/>
      <w:marRight w:val="0"/>
      <w:marTop w:val="0"/>
      <w:marBottom w:val="0"/>
      <w:divBdr>
        <w:top w:val="none" w:sz="0" w:space="0" w:color="auto"/>
        <w:left w:val="none" w:sz="0" w:space="0" w:color="auto"/>
        <w:bottom w:val="none" w:sz="0" w:space="0" w:color="auto"/>
        <w:right w:val="none" w:sz="0" w:space="0" w:color="auto"/>
      </w:divBdr>
      <w:divsChild>
        <w:div w:id="1218318236">
          <w:marLeft w:val="0"/>
          <w:marRight w:val="0"/>
          <w:marTop w:val="0"/>
          <w:marBottom w:val="0"/>
          <w:divBdr>
            <w:top w:val="none" w:sz="0" w:space="0" w:color="auto"/>
            <w:left w:val="none" w:sz="0" w:space="0" w:color="auto"/>
            <w:bottom w:val="none" w:sz="0" w:space="0" w:color="auto"/>
            <w:right w:val="none" w:sz="0" w:space="0" w:color="auto"/>
          </w:divBdr>
          <w:divsChild>
            <w:div w:id="181294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8182">
      <w:bodyDiv w:val="1"/>
      <w:marLeft w:val="0"/>
      <w:marRight w:val="0"/>
      <w:marTop w:val="0"/>
      <w:marBottom w:val="0"/>
      <w:divBdr>
        <w:top w:val="none" w:sz="0" w:space="0" w:color="auto"/>
        <w:left w:val="none" w:sz="0" w:space="0" w:color="auto"/>
        <w:bottom w:val="none" w:sz="0" w:space="0" w:color="auto"/>
        <w:right w:val="none" w:sz="0" w:space="0" w:color="auto"/>
      </w:divBdr>
      <w:divsChild>
        <w:div w:id="1724258132">
          <w:marLeft w:val="0"/>
          <w:marRight w:val="0"/>
          <w:marTop w:val="0"/>
          <w:marBottom w:val="0"/>
          <w:divBdr>
            <w:top w:val="none" w:sz="0" w:space="0" w:color="auto"/>
            <w:left w:val="none" w:sz="0" w:space="0" w:color="auto"/>
            <w:bottom w:val="none" w:sz="0" w:space="0" w:color="auto"/>
            <w:right w:val="none" w:sz="0" w:space="0" w:color="auto"/>
          </w:divBdr>
          <w:divsChild>
            <w:div w:id="166673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11103">
      <w:bodyDiv w:val="1"/>
      <w:marLeft w:val="0"/>
      <w:marRight w:val="0"/>
      <w:marTop w:val="0"/>
      <w:marBottom w:val="0"/>
      <w:divBdr>
        <w:top w:val="none" w:sz="0" w:space="0" w:color="auto"/>
        <w:left w:val="none" w:sz="0" w:space="0" w:color="auto"/>
        <w:bottom w:val="none" w:sz="0" w:space="0" w:color="auto"/>
        <w:right w:val="none" w:sz="0" w:space="0" w:color="auto"/>
      </w:divBdr>
      <w:divsChild>
        <w:div w:id="1312246886">
          <w:marLeft w:val="0"/>
          <w:marRight w:val="0"/>
          <w:marTop w:val="0"/>
          <w:marBottom w:val="0"/>
          <w:divBdr>
            <w:top w:val="none" w:sz="0" w:space="0" w:color="auto"/>
            <w:left w:val="none" w:sz="0" w:space="0" w:color="auto"/>
            <w:bottom w:val="none" w:sz="0" w:space="0" w:color="auto"/>
            <w:right w:val="none" w:sz="0" w:space="0" w:color="auto"/>
          </w:divBdr>
          <w:divsChild>
            <w:div w:id="40372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70684">
      <w:bodyDiv w:val="1"/>
      <w:marLeft w:val="0"/>
      <w:marRight w:val="0"/>
      <w:marTop w:val="0"/>
      <w:marBottom w:val="0"/>
      <w:divBdr>
        <w:top w:val="none" w:sz="0" w:space="0" w:color="auto"/>
        <w:left w:val="none" w:sz="0" w:space="0" w:color="auto"/>
        <w:bottom w:val="none" w:sz="0" w:space="0" w:color="auto"/>
        <w:right w:val="none" w:sz="0" w:space="0" w:color="auto"/>
      </w:divBdr>
      <w:divsChild>
        <w:div w:id="2119828450">
          <w:marLeft w:val="0"/>
          <w:marRight w:val="0"/>
          <w:marTop w:val="0"/>
          <w:marBottom w:val="0"/>
          <w:divBdr>
            <w:top w:val="none" w:sz="0" w:space="0" w:color="auto"/>
            <w:left w:val="none" w:sz="0" w:space="0" w:color="auto"/>
            <w:bottom w:val="none" w:sz="0" w:space="0" w:color="auto"/>
            <w:right w:val="none" w:sz="0" w:space="0" w:color="auto"/>
          </w:divBdr>
          <w:divsChild>
            <w:div w:id="182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abinet.tax.gov.ua" TargetMode="External"/><Relationship Id="rId4" Type="http://schemas.openxmlformats.org/officeDocument/2006/relationships/hyperlink" Target="https://tax.gov.ua/media-tsentr/videogalereya/intervyu-ta-publichni-zayavi/6759.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11450</Words>
  <Characters>65267</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2020-10-23T07:30:00Z</dcterms:created>
  <dcterms:modified xsi:type="dcterms:W3CDTF">2020-10-23T07:32:00Z</dcterms:modified>
</cp:coreProperties>
</file>