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B24" w:rsidRPr="007F5B24" w:rsidRDefault="007F5B24" w:rsidP="007F5B24">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До уваги платників рентної плати за користування радіочастотним ресурсом України!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із    п. 254.1 ст. 254 Податкового кодексу України (далі – ПКУ) платниками рентної плати за користування радіочастотним ресурсом України (рентна плата) є загальні користувачі радіочастотного ресурсу України, визначені законодавством про радіочастотний ресурс, яким надано право користуватися радіочастотним ресурсом України в межах виділеної частини смуг радіочастот загального користування на підставі: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ліцензії на користування радіочастотним ресурсом України;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ліцензії на мовлення та дозволу на експлуатацію радіоелектронного засобу та випромінювального пристрою;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дозволу на експлуатацію радіоелектронного засобу та випромінювального пристрою, отриманого на підставі договору з власником ліцензії на мовлення;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дозволу на експлуатацію радіоелектронного засобу та випромінювального пристрою.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Підпунктом 254.5.3 п. 254.5 ст. 254 ПКУ визначено, що платники рентної плати, яким надано право користуватися радіочастотним ресурсом України на підставі ліцензій на користування радіочастотним ресурсом України, сплачують рентну плату починаючи з дати видачі ліцензії.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продовження терміну дії ліцензії на користування радіочастотним ресурсом України рентна плата сплачується з початку терміну дії продовженої ліцензії.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Інші платники рентної плати сплачують рентну плату починаючи з дати видачі дозволу на експлуатацію радіоелектронних засобів та випромінювальних пристроїв. Сплата рентної плати здійснюється платниками рентної плати з дати видачі першого дозволу на експлуатацію радіоелектронного засобу та випромінювального пристрою в даній смузі радіочастот у відповідному регіоні незалежно від загальної кількості дозволів, наданих платнику рентної плати в такій смузі радіочастот у певному регіоні, крім випадків, коли наступні дозволи на експлуатацію радіоелектронного засобу та випромінювального пристрою, видані на пристрої, потужність яких передбачає застосування іншої, ніж у попередніх дозволах, ставки рентної плати.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Об’єктом оподаткування рентною платою за користування радіочастотним ресурсом України є ширина смуги радіочастот, що визначається як частина смуги радіочастот загального користування у відповідному регіоні та зазначена в ліцензії на користування радіочастотним ресурсом України або в дозволі на експлуатацію радіоелектронного засобу та випромінювального пристрою для технологічних користувачів та користувачів, які користуються радіочастотним ресурсом для розповсюдження телерадіопрограм (п. 254.3 ст. 254 ПКУ).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Пунктом 49.2 ст. 49 ПКУ передбачено, що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Цей абзац застосовується до всіх платників податків, в тому числі платників, які перебувають на спрощеній системі оподаткування обліку та звітності. </w:t>
      </w:r>
    </w:p>
    <w:p w:rsidR="007F5B24" w:rsidRPr="007F5B24"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Таким чином, для суб’єкта господарювання, у якого закінчився термін дії ліцензії на користування радіочастотним ресурсом України або дозволу на експлуатацію радіоелектронного засобу, на підставі якого здійснювалося користування радіочастотним ресурсом, та припинено користування радіочастотним ресурсом, останнім податковим періодом для податкової звітності з рентної плати за користування радіочастотним ресурсом України є звітний період, у якому закінчився термін дії ліцензії або дозволу. </w:t>
      </w:r>
    </w:p>
    <w:p w:rsidR="007F5B24" w:rsidRDefault="007F5B24" w:rsidP="007971D0">
      <w:pPr>
        <w:jc w:val="left"/>
        <w:outlineLvl w:val="0"/>
        <w:rPr>
          <w:rFonts w:ascii="Times New Roman" w:eastAsia="Times New Roman" w:hAnsi="Times New Roman" w:cs="Times New Roman"/>
          <w:b/>
          <w:bCs/>
          <w:kern w:val="36"/>
          <w:sz w:val="20"/>
          <w:szCs w:val="20"/>
          <w:lang w:val="uk-UA" w:eastAsia="ru-RU"/>
        </w:rPr>
      </w:pPr>
    </w:p>
    <w:p w:rsidR="00A940D5" w:rsidRPr="007F5B24" w:rsidRDefault="00A940D5"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Деякі особливості виправлення помилок у декларації з податку на нерухоме майно, відмінне від земельної ділянки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Нагадуємо, що платники податку на нерухоме майно, відмінне від земельної ділянки – юридичні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місцезнаходженням об’єкта/об’єктів оподаткування Податкову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річної суми рівними частками поквартально.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266.7.5 п. 266.7 ст. 266 Податкового кодексу України (далі – ПКУ).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уточнення податкових зобов’язань протягом року (після граничного терміну подання Декларації) у комірці </w:t>
      </w:r>
      <w:r w:rsidRPr="007F5B24">
        <w:rPr>
          <w:rFonts w:ascii="Times New Roman" w:eastAsia="Times New Roman" w:hAnsi="Times New Roman" w:cs="Times New Roman"/>
          <w:i/>
          <w:iCs/>
          <w:sz w:val="20"/>
          <w:szCs w:val="20"/>
          <w:lang w:val="uk-UA" w:eastAsia="ru-RU"/>
        </w:rPr>
        <w:t>«уточнююча»</w:t>
      </w:r>
      <w:r w:rsidRPr="007F5B24">
        <w:rPr>
          <w:rFonts w:ascii="Times New Roman" w:eastAsia="Times New Roman" w:hAnsi="Times New Roman" w:cs="Times New Roman"/>
          <w:sz w:val="20"/>
          <w:szCs w:val="20"/>
          <w:lang w:val="uk-UA" w:eastAsia="ru-RU"/>
        </w:rPr>
        <w:t xml:space="preserve"> рядка 1 заголовної частини Декларації, форма якої затверджена наказом Міністерства фінансів України від 10.04.2015 № 408 із змінами, проставляється відмітка </w:t>
      </w:r>
      <w:r w:rsidRPr="007F5B24">
        <w:rPr>
          <w:rFonts w:ascii="Times New Roman" w:eastAsia="Times New Roman" w:hAnsi="Times New Roman" w:cs="Times New Roman"/>
          <w:i/>
          <w:iCs/>
          <w:sz w:val="20"/>
          <w:szCs w:val="20"/>
          <w:lang w:val="uk-UA" w:eastAsia="ru-RU"/>
        </w:rPr>
        <w:t>«Х».</w:t>
      </w:r>
      <w:r w:rsidRPr="007F5B24">
        <w:rPr>
          <w:rFonts w:ascii="Times New Roman" w:eastAsia="Times New Roman" w:hAnsi="Times New Roman" w:cs="Times New Roman"/>
          <w:sz w:val="20"/>
          <w:szCs w:val="20"/>
          <w:lang w:val="uk-UA" w:eastAsia="ru-RU"/>
        </w:rPr>
        <w:t xml:space="preserve">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одночасного коригування податкового зобов’язання з податку на нерухоме майно, відмінне від земельної ділянки, якщо невірно (помилково) вказано код типу об’єкта нерухомості (загальну площу, ставку податку, або суми пільги тощо), як по житловій, так і нежитловій нерухомості платнику необхідно подати одну уточнюючу Декларацію з окремими розрахунками, що уточнюються, для об’єктів житлової (додаток 1) та нежитлової (додаток 2) нерухомості.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Наприклад, для уточнення показників Декларації по житловій нерухомості: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у розділі І «Розрахунок податкового зобов’язання» додатка 1 до Декларації заповнюється виправлена (правильна) інформація;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у розділі ІІ «Уточнення податкового зобов’язання» додатка 1 до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у рядку 4 зазначається сума податкового зобов’язання з рядка 3 додатка 1 до Декларації, що уточнюється (або показник рядка 6 Декларації в редакції, що діяла до внесення змін наказом Міністерства фінансів України від 15.11.2018       № 897);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рядок 5 заповнюється у випадку, якщо в результаті виправлення помилки виникла недоплата. У рядку 5 зазначається сума нарахованих до збільшення податкових зобов’язань, яка обчислюється за формулою: рядок 3 – рядок 4. Показник рядка 5 додатка 1 переноситься до рядка 5.2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рядок 6 заповнюється у випадку, якщо в результаті виправлення помилки виникла переплата. У рядку 6 зазначається сума нарахованих до зменшення податкових зобов’язань, яка обчислюється за формулою: рядок 4 – рядок 3. Показник рядка 6 додатка 1 переноситься до рядка 5.3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рядок 7 заповнюється, якщо заповнено рядок 5 додатка 1 до Декларації. У рядку 7 зазначається сума штрафу (у гривнях із копійками), що розраховується за формулою: (колонки з 4 по 7 рядка 5) х 3 % або 5 %. Показник рядка 7 додатка 1 переноситься до рядка 5.4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 у рядку 8 зазначається сума пені, нарахована на суму недоплати зобов’язання (у гривнях із копійками) відповідно до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129.1.3 п. 129.1 та абзацу другого п. 129.4 ст. 129 ПКУ. Показник рядка 8 додатка 1 переноситься до рядка 5.5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Аналогічно заповнюються уточнюючий додаток 2 до Декларації для об’єктів нежитлової нерухомості. При цьому: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показник рядка 5 додатка 2 переноситься до рядка 6.2 табличної частини Декларації, показник рядка 6 додатка 2 переноситься до рядка 6.3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показник рядка 7 додатка 2 переноситься до рядка 6.4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показник рядка 8 додатка 2 переноситься до рядка 6.5 табличної частини Декларації. </w:t>
      </w:r>
    </w:p>
    <w:p w:rsidR="00A940D5" w:rsidRPr="007F5B24" w:rsidRDefault="00A940D5"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коригування податкового зобов’язання з податку на нерухоме майно, відмінне від земельної ділянки, лише по житловій чи нежитловій нерухомості заповнюється один розрахунок/додаток, що уточнюється, показники якого переносяться до Декларації. </w:t>
      </w:r>
    </w:p>
    <w:p w:rsidR="00A940D5" w:rsidRPr="007F5B24" w:rsidRDefault="00A940D5"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Чинним законодавством не заборонено здійснення імпортних операцій без ввезення товару на митну територію України </w:t>
      </w:r>
    </w:p>
    <w:p w:rsidR="00F30E1F"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w:t>
      </w:r>
      <w:r w:rsidR="00F30E1F" w:rsidRPr="007F5B24">
        <w:rPr>
          <w:rFonts w:ascii="Times New Roman" w:eastAsia="Times New Roman" w:hAnsi="Times New Roman" w:cs="Times New Roman"/>
          <w:sz w:val="20"/>
          <w:szCs w:val="20"/>
          <w:lang w:val="uk-UA" w:eastAsia="ru-RU"/>
        </w:rPr>
        <w:t>овідомляє</w:t>
      </w:r>
      <w:r w:rsidRPr="007F5B24">
        <w:rPr>
          <w:rFonts w:ascii="Times New Roman" w:eastAsia="Times New Roman" w:hAnsi="Times New Roman" w:cs="Times New Roman"/>
          <w:sz w:val="20"/>
          <w:szCs w:val="20"/>
          <w:lang w:val="uk-UA" w:eastAsia="ru-RU"/>
        </w:rPr>
        <w:t>мо</w:t>
      </w:r>
      <w:r w:rsidR="00F30E1F" w:rsidRPr="007F5B24">
        <w:rPr>
          <w:rFonts w:ascii="Times New Roman" w:eastAsia="Times New Roman" w:hAnsi="Times New Roman" w:cs="Times New Roman"/>
          <w:sz w:val="20"/>
          <w:szCs w:val="20"/>
          <w:lang w:val="uk-UA" w:eastAsia="ru-RU"/>
        </w:rPr>
        <w:t xml:space="preserve">, що імпорт (імпорт товарів) – це купівля (у тому числі з оплатою в </w:t>
      </w:r>
      <w:proofErr w:type="spellStart"/>
      <w:r w:rsidR="00F30E1F" w:rsidRPr="007F5B24">
        <w:rPr>
          <w:rFonts w:ascii="Times New Roman" w:eastAsia="Times New Roman" w:hAnsi="Times New Roman" w:cs="Times New Roman"/>
          <w:sz w:val="20"/>
          <w:szCs w:val="20"/>
          <w:lang w:val="uk-UA" w:eastAsia="ru-RU"/>
        </w:rPr>
        <w:t>негрошовій</w:t>
      </w:r>
      <w:proofErr w:type="spellEnd"/>
      <w:r w:rsidR="00F30E1F" w:rsidRPr="007F5B24">
        <w:rPr>
          <w:rFonts w:ascii="Times New Roman" w:eastAsia="Times New Roman" w:hAnsi="Times New Roman" w:cs="Times New Roman"/>
          <w:sz w:val="20"/>
          <w:szCs w:val="20"/>
          <w:lang w:val="uk-UA" w:eastAsia="ru-RU"/>
        </w:rPr>
        <w:t xml:space="preserve"> формі) українськими суб’єктами зовнішньоекономічної діяльності в іноземних суб’єктів господарської діяльності товарів з ввезенням або без ввезення цих товарів на територію України, включаючи купівлю товарів, призначених для власного споживання установами та організаціями України, розташованими за її межами.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визначені ст. 1 Закону України від 16 квітня 1991 року № 959-XII «Про зовнішньоекономічну діяльність» із змінами і доповненнями.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Пунктом 21 розділу II Положення про заходи захисту та визначення порядку здійснення окремих операцій в іноземній валюті, затвердженого постановою Правління Національного банку України (далі – НБУ) від 02 січня 2019 року № 5 із змінами і доповненнями, граничні строки розрахунків за операціями з експорту та імпорту товарів становлять 365 календарних днів.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із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 п. 6 Інструкції про порядок валютного нагляду банків за дотриманням резидентами граничних строків розрахунків за операціями з експорту та імпорту товарів, затвердженої постановою Правління НБУ від           02 січня 2019 року № 7 із змінами і доповненнями (далі – Інструкція № 7) банк здійснює валютний нагляд за дотриманням резидентом граничних строків розрахунків за імпортною операцією резидента, якщо на дату оплати резидентом продукції (а в разі застосування розрахунків у формі документарного акредитива – на дату здійснення банком платежу на користь нерезидента (дату списання коштів з рахунку банку)) імпортна операція без увезення продукції на територію України не була завершена або в банку немає інформації про завершення імпортної операції без увезення продукції на територію України.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5 п. 9 розділу ІІІ Інструкції № 7 банк завершує здійснення валютного нагляду за дотриманням резидентами граничних строків розрахунків у разі імпорту продукції без її увезення на територію України – після зарахування грошових коштів від нерезидента на поточний рахунок резидента в банку в разі продажу нерезиденту продукції в повному обсязі за межами України (уключаючи кошти, переказані резидентом із власного рахунку, відкритого за кордоном, якщо розрахунки за продаж нерезиденту продукції за межами України здійснювалися через рахунок резидента, відкритий за кордоном, та резидентом подано документи іноземного банку, які підтверджують зарахування коштів від нерезидента за продукцію) або подання документів, що підтверджують використання резидентом продукції за межами України на підставі договорів (контрактів, угод), інших форм документів, що застосовуються в міжнародній практиці та можуть уважатися договором.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чинним законодавством не заборонено здійснення імпортних операцій без ввезення товару на митну територію України за зовнішньоекономічними договорами.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Граничні строки розрахунків за операціями з імпорту товарів без ввезення цих товарів на територію України становлять 365 календарних днів.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Деякі особливості розрахунку вартісного критерію контрольованих операцій </w:t>
      </w:r>
    </w:p>
    <w:p w:rsidR="00F30E1F"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З</w:t>
      </w:r>
      <w:r w:rsidR="00F30E1F" w:rsidRPr="007F5B24">
        <w:rPr>
          <w:rFonts w:ascii="Times New Roman" w:eastAsia="Times New Roman" w:hAnsi="Times New Roman" w:cs="Times New Roman"/>
          <w:sz w:val="20"/>
          <w:szCs w:val="20"/>
          <w:lang w:val="uk-UA" w:eastAsia="ru-RU"/>
        </w:rPr>
        <w:t xml:space="preserve">гідно з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«а»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39.2.1.1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39.2.1 п. 39.2 ст. 39 Податкового кодексу України (далі – ПКУ)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зокрема господарські операції, що здійснюються з пов’язаними особами – нерезидентами, в тому числі у випадках, визначених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39.2.1.5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39.2.1 п. 39.2 ст. 39 ПКУ.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39.2.1.7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39.2.1 п. 39.2 ст. 39 ПКУ господарські операції, передбачені підпунктами 39.2.1.1 (</w:t>
      </w:r>
      <w:r w:rsidRPr="007F5B24">
        <w:rPr>
          <w:rFonts w:ascii="Times New Roman" w:eastAsia="Times New Roman" w:hAnsi="Times New Roman" w:cs="Times New Roman"/>
          <w:i/>
          <w:iCs/>
          <w:sz w:val="20"/>
          <w:szCs w:val="20"/>
          <w:lang w:val="uk-UA" w:eastAsia="ru-RU"/>
        </w:rPr>
        <w:t>крім операцій, що здійснюються між нерезидентом та його постійним представництвом в Україні)</w:t>
      </w:r>
      <w:r w:rsidRPr="007F5B24">
        <w:rPr>
          <w:rFonts w:ascii="Times New Roman" w:eastAsia="Times New Roman" w:hAnsi="Times New Roman" w:cs="Times New Roman"/>
          <w:sz w:val="20"/>
          <w:szCs w:val="20"/>
          <w:lang w:val="uk-UA" w:eastAsia="ru-RU"/>
        </w:rPr>
        <w:t xml:space="preserve"> і 39.2.1.5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39.2.1 п. 39.2 ст. 39 ПКУ, визнаються контрольованими, якщо одночасно виконуються такі умови: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річний дохід платника податків від будь-якої діяльності, визначений за правилами бухгалтерського обліку, перевищує 150 мільйонів гривень (за вирахуванням непрямих податків) за відповідний податковий (звітний) рік;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обсяг таких господарських операцій платника податків з кожним контрагентом, визначений за правилами бухгалтерського обліку, перевищує 10 мільйонів гривень (за вирахуванням непрямих податків) за відповідний податковий (звітний) рік.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Господарські операції, що здійснюються між нерезидентом та його постійним представництвом в Україні, визнаються контрольованими, якщо обсяг таких господарських операцій, визначений за правилами бухгалтерського обліку, перевищує 10 мільйонів гривень (за вирахуванням непрямих податків) за відповідний податковий (звітний) рік.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Враховуючи вищенаведене, для розрахунку вартісного критерію контрольованих операцій з пов’язаними особами – нерезидентами мають враховуватись періоди податкового (звітного) року, в яких нерезидент перебував у статусі пов’язаної особи з платником податку, за умови відсутності інших критеріїв, визначених у підпунктах «б» – «ґ»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39.2.1.1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39.2.1 п. 39.2 ст. 39 ПКУ.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Увага! Електронне звернення – підписане, із зазначенням місця проживання (реєстрації)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Державна податкова служба України на головній сторінці офіційного </w:t>
      </w:r>
      <w:proofErr w:type="spellStart"/>
      <w:r w:rsidRPr="007F5B24">
        <w:rPr>
          <w:rFonts w:ascii="Times New Roman" w:eastAsia="Times New Roman" w:hAnsi="Times New Roman" w:cs="Times New Roman"/>
          <w:sz w:val="20"/>
          <w:szCs w:val="20"/>
          <w:lang w:val="uk-UA" w:eastAsia="ru-RU"/>
        </w:rPr>
        <w:t>вебпорталу</w:t>
      </w:r>
      <w:proofErr w:type="spellEnd"/>
      <w:r w:rsidRPr="007F5B24">
        <w:rPr>
          <w:rFonts w:ascii="Times New Roman" w:eastAsia="Times New Roman" w:hAnsi="Times New Roman" w:cs="Times New Roman"/>
          <w:sz w:val="20"/>
          <w:szCs w:val="20"/>
          <w:lang w:val="uk-UA" w:eastAsia="ru-RU"/>
        </w:rPr>
        <w:t xml:space="preserve"> за посиланням </w:t>
      </w:r>
      <w:hyperlink r:id="rId4" w:history="1">
        <w:r w:rsidRPr="007F5B24">
          <w:rPr>
            <w:rFonts w:ascii="Times New Roman" w:eastAsia="Times New Roman" w:hAnsi="Times New Roman" w:cs="Times New Roman"/>
            <w:color w:val="0000FF"/>
            <w:sz w:val="20"/>
            <w:szCs w:val="20"/>
            <w:u w:val="single"/>
            <w:lang w:val="uk-UA" w:eastAsia="ru-RU"/>
          </w:rPr>
          <w:t>https://tax.gov.ua/media-tsentr/novini/435044.html</w:t>
        </w:r>
      </w:hyperlink>
      <w:r w:rsidRPr="007F5B24">
        <w:rPr>
          <w:rFonts w:ascii="Times New Roman" w:eastAsia="Times New Roman" w:hAnsi="Times New Roman" w:cs="Times New Roman"/>
          <w:sz w:val="20"/>
          <w:szCs w:val="20"/>
          <w:lang w:val="uk-UA" w:eastAsia="ru-RU"/>
        </w:rPr>
        <w:t xml:space="preserve"> нагадала, що з метою спрощення листування з громадянами в ДПС функціонує електронна поштова скринька </w:t>
      </w:r>
      <w:hyperlink r:id="rId5" w:history="1">
        <w:r w:rsidRPr="007F5B24">
          <w:rPr>
            <w:rFonts w:ascii="Times New Roman" w:eastAsia="Times New Roman" w:hAnsi="Times New Roman" w:cs="Times New Roman"/>
            <w:color w:val="0000FF"/>
            <w:sz w:val="20"/>
            <w:szCs w:val="20"/>
            <w:u w:val="single"/>
            <w:lang w:val="uk-UA" w:eastAsia="ru-RU"/>
          </w:rPr>
          <w:t>zvernennya_dps@tax.gov.ua</w:t>
        </w:r>
      </w:hyperlink>
      <w:r w:rsidRPr="007F5B24">
        <w:rPr>
          <w:rFonts w:ascii="Times New Roman" w:eastAsia="Times New Roman" w:hAnsi="Times New Roman" w:cs="Times New Roman"/>
          <w:sz w:val="20"/>
          <w:szCs w:val="20"/>
          <w:lang w:val="uk-UA" w:eastAsia="ru-RU"/>
        </w:rPr>
        <w:t xml:space="preserve">.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Звертаємо увагу, що звернення, які громадяни надішлють на вказану електронну скриньку, мають бути з </w:t>
      </w:r>
      <w:proofErr w:type="spellStart"/>
      <w:r w:rsidRPr="007F5B24">
        <w:rPr>
          <w:rFonts w:ascii="Times New Roman" w:eastAsia="Times New Roman" w:hAnsi="Times New Roman" w:cs="Times New Roman"/>
          <w:sz w:val="20"/>
          <w:szCs w:val="20"/>
          <w:lang w:val="uk-UA" w:eastAsia="ru-RU"/>
        </w:rPr>
        <w:t>відсканованим</w:t>
      </w:r>
      <w:proofErr w:type="spellEnd"/>
      <w:r w:rsidRPr="007F5B24">
        <w:rPr>
          <w:rFonts w:ascii="Times New Roman" w:eastAsia="Times New Roman" w:hAnsi="Times New Roman" w:cs="Times New Roman"/>
          <w:sz w:val="20"/>
          <w:szCs w:val="20"/>
          <w:lang w:val="uk-UA" w:eastAsia="ru-RU"/>
        </w:rPr>
        <w:t xml:space="preserve"> особистим підписом та із зазначенням місця проживання (реєстрації) або підписані за допомогою кваліфікованого електронного підпису. Такі листи будуть розглянуті та відповіді на них будуть надані у терміни, визначені статтею 20 Закону України «Про звернення громадян».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Звернення, які громадяни надішлють на вказану електронну скриньку БЕЗ сканованого особистого підпису та БЕЗ зазначення місця проживання (реєстрації), будуть повернуті без розгляду протягом 10 днів із відповідним роз’ясненням відповідно до вимог ст. 5 Закону України «Про звернення громадян».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Міжнародні партнери відзначили досягнення України у напрямі впровадження плану BEPS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ДПС України на головній сторінці офіційного </w:t>
      </w:r>
      <w:proofErr w:type="spellStart"/>
      <w:r w:rsidRPr="007F5B24">
        <w:rPr>
          <w:rFonts w:ascii="Times New Roman" w:eastAsia="Times New Roman" w:hAnsi="Times New Roman" w:cs="Times New Roman"/>
          <w:sz w:val="20"/>
          <w:szCs w:val="20"/>
          <w:lang w:val="uk-UA" w:eastAsia="ru-RU"/>
        </w:rPr>
        <w:t>вебпорталу</w:t>
      </w:r>
      <w:proofErr w:type="spellEnd"/>
      <w:r w:rsidRPr="007F5B24">
        <w:rPr>
          <w:rFonts w:ascii="Times New Roman" w:eastAsia="Times New Roman" w:hAnsi="Times New Roman" w:cs="Times New Roman"/>
          <w:sz w:val="20"/>
          <w:szCs w:val="20"/>
          <w:lang w:val="uk-UA" w:eastAsia="ru-RU"/>
        </w:rPr>
        <w:t xml:space="preserve"> за посиланням </w:t>
      </w:r>
      <w:hyperlink r:id="rId6" w:history="1">
        <w:r w:rsidRPr="007F5B24">
          <w:rPr>
            <w:rFonts w:ascii="Times New Roman" w:eastAsia="Times New Roman" w:hAnsi="Times New Roman" w:cs="Times New Roman"/>
            <w:color w:val="0000FF"/>
            <w:sz w:val="20"/>
            <w:szCs w:val="20"/>
            <w:u w:val="single"/>
            <w:lang w:val="uk-UA" w:eastAsia="ru-RU"/>
          </w:rPr>
          <w:t>https://tax.gov.ua/media-tsentr/novini/435083.html</w:t>
        </w:r>
      </w:hyperlink>
      <w:r w:rsidRPr="007F5B24">
        <w:rPr>
          <w:rFonts w:ascii="Times New Roman" w:eastAsia="Times New Roman" w:hAnsi="Times New Roman" w:cs="Times New Roman"/>
          <w:sz w:val="20"/>
          <w:szCs w:val="20"/>
          <w:lang w:val="uk-UA" w:eastAsia="ru-RU"/>
        </w:rPr>
        <w:t xml:space="preserve"> повідомила, що 25.09.2020 – завершальний день міжнародної дводенної </w:t>
      </w:r>
      <w:proofErr w:type="spellStart"/>
      <w:r w:rsidRPr="007F5B24">
        <w:rPr>
          <w:rFonts w:ascii="Times New Roman" w:eastAsia="Times New Roman" w:hAnsi="Times New Roman" w:cs="Times New Roman"/>
          <w:sz w:val="20"/>
          <w:szCs w:val="20"/>
          <w:lang w:val="uk-UA" w:eastAsia="ru-RU"/>
        </w:rPr>
        <w:t>онлайн-конференції</w:t>
      </w:r>
      <w:proofErr w:type="spellEnd"/>
      <w:r w:rsidRPr="007F5B24">
        <w:rPr>
          <w:rFonts w:ascii="Times New Roman" w:eastAsia="Times New Roman" w:hAnsi="Times New Roman" w:cs="Times New Roman"/>
          <w:sz w:val="20"/>
          <w:szCs w:val="20"/>
          <w:lang w:val="uk-UA" w:eastAsia="ru-RU"/>
        </w:rPr>
        <w:t xml:space="preserve"> «Реалізація плану BEPS в Україні», організатором якої виступила Державна податкова служба України.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Метою конференції була оцінка вже здійсненних заходів, отриманих результатів та напрацювання проектів для подальшого впровадження плану BEPS.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Визначальним моментом на цьому шляху стало прийняття Закону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що вступив в дію 23 травня    2020 року, яким впроваджується низка фундаментальних змін, спрямованих на боротьбу з розмиванням податкової бази та виведенням прибутку з-під оподаткування.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 конференції учасниками обговорювалися питання податкового контролю за міжнародними транзакціями та трансфертним ціноутворенням в Україні та світі; вагомість міжнародного обміну податковою інформацією та практичної допомоги між країнами та міжнародними організаціями.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Сучасні реалії змінили умови введення бізнесу. Постала необхідність зміни адміністрування податків, що зумовлено розширенням можливостей компаній надавати послуги, вести торгівлю дистанційно (</w:t>
      </w:r>
      <w:proofErr w:type="spellStart"/>
      <w:r w:rsidRPr="007F5B24">
        <w:rPr>
          <w:rFonts w:ascii="Times New Roman" w:eastAsia="Times New Roman" w:hAnsi="Times New Roman" w:cs="Times New Roman"/>
          <w:sz w:val="20"/>
          <w:szCs w:val="20"/>
          <w:lang w:val="uk-UA" w:eastAsia="ru-RU"/>
        </w:rPr>
        <w:t>онлайн</w:t>
      </w:r>
      <w:proofErr w:type="spellEnd"/>
      <w:r w:rsidRPr="007F5B24">
        <w:rPr>
          <w:rFonts w:ascii="Times New Roman" w:eastAsia="Times New Roman" w:hAnsi="Times New Roman" w:cs="Times New Roman"/>
          <w:sz w:val="20"/>
          <w:szCs w:val="20"/>
          <w:lang w:val="uk-UA" w:eastAsia="ru-RU"/>
        </w:rPr>
        <w:t xml:space="preserve">). За таких умов для чесної конкуренції та усунення несправедливих переваг іноземних компаній перед вітчизняними компаніями, іноземні компанії повинні реєструватися та бути платниками податку на додану вартість.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Учасники поділились досвідом особливостей проведення спільних та одночасних перевірок. Зі свого боку Державна податкова служба України підтвердила свою готовність отримати практичний досвід з цього питання.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Обговорено особливості застосування методів трансфертного ціноутворення, враховуючи українські особливості контрольованих операцій з сировинними товарами, номенклатурних товарів первинної обробки, нематеріальних активів та фінансових операцій.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Учасники конференції мали змогу подискутувати на теми «тонкої капіталізації»; особливостей вибору «</w:t>
      </w:r>
      <w:proofErr w:type="spellStart"/>
      <w:r w:rsidRPr="007F5B24">
        <w:rPr>
          <w:rFonts w:ascii="Times New Roman" w:eastAsia="Times New Roman" w:hAnsi="Times New Roman" w:cs="Times New Roman"/>
          <w:sz w:val="20"/>
          <w:szCs w:val="20"/>
          <w:lang w:val="uk-UA" w:eastAsia="ru-RU"/>
        </w:rPr>
        <w:t>тестованої</w:t>
      </w:r>
      <w:proofErr w:type="spellEnd"/>
      <w:r w:rsidRPr="007F5B24">
        <w:rPr>
          <w:rFonts w:ascii="Times New Roman" w:eastAsia="Times New Roman" w:hAnsi="Times New Roman" w:cs="Times New Roman"/>
          <w:sz w:val="20"/>
          <w:szCs w:val="20"/>
          <w:lang w:val="uk-UA" w:eastAsia="ru-RU"/>
        </w:rPr>
        <w:t xml:space="preserve"> сторони»; тесту «ділової мети» через призму так званої концепції невизнання комерційно неприйнятних речей; ідентифікації постійних представництв тощо.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Очевидно, що наступним завданням для України є формування нульової толерантності до фактів ухилення від сплати податків, що сприятиме підвищенню рівню податкової дисципліни міжнародних контрагентів.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досягнення поставлених цілей для ДПС визначено необхідність: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виокремлення національних та міжнародних податкових ризиків при створенні комплексної системи дотримання податкового законодавства;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забезпечення конфіденційності під час обміну інформацією та переходу до автоматизованого режиму обміну;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забезпечення відповідними технічними можливостями та кваліфікованими вмотивованими кадрами;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Міжнародні партнери-учасники відзначили, що Україна зробила значні кроки та продовжує активно виконувати взяті на себе зобов’язання щодо реалізації плану дій BEPS. Також була підтверджена їх готовність продовжувати партнерські відносини з Україною у цій сфері шляхом надання практичної та методологічної допомоги.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i/>
          <w:iCs/>
          <w:sz w:val="20"/>
          <w:szCs w:val="20"/>
          <w:lang w:val="uk-UA" w:eastAsia="ru-RU"/>
        </w:rPr>
        <w:t> </w:t>
      </w:r>
      <w:proofErr w:type="spellStart"/>
      <w:r w:rsidRPr="007F5B24">
        <w:rPr>
          <w:rFonts w:ascii="Times New Roman" w:eastAsia="Times New Roman" w:hAnsi="Times New Roman" w:cs="Times New Roman"/>
          <w:i/>
          <w:iCs/>
          <w:sz w:val="20"/>
          <w:szCs w:val="20"/>
          <w:lang w:val="uk-UA" w:eastAsia="ru-RU"/>
        </w:rPr>
        <w:t>Довідково</w:t>
      </w:r>
      <w:proofErr w:type="spellEnd"/>
      <w:r w:rsidRPr="007F5B24">
        <w:rPr>
          <w:rFonts w:ascii="Times New Roman" w:eastAsia="Times New Roman" w:hAnsi="Times New Roman" w:cs="Times New Roman"/>
          <w:sz w:val="20"/>
          <w:szCs w:val="20"/>
          <w:lang w:val="uk-UA" w:eastAsia="ru-RU"/>
        </w:rPr>
        <w:t xml:space="preserve">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План дій BEPS (</w:t>
      </w:r>
      <w:proofErr w:type="spellStart"/>
      <w:r w:rsidRPr="007F5B24">
        <w:rPr>
          <w:rFonts w:ascii="Times New Roman" w:eastAsia="Times New Roman" w:hAnsi="Times New Roman" w:cs="Times New Roman"/>
          <w:sz w:val="20"/>
          <w:szCs w:val="20"/>
          <w:lang w:val="uk-UA" w:eastAsia="ru-RU"/>
        </w:rPr>
        <w:t>Base</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Еrosion</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and</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Profit</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Shifting</w:t>
      </w:r>
      <w:proofErr w:type="spellEnd"/>
      <w:r w:rsidRPr="007F5B24">
        <w:rPr>
          <w:rFonts w:ascii="Times New Roman" w:eastAsia="Times New Roman" w:hAnsi="Times New Roman" w:cs="Times New Roman"/>
          <w:sz w:val="20"/>
          <w:szCs w:val="20"/>
          <w:lang w:val="uk-UA" w:eastAsia="ru-RU"/>
        </w:rPr>
        <w:t xml:space="preserve">) – проект Організації економічного співробітництва та розвитку (ОЕСР)/ «Групи двадцяти» з вирішення проблем розмивання (заниження) податкової бази та переміщення прибутків, який був представлений ОЕСР та затверджений у вересні 2013 року на саміті голів держав G20. Зазначений План містить 15 кроків, результатом опрацювання яких буде надання країнам внутрішніх та міжнародних інструментів, за допомогою яких права щодо оподаткування будуть приведені у відповідність до економічної діяльності міжнародних корпорацій.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Звернення громадян є пріоритетним напрямком роботи податківців Дніпропетровської області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Впродовж січня – серпня 2020 року до Головного управління ДПС у Дніпропетровській області надійшло 248 письмових звернень громадян. За відповідний період 2019 року таких звернень надійшло 273.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Тематика письмових звернень в більшості стосувалася наступних питань: контрольно-перевірочної роботи, консультації з питань податкового законодавства тощо.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Колективних звернень надійшло 13, які розглянуті у визначені законодавством терміни.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«Створення комфортних умов для платників податків при виконанні ними своїх обов’язків по сплаті податків, зборів, платежів є пріоритетним напрямом роботи податкової служби області. Першочергова увага приділяється забезпеченню всебічного, кваліфікованого, об’єктивного розгляду звернень, оперативному і своєчасному вирішенню виявлених питань», - зауважила </w:t>
      </w:r>
      <w:proofErr w:type="spellStart"/>
      <w:r w:rsidRPr="007F5B24">
        <w:rPr>
          <w:rFonts w:ascii="Times New Roman" w:eastAsia="Times New Roman" w:hAnsi="Times New Roman" w:cs="Times New Roman"/>
          <w:sz w:val="20"/>
          <w:szCs w:val="20"/>
          <w:lang w:val="uk-UA" w:eastAsia="ru-RU"/>
        </w:rPr>
        <w:t>в.о</w:t>
      </w:r>
      <w:proofErr w:type="spellEnd"/>
      <w:r w:rsidRPr="007F5B24">
        <w:rPr>
          <w:rFonts w:ascii="Times New Roman" w:eastAsia="Times New Roman" w:hAnsi="Times New Roman" w:cs="Times New Roman"/>
          <w:sz w:val="20"/>
          <w:szCs w:val="20"/>
          <w:lang w:val="uk-UA" w:eastAsia="ru-RU"/>
        </w:rPr>
        <w:t xml:space="preserve">. заступника начальника Головного управління ДПС у Дніпропетровській області Ольга Мазур.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dp.zvern436@</w:t>
      </w:r>
      <w:proofErr w:type="spellStart"/>
      <w:r w:rsidRPr="007F5B24">
        <w:rPr>
          <w:rFonts w:ascii="Times New Roman" w:eastAsia="Times New Roman" w:hAnsi="Times New Roman" w:cs="Times New Roman"/>
          <w:sz w:val="20"/>
          <w:szCs w:val="20"/>
          <w:lang w:val="uk-UA" w:eastAsia="ru-RU"/>
        </w:rPr>
        <w:t>tax.gov.ua</w:t>
      </w:r>
      <w:proofErr w:type="spellEnd"/>
      <w:r w:rsidRPr="007F5B24">
        <w:rPr>
          <w:rFonts w:ascii="Times New Roman" w:eastAsia="Times New Roman" w:hAnsi="Times New Roman" w:cs="Times New Roman"/>
          <w:sz w:val="20"/>
          <w:szCs w:val="20"/>
          <w:lang w:val="uk-UA" w:eastAsia="ru-RU"/>
        </w:rPr>
        <w:t xml:space="preserve">, звернення з якої протягом кожного робочого дня приймаються працівниками відповідно до вимог Закону України від 2 жовтня 1996 року № 393/96-ВР «Про звернення громадян».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Яка гранична сума готівкового розрахунку одного підприємства (підприємця) з іншим підприємством (підприємцем) на протязі дня? </w:t>
      </w:r>
    </w:p>
    <w:p w:rsidR="00F30E1F"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В</w:t>
      </w:r>
      <w:r w:rsidR="00F30E1F" w:rsidRPr="007F5B24">
        <w:rPr>
          <w:rFonts w:ascii="Times New Roman" w:eastAsia="Times New Roman" w:hAnsi="Times New Roman" w:cs="Times New Roman"/>
          <w:sz w:val="20"/>
          <w:szCs w:val="20"/>
          <w:lang w:val="uk-UA" w:eastAsia="ru-RU"/>
        </w:rPr>
        <w:t xml:space="preserve">ідповідно до п. 6 розділу ІІ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(далі – Положення № 148), суб’єкти господарювання мають право здійснювати розрахунки готівкою протягом одного дня за одним або кількома платіжними документами, зокрема, між собою – у розмірі до 10 000 (десяти тисяч) </w:t>
      </w:r>
      <w:proofErr w:type="spellStart"/>
      <w:r w:rsidR="00F30E1F" w:rsidRPr="007F5B24">
        <w:rPr>
          <w:rFonts w:ascii="Times New Roman" w:eastAsia="Times New Roman" w:hAnsi="Times New Roman" w:cs="Times New Roman"/>
          <w:sz w:val="20"/>
          <w:szCs w:val="20"/>
          <w:lang w:val="uk-UA" w:eastAsia="ru-RU"/>
        </w:rPr>
        <w:t>грн</w:t>
      </w:r>
      <w:proofErr w:type="spellEnd"/>
      <w:r w:rsidR="00F30E1F" w:rsidRPr="007F5B24">
        <w:rPr>
          <w:rFonts w:ascii="Times New Roman" w:eastAsia="Times New Roman" w:hAnsi="Times New Roman" w:cs="Times New Roman"/>
          <w:sz w:val="20"/>
          <w:szCs w:val="20"/>
          <w:lang w:val="uk-UA" w:eastAsia="ru-RU"/>
        </w:rPr>
        <w:t xml:space="preserve"> включно.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Суб’єкти господарювання у разі зняття готівкових коштів із поточних рахунків з метою здійснення готівкових розрахунків із фізичними особами зобов’язані надавати на запит банку (філії, відділення) підтвердні документи, на підставі яких здійснюються такі готівкові розрахунки, необхідні банку (філії, відділенню) для вивчення клієнта з урахуванням ризик-орієнтованого підходу.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Платежі понад установлені граничні суми проводяться через банки або небанківські фінансові установи/юридичних осіб, які не є фінансовими установами, але мають право надавати окремі фінансові послуги, які в установленому законодавством порядку отримали ліцензію на переказ коштів у національній валюті без відкриття рахунку (далі – небанківські установи), шляхом переказу коштів з поточного рахунку на поточний рахунок або внесення коштів до банку чи небанківської установи для подальшого їх переказу на поточні рахунки в банку. Кількість суб’єктів господарювання та фізичних осіб, з якими здійснюються готівкові розрахунки, протягом дня не обмежується.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Обмеження, установлене в абзаці другому п. 6 розділу II Положення № 148, стосується також розрахунків під час оплати за товари, придбані на виробничі (господарські) потреби за рахунок готівки, одержаної за допомогою електронного платіжного засобу.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Підрядник (субпідрядник) – платник ПДВ про застосування касового методу зазначає у розпорядчому документі про облікову політику </w:t>
      </w:r>
    </w:p>
    <w:p w:rsidR="00F30E1F"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w:t>
      </w:r>
      <w:r w:rsidR="00F30E1F" w:rsidRPr="007F5B24">
        <w:rPr>
          <w:rFonts w:ascii="Times New Roman" w:eastAsia="Times New Roman" w:hAnsi="Times New Roman" w:cs="Times New Roman"/>
          <w:sz w:val="20"/>
          <w:szCs w:val="20"/>
          <w:lang w:val="uk-UA" w:eastAsia="ru-RU"/>
        </w:rPr>
        <w:t>овідомляє</w:t>
      </w:r>
      <w:r w:rsidRPr="007F5B24">
        <w:rPr>
          <w:rFonts w:ascii="Times New Roman" w:eastAsia="Times New Roman" w:hAnsi="Times New Roman" w:cs="Times New Roman"/>
          <w:sz w:val="20"/>
          <w:szCs w:val="20"/>
          <w:lang w:val="uk-UA" w:eastAsia="ru-RU"/>
        </w:rPr>
        <w:t>мо</w:t>
      </w:r>
      <w:r w:rsidR="00F30E1F" w:rsidRPr="007F5B24">
        <w:rPr>
          <w:rFonts w:ascii="Times New Roman" w:eastAsia="Times New Roman" w:hAnsi="Times New Roman" w:cs="Times New Roman"/>
          <w:sz w:val="20"/>
          <w:szCs w:val="20"/>
          <w:lang w:val="uk-UA" w:eastAsia="ru-RU"/>
        </w:rPr>
        <w:t xml:space="preserve">, що за операціями з виконання підрядних будівельних робіт суб’єкти підприємницької діяльності (підрядники та субпідрядники) можуть застосовувати касовий метод податкового обліку відповідно до </w:t>
      </w:r>
      <w:proofErr w:type="spellStart"/>
      <w:r w:rsidR="00F30E1F" w:rsidRPr="007F5B24">
        <w:rPr>
          <w:rFonts w:ascii="Times New Roman" w:eastAsia="Times New Roman" w:hAnsi="Times New Roman" w:cs="Times New Roman"/>
          <w:sz w:val="20"/>
          <w:szCs w:val="20"/>
          <w:lang w:val="uk-UA" w:eastAsia="ru-RU"/>
        </w:rPr>
        <w:t>п.п</w:t>
      </w:r>
      <w:proofErr w:type="spellEnd"/>
      <w:r w:rsidR="00F30E1F" w:rsidRPr="007F5B24">
        <w:rPr>
          <w:rFonts w:ascii="Times New Roman" w:eastAsia="Times New Roman" w:hAnsi="Times New Roman" w:cs="Times New Roman"/>
          <w:sz w:val="20"/>
          <w:szCs w:val="20"/>
          <w:lang w:val="uk-UA" w:eastAsia="ru-RU"/>
        </w:rPr>
        <w:t xml:space="preserve">. 14.1.266 п. 14.1 ст. 14 Податкового кодексу України (далі – ПКУ).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п. 187.1 ст. 187 ПКУ.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14.1.266 п. 14.1 ст. 14 ПКУ касовий метод для цілей оподаткування згідно з розділом V ПКУ – це метод податкового обліку, за яким дата виникнення податкових зобов’язань визначається як дата зарахування (отримання) коштів на рахунки платника податку, відкриті в установах банків та/або в органах, що здійснюють казначейське обслуговування бюджетних коштів, у касу платника податків або дата отримання інших видів компенсацій вартості поставлених (або тих, що підлягають поставці) ним товарів (послуг), а дата віднесення сум податку до податкового кредиту визначається як дата списання коштів з рахунків платника податку, відкритих в установах банків, та/або в органах, що здійснюють казначейське обслуговування бюджетних коштів, дата видачі з каси платника податків або дата надання інших видів компенсацій вартості поставлених (або тих, що підлягають поставці) йому товарів (послуг).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застосування касового методу визначення податкових зобов’язань з ПДВ нормами ПКУ не передбачено подання до контролюючих органів будь-яких заяв чи повідомлень щодо початку застосування касового методу за власним вибором платника відповідно до вимог п. 187.1 ст. 187 ПКУ.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При цьому у податковій декларації з ПДВ, починаючи зі звітного періоду, з якого платник податку почав застосовувати касовий метод, платник у відповідному полі в кінці декларації проставляє відповідну позначку.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Разом з цим відповідно до п. 1.3 Методичних рекомендації щодо облікової політики підприємства, затверджених наказом Міністерства фінансів України від 27.06.2013 № 635 із змінами (далі – </w:t>
      </w:r>
      <w:proofErr w:type="spellStart"/>
      <w:r w:rsidRPr="007F5B24">
        <w:rPr>
          <w:rFonts w:ascii="Times New Roman" w:eastAsia="Times New Roman" w:hAnsi="Times New Roman" w:cs="Times New Roman"/>
          <w:sz w:val="20"/>
          <w:szCs w:val="20"/>
          <w:lang w:val="uk-UA" w:eastAsia="ru-RU"/>
        </w:rPr>
        <w:t>Методрекомендації</w:t>
      </w:r>
      <w:proofErr w:type="spellEnd"/>
      <w:r w:rsidRPr="007F5B24">
        <w:rPr>
          <w:rFonts w:ascii="Times New Roman" w:eastAsia="Times New Roman" w:hAnsi="Times New Roman" w:cs="Times New Roman"/>
          <w:sz w:val="20"/>
          <w:szCs w:val="20"/>
          <w:lang w:val="uk-UA" w:eastAsia="ru-RU"/>
        </w:rPr>
        <w:t xml:space="preserve">), елементом системи організації бухгалтерського обліку на підприємстві є облікова політика, яка може враховувати організаційно-правову форму підприємства, галузеві особливості економічної діяльності, обсяги виробництва тощо.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Пунктом 2.1 </w:t>
      </w:r>
      <w:proofErr w:type="spellStart"/>
      <w:r w:rsidRPr="007F5B24">
        <w:rPr>
          <w:rFonts w:ascii="Times New Roman" w:eastAsia="Times New Roman" w:hAnsi="Times New Roman" w:cs="Times New Roman"/>
          <w:sz w:val="20"/>
          <w:szCs w:val="20"/>
          <w:lang w:val="uk-UA" w:eastAsia="ru-RU"/>
        </w:rPr>
        <w:t>Методрекомендацій</w:t>
      </w:r>
      <w:proofErr w:type="spellEnd"/>
      <w:r w:rsidRPr="007F5B24">
        <w:rPr>
          <w:rFonts w:ascii="Times New Roman" w:eastAsia="Times New Roman" w:hAnsi="Times New Roman" w:cs="Times New Roman"/>
          <w:sz w:val="20"/>
          <w:szCs w:val="20"/>
          <w:lang w:val="uk-UA" w:eastAsia="ru-RU"/>
        </w:rPr>
        <w:t xml:space="preserve"> передбачено, що розпорядчий документ про облікову політику підприємства визначає, зокрема кількісні критерії та якісні ознаки суттєвості інформації про господарські операції, події та статті фінансової звітності.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про застосування касового методу платник зазначає в розпорядчому документі про облікову політику.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Якщо платник податку бажає відмовитись від застосування касового методу податкового обліку, то така відмова здійснюється шляхом внесення відповідних змін до облікової політики підприємства.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відмови від застосування касового методу сума податкових зобов’язань з ПДВ платника податку збільшується на суму, нараховану на вартість товарів/послуг, поставлених платником податку, але не оплачених коштами чи іншими видами компенсацій на дату переходу такого платника до звичайного режиму оподаткування.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Яким чином нараховують та сплачують єдиний внесок за себе члени фермерського господарства?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Частиною 1 ст. 3 Закону України від 19 червня 2003 року № 973-IV «Про фермерське господарство» із змінами визначено, що членами фермерського господарства можуть бути подружжя, їх батьки, діти, які досягли 14-річного віку, інші члени сім’ї, родичі, які об’єдналися для спільного ведення фермерського господарства, визнають і дотримуються положень установчого документа фермерського господарства. Членами фермерського господарства не можуть бути особи, які працюють у ньому за трудовим договором (контрактом).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п. 7.12 розділу 7 Методичних рекомендацій з організації та ведення бухгалтерського обліку в селянських (фермерських) господарствах, затверджених наказом Міністерства аграрної політики України від 02.07.2001 № 189, фінансовий результат господарства (дохід) розподіляється між членами господарства пропорційно трудовому внеску кожного з них і використовується для визначення заробітку, утримань і відрахувань на соціальні заходи згідно з чинним законодавством.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Законом України від 03 жовтня 2017 року № 2148-VIII «Про внесення змін до деяких законодавчих актів України щодо підвищення пенсій» внесено зміни до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відповідно до яких, </w:t>
      </w:r>
      <w:r w:rsidRPr="007F5B24">
        <w:rPr>
          <w:rFonts w:ascii="Times New Roman" w:eastAsia="Times New Roman" w:hAnsi="Times New Roman" w:cs="Times New Roman"/>
          <w:sz w:val="20"/>
          <w:szCs w:val="20"/>
          <w:lang w:val="uk-UA" w:eastAsia="ru-RU"/>
        </w:rPr>
        <w:lastRenderedPageBreak/>
        <w:t>починаючи з 01.01.2018, члени фермерського господарства, якщо вони не належать до осіб, які підлягають страхуванню на інших підставах, є платниками єдиного внеску на загальнообов’язкове державне соціальне страхування (далі – єдиний внесок) (п. 5</w:t>
      </w:r>
      <w:r w:rsidRPr="007F5B24">
        <w:rPr>
          <w:rFonts w:ascii="Times New Roman" w:eastAsia="Times New Roman" w:hAnsi="Times New Roman" w:cs="Times New Roman"/>
          <w:sz w:val="20"/>
          <w:szCs w:val="20"/>
          <w:vertAlign w:val="superscript"/>
          <w:lang w:val="uk-UA" w:eastAsia="ru-RU"/>
        </w:rPr>
        <w:t>1</w:t>
      </w:r>
      <w:r w:rsidRPr="007F5B24">
        <w:rPr>
          <w:rFonts w:ascii="Times New Roman" w:eastAsia="Times New Roman" w:hAnsi="Times New Roman" w:cs="Times New Roman"/>
          <w:sz w:val="20"/>
          <w:szCs w:val="20"/>
          <w:lang w:val="uk-UA" w:eastAsia="ru-RU"/>
        </w:rPr>
        <w:t xml:space="preserve"> частини 1 ст. 4 Закону № 2464).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Платники єдиного внеску, зазначені зокрема, у п. 5</w:t>
      </w:r>
      <w:r w:rsidRPr="007F5B24">
        <w:rPr>
          <w:rFonts w:ascii="Times New Roman" w:eastAsia="Times New Roman" w:hAnsi="Times New Roman" w:cs="Times New Roman"/>
          <w:sz w:val="20"/>
          <w:szCs w:val="20"/>
          <w:vertAlign w:val="superscript"/>
          <w:lang w:val="uk-UA" w:eastAsia="ru-RU"/>
        </w:rPr>
        <w:t>1</w:t>
      </w:r>
      <w:r w:rsidRPr="007F5B24">
        <w:rPr>
          <w:rFonts w:ascii="Times New Roman" w:eastAsia="Times New Roman" w:hAnsi="Times New Roman" w:cs="Times New Roman"/>
          <w:sz w:val="20"/>
          <w:szCs w:val="20"/>
          <w:lang w:val="uk-UA" w:eastAsia="ru-RU"/>
        </w:rPr>
        <w:t xml:space="preserve"> частини 1 ст. 4 Закону   № 2464, зобов’язані сплачувати за себе єдиний внесок, нарахований за календарний квартал, до 20 числа місяця, що настає за кварталом, за який сплачується єдиний внесок (абзац третій частини 8 ст. 9 Закону № 2464).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Частиною 5 ст. 8 Закону № 2464 для зазначеної категорії платників встановлена обов’язкова ставка єдиного внеску, що дорівнює 22 % бази нарахування.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Базою нарахування єдиного внеску для членів фермерського господарства, якщо вони не належать до осіб, які підлягають страхуванню на інших підставах, є сума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на місяць. У разі якщо таким платником не отримано дохід (прибуток) у звітному кварталі або окремому місяці звітного кварталу, такий платник зобов’язаний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1 ст. 7 Закону № 2464).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Єдиний внесок підлягає сплаті незалежно від фінансового стану платника (частина 12 ст. 9 Закону № 2464).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Право на звільнення від сплати єдиного внеску за себе мають члени фермерського господарства, якщо вони належать до осіб, які підлягають страхуванню на інших підставах, або отримують пенсію за віком, або є особами з інвалідністю, або досягли віку, встановленого ст. 26 Закону України від 09 липня 2003 року № 1058-ІV «Про загальнообов’язкове державне пенсійне страхування» із змінами, та отримують відповідно до закону пенсію або соціальну допомогу (частина 4 ст. 4 Закону № 2464). </w:t>
      </w:r>
    </w:p>
    <w:p w:rsidR="007971D0" w:rsidRPr="007F5B24" w:rsidRDefault="007971D0" w:rsidP="007971D0">
      <w:pPr>
        <w:rPr>
          <w:rFonts w:ascii="Times New Roman" w:eastAsia="Times New Roman" w:hAnsi="Times New Roman" w:cs="Times New Roman"/>
          <w:sz w:val="20"/>
          <w:szCs w:val="20"/>
          <w:lang w:val="uk-UA"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До уваги платників!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Кваліфікований надавач електронних довірчих послуг Інформаційно-довідкового департаменту ДПС (далі – Надавач) на головній сторінці офіційного інформаційного ресурсу (</w:t>
      </w:r>
      <w:hyperlink r:id="rId7" w:history="1">
        <w:r w:rsidRPr="007F5B24">
          <w:rPr>
            <w:rFonts w:ascii="Times New Roman" w:eastAsia="Times New Roman" w:hAnsi="Times New Roman" w:cs="Times New Roman"/>
            <w:color w:val="0000FF"/>
            <w:sz w:val="20"/>
            <w:szCs w:val="20"/>
            <w:u w:val="single"/>
            <w:lang w:val="uk-UA" w:eastAsia="ru-RU"/>
          </w:rPr>
          <w:t>https://acskidd.gov.ua/</w:t>
        </w:r>
      </w:hyperlink>
      <w:r w:rsidRPr="007F5B24">
        <w:rPr>
          <w:rFonts w:ascii="Times New Roman" w:eastAsia="Times New Roman" w:hAnsi="Times New Roman" w:cs="Times New Roman"/>
          <w:sz w:val="20"/>
          <w:szCs w:val="20"/>
          <w:lang w:val="uk-UA" w:eastAsia="ru-RU"/>
        </w:rPr>
        <w:t xml:space="preserve">) повідомив про наступне.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 метою забезпечення надання кваліфікованих електронних довірчих послуг (далі – ЕДП) на період здійснення заходів, спрямованих на запобігання виникненню та поширенню </w:t>
      </w:r>
      <w:proofErr w:type="spellStart"/>
      <w:r w:rsidRPr="007F5B24">
        <w:rPr>
          <w:rFonts w:ascii="Times New Roman" w:eastAsia="Times New Roman" w:hAnsi="Times New Roman" w:cs="Times New Roman"/>
          <w:sz w:val="20"/>
          <w:szCs w:val="20"/>
          <w:lang w:val="uk-UA" w:eastAsia="ru-RU"/>
        </w:rPr>
        <w:t>коронавірусу</w:t>
      </w:r>
      <w:proofErr w:type="spellEnd"/>
      <w:r w:rsidRPr="007F5B24">
        <w:rPr>
          <w:rFonts w:ascii="Times New Roman" w:eastAsia="Times New Roman" w:hAnsi="Times New Roman" w:cs="Times New Roman"/>
          <w:sz w:val="20"/>
          <w:szCs w:val="20"/>
          <w:lang w:val="uk-UA" w:eastAsia="ru-RU"/>
        </w:rPr>
        <w:t xml:space="preserve"> COVID-19 на території України та у зв’язку із прийняттям постанови Кабінету Міністрів України від 22 липня 2020 року № 641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w:t>
      </w:r>
      <w:proofErr w:type="spellStart"/>
      <w:r w:rsidRPr="007F5B24">
        <w:rPr>
          <w:rFonts w:ascii="Times New Roman" w:eastAsia="Times New Roman" w:hAnsi="Times New Roman" w:cs="Times New Roman"/>
          <w:sz w:val="20"/>
          <w:szCs w:val="20"/>
          <w:lang w:val="uk-UA" w:eastAsia="ru-RU"/>
        </w:rPr>
        <w:t>коронавірусом</w:t>
      </w:r>
      <w:proofErr w:type="spellEnd"/>
      <w:r w:rsidRPr="007F5B24">
        <w:rPr>
          <w:rFonts w:ascii="Times New Roman" w:eastAsia="Times New Roman" w:hAnsi="Times New Roman" w:cs="Times New Roman"/>
          <w:sz w:val="20"/>
          <w:szCs w:val="20"/>
          <w:lang w:val="uk-UA" w:eastAsia="ru-RU"/>
        </w:rPr>
        <w:t xml:space="preserve"> SARS-CoV-2» (зі змінами) Надавач повідомляє, що надання ЕДП здійснюватиметься лише за наявності у клієнтів засобів захисту від респіраторних захворювань та з обмеженою кількістю одночасного перебування людей у приміщеннях відокремлених пунктів реєстрації (далі – ВПР), в залежності від кількості працюючих робочих місць (на 1 працівника ВПР 1 відвідувач).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отримання ЕДП користувачу необхідно: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ознайомитись з Регламентом Надавача (зі змінами) та умовами Договору про надання ЕДП;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здійснити попередній запис до відповідного ВПР (у разі потреби отримати консультацію) засобами телефонного зв’язку починаючи з 8 год. 00 хв. (режим роботи ВПР та засоби зв’язку опубліковані на офіційному інформаційному ресурсі Надавача у розділі «Контакти». Звертаємо увагу на те, що попередній запис здійснюється протягом дня на наступний робочий день (рекомендований час попереднього запису з 8 год. 00 хв. до 10 год. 00 хв.);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підготувати необхідний перелік реєстраційних документів для отримання ЕДП, з яким можливо ознайомитись у розділі </w:t>
      </w:r>
      <w:hyperlink r:id="rId8" w:history="1">
        <w:r w:rsidRPr="007F5B24">
          <w:rPr>
            <w:rFonts w:ascii="Times New Roman" w:eastAsia="Times New Roman" w:hAnsi="Times New Roman" w:cs="Times New Roman"/>
            <w:color w:val="0000FF"/>
            <w:sz w:val="20"/>
            <w:szCs w:val="20"/>
            <w:u w:val="single"/>
            <w:lang w:val="uk-UA" w:eastAsia="ru-RU"/>
          </w:rPr>
          <w:t>«Отримання електронних довірчих послуг»</w:t>
        </w:r>
      </w:hyperlink>
      <w:r w:rsidRPr="007F5B24">
        <w:rPr>
          <w:rFonts w:ascii="Times New Roman" w:eastAsia="Times New Roman" w:hAnsi="Times New Roman" w:cs="Times New Roman"/>
          <w:sz w:val="20"/>
          <w:szCs w:val="20"/>
          <w:lang w:val="uk-UA" w:eastAsia="ru-RU"/>
        </w:rPr>
        <w:t xml:space="preserve"> офіційного інформаційного ресурсу Надавача, обравши відповідну категорію;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прийти у відповідний ВПР на зазначений час з оригіналами документів для ідентифікації користувача та передачі необхідних для реєстрації документів (ВПР не надає послуги з копіювання, друку та заповнення реєстраційних карток, бланків та інших документів, а також не здійснює продаж або безоплатне надання захищених носіїв особистих ключів). </w:t>
      </w:r>
    </w:p>
    <w:p w:rsidR="001370F6" w:rsidRDefault="001370F6" w:rsidP="007971D0">
      <w:pPr>
        <w:jc w:val="left"/>
        <w:outlineLvl w:val="0"/>
        <w:rPr>
          <w:rFonts w:ascii="Times New Roman" w:eastAsia="Times New Roman" w:hAnsi="Times New Roman" w:cs="Times New Roman"/>
          <w:b/>
          <w:bCs/>
          <w:kern w:val="36"/>
          <w:sz w:val="20"/>
          <w:szCs w:val="20"/>
          <w:lang w:val="en-US" w:eastAsia="ru-RU"/>
        </w:rPr>
      </w:pPr>
    </w:p>
    <w:p w:rsidR="00F30E1F" w:rsidRPr="007F5B24" w:rsidRDefault="00F30E1F"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Шановні платники! На період карантину користуйтеся дистанційним форматом спілкування та електронними сервісами ДПС! </w:t>
      </w:r>
    </w:p>
    <w:p w:rsidR="00F30E1F"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Н</w:t>
      </w:r>
      <w:r w:rsidR="00F30E1F" w:rsidRPr="007F5B24">
        <w:rPr>
          <w:rFonts w:ascii="Times New Roman" w:eastAsia="Times New Roman" w:hAnsi="Times New Roman" w:cs="Times New Roman"/>
          <w:sz w:val="20"/>
          <w:szCs w:val="20"/>
          <w:lang w:val="uk-UA" w:eastAsia="ru-RU"/>
        </w:rPr>
        <w:t>агадує</w:t>
      </w:r>
      <w:r w:rsidRPr="007F5B24">
        <w:rPr>
          <w:rFonts w:ascii="Times New Roman" w:eastAsia="Times New Roman" w:hAnsi="Times New Roman" w:cs="Times New Roman"/>
          <w:sz w:val="20"/>
          <w:szCs w:val="20"/>
          <w:lang w:val="uk-UA" w:eastAsia="ru-RU"/>
        </w:rPr>
        <w:t>мо</w:t>
      </w:r>
      <w:r w:rsidR="00F30E1F" w:rsidRPr="007F5B24">
        <w:rPr>
          <w:rFonts w:ascii="Times New Roman" w:eastAsia="Times New Roman" w:hAnsi="Times New Roman" w:cs="Times New Roman"/>
          <w:sz w:val="20"/>
          <w:szCs w:val="20"/>
          <w:lang w:val="uk-UA" w:eastAsia="ru-RU"/>
        </w:rPr>
        <w:t xml:space="preserve">, що сьогодні у платників є можливість отримати всю необхідну інформацію, довідки, консультації, подати звітність до податкових органів без особистих візитів до податкових органів.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комфорту, економії часу, особливо для власної безпеки під час дії карантину, використання дистанційних комунікацій є найбільш раціональним. Тому особливу роль у доведенні інформації до платника сьогодні виконує Інтернет.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Офіційними джерелами інформації у мережі Інтернет для суспільства є </w:t>
      </w:r>
      <w:proofErr w:type="spellStart"/>
      <w:r w:rsidRPr="007F5B24">
        <w:rPr>
          <w:rFonts w:ascii="Times New Roman" w:eastAsia="Times New Roman" w:hAnsi="Times New Roman" w:cs="Times New Roman"/>
          <w:sz w:val="20"/>
          <w:szCs w:val="20"/>
          <w:lang w:val="uk-UA" w:eastAsia="ru-RU"/>
        </w:rPr>
        <w:t>вебпортал</w:t>
      </w:r>
      <w:proofErr w:type="spellEnd"/>
      <w:r w:rsidRPr="007F5B24">
        <w:rPr>
          <w:rFonts w:ascii="Times New Roman" w:eastAsia="Times New Roman" w:hAnsi="Times New Roman" w:cs="Times New Roman"/>
          <w:sz w:val="20"/>
          <w:szCs w:val="20"/>
          <w:lang w:val="uk-UA" w:eastAsia="ru-RU"/>
        </w:rPr>
        <w:t xml:space="preserve"> «Державна податкова служба України» та </w:t>
      </w:r>
      <w:proofErr w:type="spellStart"/>
      <w:r w:rsidRPr="007F5B24">
        <w:rPr>
          <w:rFonts w:ascii="Times New Roman" w:eastAsia="Times New Roman" w:hAnsi="Times New Roman" w:cs="Times New Roman"/>
          <w:sz w:val="20"/>
          <w:szCs w:val="20"/>
          <w:lang w:val="uk-UA" w:eastAsia="ru-RU"/>
        </w:rPr>
        <w:t>субсайти</w:t>
      </w:r>
      <w:proofErr w:type="spellEnd"/>
      <w:r w:rsidRPr="007F5B24">
        <w:rPr>
          <w:rFonts w:ascii="Times New Roman" w:eastAsia="Times New Roman" w:hAnsi="Times New Roman" w:cs="Times New Roman"/>
          <w:sz w:val="20"/>
          <w:szCs w:val="20"/>
          <w:lang w:val="uk-UA" w:eastAsia="ru-RU"/>
        </w:rPr>
        <w:t xml:space="preserve"> територіальних органів ДПС областей, зокрема </w:t>
      </w:r>
      <w:proofErr w:type="spellStart"/>
      <w:r w:rsidRPr="007F5B24">
        <w:rPr>
          <w:rFonts w:ascii="Times New Roman" w:eastAsia="Times New Roman" w:hAnsi="Times New Roman" w:cs="Times New Roman"/>
          <w:sz w:val="20"/>
          <w:szCs w:val="20"/>
          <w:lang w:val="uk-UA" w:eastAsia="ru-RU"/>
        </w:rPr>
        <w:t>субсайт</w:t>
      </w:r>
      <w:proofErr w:type="spellEnd"/>
      <w:r w:rsidRPr="007F5B24">
        <w:rPr>
          <w:rFonts w:ascii="Times New Roman" w:eastAsia="Times New Roman" w:hAnsi="Times New Roman" w:cs="Times New Roman"/>
          <w:sz w:val="20"/>
          <w:szCs w:val="20"/>
          <w:lang w:val="uk-UA" w:eastAsia="ru-RU"/>
        </w:rPr>
        <w:t xml:space="preserve"> «Територіальні органи ДПС у Дніпропетровській області» (далі – </w:t>
      </w:r>
      <w:proofErr w:type="spellStart"/>
      <w:r w:rsidRPr="007F5B24">
        <w:rPr>
          <w:rFonts w:ascii="Times New Roman" w:eastAsia="Times New Roman" w:hAnsi="Times New Roman" w:cs="Times New Roman"/>
          <w:sz w:val="20"/>
          <w:szCs w:val="20"/>
          <w:lang w:val="uk-UA" w:eastAsia="ru-RU"/>
        </w:rPr>
        <w:t>субсайт</w:t>
      </w:r>
      <w:proofErr w:type="spellEnd"/>
      <w:r w:rsidRPr="007F5B24">
        <w:rPr>
          <w:rFonts w:ascii="Times New Roman" w:eastAsia="Times New Roman" w:hAnsi="Times New Roman" w:cs="Times New Roman"/>
          <w:sz w:val="20"/>
          <w:szCs w:val="20"/>
          <w:lang w:val="uk-UA" w:eastAsia="ru-RU"/>
        </w:rPr>
        <w:t xml:space="preserve">). На </w:t>
      </w:r>
      <w:proofErr w:type="spellStart"/>
      <w:r w:rsidRPr="007F5B24">
        <w:rPr>
          <w:rFonts w:ascii="Times New Roman" w:eastAsia="Times New Roman" w:hAnsi="Times New Roman" w:cs="Times New Roman"/>
          <w:sz w:val="20"/>
          <w:szCs w:val="20"/>
          <w:lang w:val="uk-UA" w:eastAsia="ru-RU"/>
        </w:rPr>
        <w:t>субсайті</w:t>
      </w:r>
      <w:proofErr w:type="spellEnd"/>
      <w:r w:rsidRPr="007F5B24">
        <w:rPr>
          <w:rFonts w:ascii="Times New Roman" w:eastAsia="Times New Roman" w:hAnsi="Times New Roman" w:cs="Times New Roman"/>
          <w:sz w:val="20"/>
          <w:szCs w:val="20"/>
          <w:lang w:val="uk-UA" w:eastAsia="ru-RU"/>
        </w:rPr>
        <w:t xml:space="preserve"> (</w:t>
      </w:r>
      <w:hyperlink r:id="rId9" w:history="1">
        <w:r w:rsidRPr="007F5B24">
          <w:rPr>
            <w:rFonts w:ascii="Times New Roman" w:eastAsia="Times New Roman" w:hAnsi="Times New Roman" w:cs="Times New Roman"/>
            <w:color w:val="0000FF"/>
            <w:sz w:val="20"/>
            <w:szCs w:val="20"/>
            <w:u w:val="single"/>
            <w:lang w:val="uk-UA" w:eastAsia="ru-RU"/>
          </w:rPr>
          <w:t>http://dp.tax.gov.ua</w:t>
        </w:r>
      </w:hyperlink>
      <w:r w:rsidRPr="007F5B24">
        <w:rPr>
          <w:rFonts w:ascii="Times New Roman" w:eastAsia="Times New Roman" w:hAnsi="Times New Roman" w:cs="Times New Roman"/>
          <w:sz w:val="20"/>
          <w:szCs w:val="20"/>
          <w:lang w:val="uk-UA" w:eastAsia="ru-RU"/>
        </w:rPr>
        <w:t xml:space="preserve">) розміщується актуальна, щоденно поновлювана та важлива інформація для платників податків.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 умовах дії карантину залишається актуальним також максимальне використання електронних сервісів Державної податкової служби України, зокрема ІТС «Електронний кабінет», вхід до якого здійснюється за адресою: </w:t>
      </w:r>
      <w:hyperlink r:id="rId10" w:tgtFrame="_blank" w:history="1">
        <w:r w:rsidRPr="007F5B24">
          <w:rPr>
            <w:rFonts w:ascii="Times New Roman" w:eastAsia="Times New Roman" w:hAnsi="Times New Roman" w:cs="Times New Roman"/>
            <w:color w:val="0000FF"/>
            <w:sz w:val="20"/>
            <w:szCs w:val="20"/>
            <w:u w:val="single"/>
            <w:lang w:val="uk-UA" w:eastAsia="ru-RU"/>
          </w:rPr>
          <w:t>http://cabinet.tax.gov.ua</w:t>
        </w:r>
      </w:hyperlink>
      <w:r w:rsidRPr="007F5B24">
        <w:rPr>
          <w:rFonts w:ascii="Times New Roman" w:eastAsia="Times New Roman" w:hAnsi="Times New Roman" w:cs="Times New Roman"/>
          <w:sz w:val="20"/>
          <w:szCs w:val="20"/>
          <w:lang w:val="uk-UA" w:eastAsia="ru-RU"/>
        </w:rPr>
        <w:t xml:space="preserve">, а також через офіційний </w:t>
      </w:r>
      <w:proofErr w:type="spellStart"/>
      <w:r w:rsidRPr="007F5B24">
        <w:rPr>
          <w:rFonts w:ascii="Times New Roman" w:eastAsia="Times New Roman" w:hAnsi="Times New Roman" w:cs="Times New Roman"/>
          <w:sz w:val="20"/>
          <w:szCs w:val="20"/>
          <w:lang w:val="uk-UA" w:eastAsia="ru-RU"/>
        </w:rPr>
        <w:t>вебпортал</w:t>
      </w:r>
      <w:proofErr w:type="spellEnd"/>
      <w:r w:rsidRPr="007F5B24">
        <w:rPr>
          <w:rFonts w:ascii="Times New Roman" w:eastAsia="Times New Roman" w:hAnsi="Times New Roman" w:cs="Times New Roman"/>
          <w:sz w:val="20"/>
          <w:szCs w:val="20"/>
          <w:lang w:val="uk-UA" w:eastAsia="ru-RU"/>
        </w:rPr>
        <w:t xml:space="preserve"> ДПС. </w:t>
      </w:r>
    </w:p>
    <w:p w:rsidR="00F30E1F" w:rsidRPr="007F5B24" w:rsidRDefault="00F30E1F"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виникнення питань щодо користування Електронним кабінетом слід звернутись до служби підтримки за телефоном 0800501007 (напрямок 0) або за посиланням </w:t>
      </w:r>
      <w:hyperlink r:id="rId11" w:tgtFrame="_blank" w:history="1">
        <w:r w:rsidRPr="007F5B24">
          <w:rPr>
            <w:rFonts w:ascii="Times New Roman" w:eastAsia="Times New Roman" w:hAnsi="Times New Roman" w:cs="Times New Roman"/>
            <w:color w:val="0000FF"/>
            <w:sz w:val="20"/>
            <w:szCs w:val="20"/>
            <w:u w:val="single"/>
            <w:lang w:val="uk-UA" w:eastAsia="ru-RU"/>
          </w:rPr>
          <w:t>http://cabinet.tax.gov.ua/help/</w:t>
        </w:r>
      </w:hyperlink>
      <w:r w:rsidRPr="007F5B24">
        <w:rPr>
          <w:rFonts w:ascii="Times New Roman" w:eastAsia="Times New Roman" w:hAnsi="Times New Roman" w:cs="Times New Roman"/>
          <w:sz w:val="20"/>
          <w:szCs w:val="20"/>
          <w:lang w:val="uk-UA" w:eastAsia="ru-RU"/>
        </w:rPr>
        <w:t xml:space="preserve">. </w:t>
      </w:r>
    </w:p>
    <w:p w:rsidR="007971D0" w:rsidRPr="007F5B24" w:rsidRDefault="007971D0" w:rsidP="007971D0">
      <w:pPr>
        <w:rPr>
          <w:rFonts w:ascii="Times New Roman" w:eastAsia="Times New Roman" w:hAnsi="Times New Roman" w:cs="Times New Roman"/>
          <w:b/>
          <w:sz w:val="20"/>
          <w:szCs w:val="20"/>
          <w:lang w:val="uk-UA" w:eastAsia="ru-RU"/>
        </w:rPr>
      </w:pPr>
    </w:p>
    <w:p w:rsidR="00870E32" w:rsidRPr="007F5B24" w:rsidRDefault="00870E32"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За вісім місяців поточного року Центрами обслуговування платників Дніпропетровщини надано 160,7 тис. адміністративних послуг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При державних податкових інспекціях Головного управління ДПС у Дніпропетровській області функціонують 37 Центрів обслуговування платників (ЦОП), де платники податків можуть отримати широкий спектр послуг: інформаційних, консультативних та адміністративних. Крім того, почав свою роботу мобільний ЦОП.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Центрами забезпечується надання 31 виду адміністративних послуг.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7F5B24">
        <w:rPr>
          <w:rFonts w:ascii="Times New Roman" w:eastAsia="Times New Roman" w:hAnsi="Times New Roman" w:cs="Times New Roman"/>
          <w:sz w:val="20"/>
          <w:szCs w:val="20"/>
          <w:lang w:val="uk-UA" w:eastAsia="ru-RU"/>
        </w:rPr>
        <w:t>субсайті</w:t>
      </w:r>
      <w:proofErr w:type="spellEnd"/>
      <w:r w:rsidRPr="007F5B24">
        <w:rPr>
          <w:rFonts w:ascii="Times New Roman" w:eastAsia="Times New Roman" w:hAnsi="Times New Roman" w:cs="Times New Roman"/>
          <w:sz w:val="20"/>
          <w:szCs w:val="20"/>
          <w:lang w:val="uk-UA" w:eastAsia="ru-RU"/>
        </w:rPr>
        <w:t xml:space="preserve"> «Територіальні органи ДПС у Дніпропетровській області» у розділі «Адміністративні послуги».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Загалом у січні – серпні 2020 року працівниками ЦОП опрацьовано 188,9 тис. звернень у сфері надання адміністративних та інших послуг, з яких 184,1 тис. надано адміністративні послуги.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зв’язку із прийняттям постанови Кабінету Міністрів України від 20 травня 2020 року №392 «Про встановлення карантину з метою запобігання поширенню на території України гострої респіраторної хвороби COVID-19, спричиненої </w:t>
      </w:r>
      <w:proofErr w:type="spellStart"/>
      <w:r w:rsidRPr="007F5B24">
        <w:rPr>
          <w:rFonts w:ascii="Times New Roman" w:eastAsia="Times New Roman" w:hAnsi="Times New Roman" w:cs="Times New Roman"/>
          <w:sz w:val="20"/>
          <w:szCs w:val="20"/>
          <w:lang w:val="uk-UA" w:eastAsia="ru-RU"/>
        </w:rPr>
        <w:t>коронавірусом</w:t>
      </w:r>
      <w:proofErr w:type="spellEnd"/>
      <w:r w:rsidRPr="007F5B24">
        <w:rPr>
          <w:rFonts w:ascii="Times New Roman" w:eastAsia="Times New Roman" w:hAnsi="Times New Roman" w:cs="Times New Roman"/>
          <w:sz w:val="20"/>
          <w:szCs w:val="20"/>
          <w:lang w:val="uk-UA" w:eastAsia="ru-RU"/>
        </w:rPr>
        <w:t xml:space="preserve"> SARS-Co-V-2, та етапів послаблення протиепідемічних заходів», прийом платників здійснюється за попереднім записом. Для листування та подання звітності платниками, що не мають змоги використовувати електронні сервіси, в будівлях ЦОП розміщені поштові скриньки з метою обмеження особистого спілкування працівників ЦОП з платниками податків. </w:t>
      </w:r>
    </w:p>
    <w:p w:rsidR="007971D0"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Також, ви можете переглянути </w:t>
      </w:r>
      <w:proofErr w:type="spellStart"/>
      <w:r w:rsidRPr="007F5B24">
        <w:rPr>
          <w:rFonts w:ascii="Times New Roman" w:eastAsia="Times New Roman" w:hAnsi="Times New Roman" w:cs="Times New Roman"/>
          <w:sz w:val="20"/>
          <w:szCs w:val="20"/>
          <w:lang w:val="uk-UA" w:eastAsia="ru-RU"/>
        </w:rPr>
        <w:t>відеоуроки</w:t>
      </w:r>
      <w:proofErr w:type="spellEnd"/>
      <w:r w:rsidRPr="007F5B24">
        <w:rPr>
          <w:rFonts w:ascii="Times New Roman" w:eastAsia="Times New Roman" w:hAnsi="Times New Roman" w:cs="Times New Roman"/>
          <w:sz w:val="20"/>
          <w:szCs w:val="20"/>
          <w:lang w:val="uk-UA" w:eastAsia="ru-RU"/>
        </w:rPr>
        <w:t xml:space="preserve">, які оприлюднені на порталі ДПС України з роз’ясненнями як користуватися електронними сервісами ДПС за посиланням </w:t>
      </w:r>
      <w:hyperlink r:id="rId12" w:history="1">
        <w:r w:rsidRPr="007F5B24">
          <w:rPr>
            <w:rFonts w:ascii="Times New Roman" w:eastAsia="Times New Roman" w:hAnsi="Times New Roman" w:cs="Times New Roman"/>
            <w:color w:val="0000FF"/>
            <w:sz w:val="20"/>
            <w:szCs w:val="20"/>
            <w:u w:val="single"/>
            <w:lang w:val="uk-UA" w:eastAsia="ru-RU"/>
          </w:rPr>
          <w:t>https://www.tax.gov.ua/media-tsentr/videogalereya/videouroki/</w:t>
        </w:r>
      </w:hyperlink>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p>
    <w:p w:rsidR="00870E32" w:rsidRPr="007F5B24" w:rsidRDefault="00870E32"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На сеансі телефонного зв’язку «гаряча лінія» про актуальне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Головному управлінні ДПС у Дніпропетровській області відбувся сеанс телефонного зв’язку «гаряча лінія» на тему </w:t>
      </w:r>
      <w:r w:rsidRPr="007F5B24">
        <w:rPr>
          <w:rFonts w:ascii="Times New Roman" w:eastAsia="Times New Roman" w:hAnsi="Times New Roman" w:cs="Times New Roman"/>
          <w:b/>
          <w:bCs/>
          <w:sz w:val="20"/>
          <w:szCs w:val="20"/>
          <w:lang w:val="uk-UA" w:eastAsia="ru-RU"/>
        </w:rPr>
        <w:t>«Закони України № 466 та № 786: новації податкового законодавства. Зупинення реєстрації податкових накладних»</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 питання платників відповідала заступник начальника управління – начальник відділу інформаційної політики та адміністрування </w:t>
      </w:r>
      <w:proofErr w:type="spellStart"/>
      <w:r w:rsidRPr="007F5B24">
        <w:rPr>
          <w:rFonts w:ascii="Times New Roman" w:eastAsia="Times New Roman" w:hAnsi="Times New Roman" w:cs="Times New Roman"/>
          <w:sz w:val="20"/>
          <w:szCs w:val="20"/>
          <w:lang w:val="uk-UA" w:eastAsia="ru-RU"/>
        </w:rPr>
        <w:t>субсайту</w:t>
      </w:r>
      <w:proofErr w:type="spellEnd"/>
      <w:r w:rsidRPr="007F5B24">
        <w:rPr>
          <w:rFonts w:ascii="Times New Roman" w:eastAsia="Times New Roman" w:hAnsi="Times New Roman" w:cs="Times New Roman"/>
          <w:sz w:val="20"/>
          <w:szCs w:val="20"/>
          <w:lang w:val="uk-UA" w:eastAsia="ru-RU"/>
        </w:rPr>
        <w:t xml:space="preserve"> організаційно-розпорядчого управління ГУ ДПС </w:t>
      </w:r>
      <w:proofErr w:type="spellStart"/>
      <w:r w:rsidRPr="007F5B24">
        <w:rPr>
          <w:rFonts w:ascii="Times New Roman" w:eastAsia="Times New Roman" w:hAnsi="Times New Roman" w:cs="Times New Roman"/>
          <w:sz w:val="20"/>
          <w:szCs w:val="20"/>
          <w:lang w:val="uk-UA" w:eastAsia="ru-RU"/>
        </w:rPr>
        <w:t>Манушак</w:t>
      </w:r>
      <w:proofErr w:type="spellEnd"/>
      <w:r w:rsidRPr="007F5B24">
        <w:rPr>
          <w:rFonts w:ascii="Times New Roman" w:eastAsia="Times New Roman" w:hAnsi="Times New Roman" w:cs="Times New Roman"/>
          <w:sz w:val="20"/>
          <w:szCs w:val="20"/>
          <w:lang w:val="uk-UA" w:eastAsia="ru-RU"/>
        </w:rPr>
        <w:t xml:space="preserve"> Осипова.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Наводимо питання, які обговорювались під час сеансу телефонного зв’язку «гаряча лінія».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1</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Добрий день.</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Чи може бути підставою для формування податкового кредиту за операціями з ввезення товарів на митну територію України тимчасова митна декларація?</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lang w:val="uk-UA" w:eastAsia="ru-RU"/>
        </w:rPr>
        <w:t xml:space="preserve"> Добрий день. Законом України від 16 січня 2020 року № 466-IХ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викладено у новій редакції п. 198.6 ст. 198 Податкового кодексу України. Згідно із цим пунктом не відносяться до податкового кредиту суми ПДВ, сплаченого (нарахованого) у зв’язку з придбанням товарів/послуг, не підтверджені зареєстрованими в Єдиному реєстрі податкових накладних податковими накладними/розрахунками коригування до таких податкових накладних чи не підтверджені митними деклараціями (</w:t>
      </w:r>
      <w:r w:rsidRPr="007F5B24">
        <w:rPr>
          <w:rFonts w:ascii="Times New Roman" w:eastAsia="Times New Roman" w:hAnsi="Times New Roman" w:cs="Times New Roman"/>
          <w:b/>
          <w:bCs/>
          <w:sz w:val="20"/>
          <w:szCs w:val="20"/>
          <w:lang w:val="uk-UA" w:eastAsia="ru-RU"/>
        </w:rPr>
        <w:t>тимчасовими</w:t>
      </w:r>
      <w:r w:rsidRPr="007F5B24">
        <w:rPr>
          <w:rFonts w:ascii="Times New Roman" w:eastAsia="Times New Roman" w:hAnsi="Times New Roman" w:cs="Times New Roman"/>
          <w:sz w:val="20"/>
          <w:szCs w:val="20"/>
          <w:lang w:val="uk-UA" w:eastAsia="ru-RU"/>
        </w:rPr>
        <w:t xml:space="preserve">, додатковими та іншими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п. 201.11 ст. 201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якщо при ввезенні товарів на митну територію України платником ПДВ сплачено суму ПДВ до бюджету і така сплата підтверджується митними деклараціями, у тому числі </w:t>
      </w:r>
      <w:r w:rsidRPr="007F5B24">
        <w:rPr>
          <w:rFonts w:ascii="Times New Roman" w:eastAsia="Times New Roman" w:hAnsi="Times New Roman" w:cs="Times New Roman"/>
          <w:b/>
          <w:bCs/>
          <w:sz w:val="20"/>
          <w:szCs w:val="20"/>
          <w:lang w:val="uk-UA" w:eastAsia="ru-RU"/>
        </w:rPr>
        <w:t>тимчасовими</w:t>
      </w:r>
      <w:r w:rsidRPr="007F5B24">
        <w:rPr>
          <w:rFonts w:ascii="Times New Roman" w:eastAsia="Times New Roman" w:hAnsi="Times New Roman" w:cs="Times New Roman"/>
          <w:sz w:val="20"/>
          <w:szCs w:val="20"/>
          <w:lang w:val="uk-UA" w:eastAsia="ru-RU"/>
        </w:rPr>
        <w:t xml:space="preserve">, додатковими та іншими видами митних декларацій, за якими здійснюється така сплата суми ПДВ до бюджету при ввезенні товарів на митну територію України, платник ПДВ має право на включення такої суми ПДВ до складу податкового кредиту звітного періоду, в якому відбулося оформлення відповідної митної декларації. Для операцій із ввезення на митну територію України товарів датою внесення сум ПДВ до податкового кредиту є дата сплати ПДВ за податковими зобов’язаннями згідно з п. 187.8 ст. 187 ПКУ (відповідно до п. 198.2 ст. 198).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2</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Вітаю. Підкажіть, будь ласка, з якого періоду нараховується пеня при виявленні органом ДПС заниження податковим агентом податкового зобов’язання при нарахуванні (виплаті) оподатковуваного доходу на користь нерезидентів?</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lang w:val="uk-UA" w:eastAsia="ru-RU"/>
        </w:rPr>
        <w:t xml:space="preserve"> Вітаю.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Законом № 466 внесено зміни, зокрема до п. 121.1 ст. 121 Податкового кодексу України (далі –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Так, пеня нараховується при виявленні контролюючим органом за результатами перевірки заниження податковим агентом податкового зобов’язання при нарахуванні (виплаті) оподатковуваного доходу на користь нерезидентів або інших платників податків та/або несвоєчасної сплати, несплати (неперерахування) податковим агентом утриманих (нарахованих) податків до або під час виплати оподатковуваного доходу на користь нерезидента або іншого платника податків – починаючи з першого робочого дня, наступного за останнім днем граничного строку сплати податковим агентом суми податкового зобов’язання, визначеного ПКУ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129.1.4 п. 129.1 ст. 129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набирають чинності з 01 січня 2021 року.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3.</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Доброго дня. У мене таке питання: які податкові періоди застосовуються у разі подання Розрахунку частини чистого прибутку (доходу), дивідендів на державну частку до контролюючих органів?</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lang w:val="uk-UA" w:eastAsia="ru-RU"/>
        </w:rPr>
        <w:t xml:space="preserve"> Добрий день. Законом № 466 внесено ряд змін до ПКУ, зокрема у частині адміністрування контролюючими органами частини чистого прибутку (доходу) та дивідендів на державну частку.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 Законом № 466 розширено поняття «податкова декларація», визначене   п. 46.1 ст. 46 ПКУ, та викладено у новій редакції п. 46.2 ст. 46 ПКУ, відповідно до якого податковою декларацією, розрахунком є документ, що подається платником податків контролюючим органам у строки, встановлені законом, на підставі якого здійснюється нарахування та/або сплата грошового зобов’язання.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Розрахунок частини чистого прибутку (доходу), дивідендів на державну частку (далі – Розрахунок), який подається до контролюючих органів відповідно до іншого законодавства, контроль за дотриманням якого покладено на контролюючі органи, прирівнюється до податкової декларації (п. 46.1 ст. 46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Фінансова звітність або звіт про фінансовий стан (баланс) та звіт про прибутки та збитки та інший сукупний дохід (звіт про фінансові результати) є додатком до Розрахунку та його невід’ємною частиною (п. 46.2 ст. 46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Розрахунок складається наростаючим підсумком та подається до контролюючих органів разом з фінансовою звітністю у строки, передбачені ст. 49 ПКУ (п. 46.2 ст. 46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Крім того, Законом № 466 визначено базовий звітний (податковий) період для складання та подання до контролюючих органів Розрахунку.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Для частини чистого прибутку (доходу) податковими (звітними) періодами є календарні: квартал, півріччя, три квартали, рік.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При цьому для платників частини чистого прибутку (доходу) –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відсотків, що не прийняли рішення про нарахування дивідендів до 01 травня року, який настає за звітним, податковим (звітним) періодом є календарний рік (п. 46.2 ст. 46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4.</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Добрий день. Хочу запитати, які уточнення внесені Законом України № 786 щодо застосування штрафів за порушення граничних строків реєстрації податкових накладних?</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lang w:val="uk-UA" w:eastAsia="ru-RU"/>
        </w:rPr>
        <w:t xml:space="preserve"> Вітаю. Відповідно до запровадженого Законом № 466 нового п. 73 підрозділу 2 розділу ХХ «Перехідні положення» ПКУ підлягають перегляду неузгоджені та несплачені станом на 23 травня 2020 року штрафні санкції, нараховані з 01 січня 2017 року по 31 грудня 2019 року, за порушення платниками ПДВ граничного строку для реєстрації податкових накладних та/або розрахунків коригування до таких податкових накладних в Єдиному реєстрі податкових накладних, складених за: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операціями, що звільняються від оподаткування ПДВ;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операціями, що оподатковуються ПДВ за нульовою ставкою;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операціями, що передбачають надання податкової накладної </w:t>
      </w:r>
      <w:proofErr w:type="spellStart"/>
      <w:r w:rsidRPr="007F5B24">
        <w:rPr>
          <w:rFonts w:ascii="Times New Roman" w:eastAsia="Times New Roman" w:hAnsi="Times New Roman" w:cs="Times New Roman"/>
          <w:sz w:val="20"/>
          <w:szCs w:val="20"/>
          <w:lang w:val="uk-UA" w:eastAsia="ru-RU"/>
        </w:rPr>
        <w:t>отримувачу</w:t>
      </w:r>
      <w:proofErr w:type="spellEnd"/>
      <w:r w:rsidRPr="007F5B24">
        <w:rPr>
          <w:rFonts w:ascii="Times New Roman" w:eastAsia="Times New Roman" w:hAnsi="Times New Roman" w:cs="Times New Roman"/>
          <w:sz w:val="20"/>
          <w:szCs w:val="20"/>
          <w:lang w:val="uk-UA" w:eastAsia="ru-RU"/>
        </w:rPr>
        <w:t xml:space="preserve">(покупцю), а також податкової накладної, складеної відповідно до п. 198.5 ст. 198 ПКУ у разі здійснення операцій, визначених підпунктами «а» </w:t>
      </w:r>
      <w:r w:rsidRPr="007F5B24">
        <w:rPr>
          <w:rFonts w:ascii="Times New Roman" w:eastAsia="Times New Roman" w:hAnsi="Times New Roman" w:cs="Times New Roman"/>
          <w:b/>
          <w:bCs/>
          <w:sz w:val="20"/>
          <w:szCs w:val="20"/>
          <w:lang w:val="uk-UA" w:eastAsia="ru-RU"/>
        </w:rPr>
        <w:t>–</w:t>
      </w:r>
      <w:r w:rsidRPr="007F5B24">
        <w:rPr>
          <w:rFonts w:ascii="Times New Roman" w:eastAsia="Times New Roman" w:hAnsi="Times New Roman" w:cs="Times New Roman"/>
          <w:sz w:val="20"/>
          <w:szCs w:val="20"/>
          <w:lang w:val="uk-UA" w:eastAsia="ru-RU"/>
        </w:rPr>
        <w:t xml:space="preserve"> «г» пункту 198.5 ст. 198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відповідно до ст. 199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відповідно до абзацу одинадцятого п. 201.4 ст. 204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Ця норма поширюється на випадки, коли грошові зобов’язання неузгоджені (відповідні податкові повідомлення-рішення знаходяться в процедурі адміністративного або судового оскарження). У такому разі, контролюючий орган за місцем реєстрації платника податку має здійснити перерахунок суми штрафу і надіслати (вручити) такому платнику нове податкове повідомлення-рішення із зазначенням нових розмірів штрафів.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Закон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вніс дві суттєві зміни у цю процедуру.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По-перше, зазначені правила щодо перегляду штрафних санкцій були уточнені. Встановлено, що період, за який у платника ПДВ є право на перегляд, розпочинається з 01 січня 2017 року і закінчується 23 травня 2020 року (тобто датою набрання чинності Законом № 466, а не 31 грудня 2019 року, як передбачалося спочатку).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По-друге, розмір нарахованих і неузгоджених штрафів, які є предметом перегляду, знизили вдвічі від попередніх розмірів. Тобто штрафи становлять: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у разі відсутності реєстрації – 2,5 % від обсягу постачання без ПДВ, але не більше 1 700 гривень;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у разі несвоєчасної реєстрації – 1% від обсягу постачання без ПДВ, але не більше 510 гривень.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Таким чином, ці перехідні штрафи є меншими за ті, що передбачені за аналогічні порушення у статті 120 ПКУ в редакції Закону № 466.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Нові повідомлення-рішення надсилаються платникам ПДВ податковими органами і не потребують подання додаткових заяв чи звернень.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5.</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Добрий день. У мене питання: з якого періоду фізичні особи – підприємці – «спрощенці» другої групи мають право не застосовувати книги обліку доходів?</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lang w:val="uk-UA" w:eastAsia="ru-RU"/>
        </w:rPr>
        <w:t xml:space="preserve"> Вітаю.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Закону № 786 з </w:t>
      </w:r>
      <w:r w:rsidRPr="007F5B24">
        <w:rPr>
          <w:rFonts w:ascii="Times New Roman" w:eastAsia="Times New Roman" w:hAnsi="Times New Roman" w:cs="Times New Roman"/>
          <w:b/>
          <w:bCs/>
          <w:sz w:val="20"/>
          <w:szCs w:val="20"/>
          <w:lang w:val="uk-UA" w:eastAsia="ru-RU"/>
        </w:rPr>
        <w:t>01.01.2021</w:t>
      </w:r>
      <w:r w:rsidRPr="007F5B24">
        <w:rPr>
          <w:rFonts w:ascii="Times New Roman" w:eastAsia="Times New Roman" w:hAnsi="Times New Roman" w:cs="Times New Roman"/>
          <w:sz w:val="20"/>
          <w:szCs w:val="20"/>
          <w:lang w:val="uk-UA" w:eastAsia="ru-RU"/>
        </w:rPr>
        <w:t xml:space="preserve"> скасовується обов’язок ведення книги обліку доходів для фізичних осіб – підприємців (далі –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платників єдиного податку першої – третьої груп. При цьому, такі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будуть зобов’язані вести облік діяльності у довільній формі в паперовому та/або електронному вигляді, а саме: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платники єдиного податку першої і другої груп та третьої групи – неплатники ПДВ вестимуть облік діяльності у довільній формі шляхом помісячного відображення отриманих доходів;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w:t>
      </w:r>
      <w:proofErr w:type="spellStart"/>
      <w:r w:rsidRPr="007F5B24">
        <w:rPr>
          <w:rFonts w:ascii="Times New Roman" w:eastAsia="Times New Roman" w:hAnsi="Times New Roman" w:cs="Times New Roman"/>
          <w:sz w:val="20"/>
          <w:szCs w:val="20"/>
          <w:lang w:val="uk-UA" w:eastAsia="ru-RU"/>
        </w:rPr>
        <w:t>єдинники</w:t>
      </w:r>
      <w:proofErr w:type="spellEnd"/>
      <w:r w:rsidRPr="007F5B24">
        <w:rPr>
          <w:rFonts w:ascii="Times New Roman" w:eastAsia="Times New Roman" w:hAnsi="Times New Roman" w:cs="Times New Roman"/>
          <w:sz w:val="20"/>
          <w:szCs w:val="20"/>
          <w:lang w:val="uk-UA" w:eastAsia="ru-RU"/>
        </w:rPr>
        <w:t xml:space="preserve">» третьої групи – платники ПДВ такий облік будуть вести у довільній формі шляхом помісячного відображення доходів та витрат.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оновленим п. 296.1 ст. 296 Податкового кодексу України (далі –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Слід зазначити, що до 31.12.2020 згідно з вимогами ПКУ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платники єдиного податку першої – третьої груп, які не є платниками ПДВ, ведуть за встановленою формою Книгу обліку доходів шляхом щоденного, за підсумками робочого дня, відображення отриманих доходів, а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w:t>
      </w:r>
      <w:proofErr w:type="spellStart"/>
      <w:r w:rsidRPr="007F5B24">
        <w:rPr>
          <w:rFonts w:ascii="Times New Roman" w:eastAsia="Times New Roman" w:hAnsi="Times New Roman" w:cs="Times New Roman"/>
          <w:sz w:val="20"/>
          <w:szCs w:val="20"/>
          <w:lang w:val="uk-UA" w:eastAsia="ru-RU"/>
        </w:rPr>
        <w:t>єдинники</w:t>
      </w:r>
      <w:proofErr w:type="spellEnd"/>
      <w:r w:rsidRPr="007F5B24">
        <w:rPr>
          <w:rFonts w:ascii="Times New Roman" w:eastAsia="Times New Roman" w:hAnsi="Times New Roman" w:cs="Times New Roman"/>
          <w:sz w:val="20"/>
          <w:szCs w:val="20"/>
          <w:lang w:val="uk-UA" w:eastAsia="ru-RU"/>
        </w:rPr>
        <w:t xml:space="preserve">» третьої групи – платники ПДВ – ведуть Книгу обліку доходів та витрат.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6.</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Добрий день. У мене зупинена реєстрація податкової накладної в ЄРПН. В який термін необхідно подати скаргу на рішення про відмову в реєстрації податкової накладної?</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u w:val="single"/>
          <w:lang w:val="uk-UA" w:eastAsia="ru-RU"/>
        </w:rPr>
        <w:t>.</w:t>
      </w:r>
      <w:r w:rsidRPr="007F5B24">
        <w:rPr>
          <w:rFonts w:ascii="Times New Roman" w:eastAsia="Times New Roman" w:hAnsi="Times New Roman" w:cs="Times New Roman"/>
          <w:sz w:val="20"/>
          <w:szCs w:val="20"/>
          <w:lang w:val="uk-UA" w:eastAsia="ru-RU"/>
        </w:rPr>
        <w:t xml:space="preserve"> Вітаю.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зупинення реєстрації податкової накладної/розрахунку коригування (далі – ПН/РК) в Єдиному реєстрі податкових накладних (далі – ЄРПН) контролюючий орган протягом операційного дня надсилає в автоматичному режимі платнику ПДВ квитанцію про зупинення реєстрації ПН/РК в ЄРПН.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Платник ПДВ має право подати до контролюючого органу пояснення та копії документів до зупинених ПН/РК протягом 365 календарних днів, що настають за датою виникнення податкового зобов’язання, відображеного в ПН/РК. Комісія регіонального рівня розглядає подані пояснення та копії документів до зупинених ПН/РК протягом 5 робочих днів та приймає одне з рішень: про реєстрацію ПН/РК, після чого ПН/РК реєструється в ЄРПН за умови наявного ліміту або відмову в такій реєстрації.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коли комісією регіонального рівня прийнято рішення про відмову в реєстрації ПН/РК, платник ПДВ має право оскаржити таке рішення в адміністративному порядку, шляхом направлення протягом 10 робочих днів скарги з поясненнями та копіями документів до комісії центрального рівня (згідно з п. 56.3 ст. 56 ПКУ скарга подається до </w:t>
      </w:r>
      <w:r w:rsidRPr="007F5B24">
        <w:rPr>
          <w:rFonts w:ascii="Times New Roman" w:eastAsia="Times New Roman" w:hAnsi="Times New Roman" w:cs="Times New Roman"/>
          <w:sz w:val="20"/>
          <w:szCs w:val="20"/>
          <w:lang w:val="uk-UA" w:eastAsia="ru-RU"/>
        </w:rPr>
        <w:lastRenderedPageBreak/>
        <w:t xml:space="preserve">контролюючого органу вищого рівня у письмовій формі (за потреби – з належним чином засвідченими копіями документів, розрахунками та доказами, які платник податків вважає за потрібне надати з урахуванням вимог п. 44.6 ст. 44 ПКУ)).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п. 5 Порядку розгляду скарги щодо рішення про відмову в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скарга подається платником ПДВ в електронній формі засобами електронного зв’язку з урахуванням вимог законів України «Про електронні документи та електронний документообіг», та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Комісія центрального рівня протягом 10 календарних днів розглядає скаргу з поясненнями та копіями документів та приймає одне з рішень: задовольняє скаргу та скасовує рішення комісії регіонального рівня про відмову в реєстрації ПН/РК в ЄРПН, після чого ПН/РК реєструється в ЄРПН за умови наявного ліміту або залишає скаргу без задоволення та рішення комісії регіонального рівня про відмову в реєстрації ПН/РК в ЄРПН без змін.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коли комісією центрального рівня залишено скаргу без задоволення та рішення комісії регіонального рівня про відмову в реєстрації ПН/РК в ЄРПН без змін, платник ПДВ має право оскаржити зазначене рішення в судовому порядку.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надходження рішення суду, яке набрало законної сили про зобов’язання зареєструвати ПН/РК, такі ПН/РК підлягають реєстрації.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Питання 7.</w:t>
      </w:r>
      <w:r w:rsidRPr="007F5B24">
        <w:rPr>
          <w:rFonts w:ascii="Times New Roman" w:eastAsia="Times New Roman" w:hAnsi="Times New Roman" w:cs="Times New Roman"/>
          <w:sz w:val="20"/>
          <w:szCs w:val="20"/>
          <w:lang w:val="uk-UA" w:eastAsia="ru-RU"/>
        </w:rPr>
        <w:t xml:space="preserve"> </w:t>
      </w:r>
      <w:r w:rsidRPr="007F5B24">
        <w:rPr>
          <w:rFonts w:ascii="Times New Roman" w:eastAsia="Times New Roman" w:hAnsi="Times New Roman" w:cs="Times New Roman"/>
          <w:b/>
          <w:bCs/>
          <w:sz w:val="20"/>
          <w:szCs w:val="20"/>
          <w:lang w:val="uk-UA" w:eastAsia="ru-RU"/>
        </w:rPr>
        <w:t>Вітаю. Хочу дізнатися, яку інформацію необхідно вказати у Таблиці даних платника ПДВ, у разі зупинення реєстрації податкової накладної в ЄРПН?</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b/>
          <w:bCs/>
          <w:sz w:val="20"/>
          <w:szCs w:val="20"/>
          <w:u w:val="single"/>
          <w:lang w:val="uk-UA" w:eastAsia="ru-RU"/>
        </w:rPr>
        <w:t>Відповідь</w:t>
      </w:r>
      <w:r w:rsidRPr="007F5B24">
        <w:rPr>
          <w:rFonts w:ascii="Times New Roman" w:eastAsia="Times New Roman" w:hAnsi="Times New Roman" w:cs="Times New Roman"/>
          <w:sz w:val="20"/>
          <w:szCs w:val="20"/>
          <w:u w:val="single"/>
          <w:lang w:val="uk-UA" w:eastAsia="ru-RU"/>
        </w:rPr>
        <w:t>.</w:t>
      </w:r>
      <w:r w:rsidRPr="007F5B24">
        <w:rPr>
          <w:rFonts w:ascii="Times New Roman" w:eastAsia="Times New Roman" w:hAnsi="Times New Roman" w:cs="Times New Roman"/>
          <w:sz w:val="20"/>
          <w:szCs w:val="20"/>
          <w:lang w:val="uk-UA" w:eastAsia="ru-RU"/>
        </w:rPr>
        <w:t xml:space="preserve"> Вітаю.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Нормами п. 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встановлено, що Таблиця даних платника податку на додану вартість – це зведена інформація, що подається платником ПДВ до контролюючого органу, щодо кодів видів економічної діяльності платника ПДВ згідно з Класифікатором видів економічної діяльності, кодів товарів згідно з УКТ </w:t>
      </w:r>
      <w:proofErr w:type="spellStart"/>
      <w:r w:rsidRPr="007F5B24">
        <w:rPr>
          <w:rFonts w:ascii="Times New Roman" w:eastAsia="Times New Roman" w:hAnsi="Times New Roman" w:cs="Times New Roman"/>
          <w:sz w:val="20"/>
          <w:szCs w:val="20"/>
          <w:lang w:val="uk-UA" w:eastAsia="ru-RU"/>
        </w:rPr>
        <w:t>ЗЕД</w:t>
      </w:r>
      <w:proofErr w:type="spellEnd"/>
      <w:r w:rsidRPr="007F5B24">
        <w:rPr>
          <w:rFonts w:ascii="Times New Roman" w:eastAsia="Times New Roman" w:hAnsi="Times New Roman" w:cs="Times New Roman"/>
          <w:sz w:val="20"/>
          <w:szCs w:val="20"/>
          <w:lang w:val="uk-UA" w:eastAsia="ru-RU"/>
        </w:rPr>
        <w:t xml:space="preserve"> та/або кодів послуг згідно з Державним класифікатором продукції та послуг, що постачаються та/або придбаваються (отримуються) платником ПДВ, ввозяться на митну територію України.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п. 13 Порядку у Таблиці даних платника податку на додану вартість (далі – Таблиця) зазначаються: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види економічної діяльності відповідно до КВЕД </w:t>
      </w:r>
      <w:proofErr w:type="spellStart"/>
      <w:r w:rsidRPr="007F5B24">
        <w:rPr>
          <w:rFonts w:ascii="Times New Roman" w:eastAsia="Times New Roman" w:hAnsi="Times New Roman" w:cs="Times New Roman"/>
          <w:sz w:val="20"/>
          <w:szCs w:val="20"/>
          <w:lang w:val="uk-UA" w:eastAsia="ru-RU"/>
        </w:rPr>
        <w:t>ДК</w:t>
      </w:r>
      <w:proofErr w:type="spellEnd"/>
      <w:r w:rsidRPr="007F5B24">
        <w:rPr>
          <w:rFonts w:ascii="Times New Roman" w:eastAsia="Times New Roman" w:hAnsi="Times New Roman" w:cs="Times New Roman"/>
          <w:sz w:val="20"/>
          <w:szCs w:val="20"/>
          <w:lang w:val="uk-UA" w:eastAsia="ru-RU"/>
        </w:rPr>
        <w:t xml:space="preserve"> 009:2010;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коди товарів згідно з УКТ </w:t>
      </w:r>
      <w:proofErr w:type="spellStart"/>
      <w:r w:rsidRPr="007F5B24">
        <w:rPr>
          <w:rFonts w:ascii="Times New Roman" w:eastAsia="Times New Roman" w:hAnsi="Times New Roman" w:cs="Times New Roman"/>
          <w:sz w:val="20"/>
          <w:szCs w:val="20"/>
          <w:lang w:val="uk-UA" w:eastAsia="ru-RU"/>
        </w:rPr>
        <w:t>ЗЕД</w:t>
      </w:r>
      <w:proofErr w:type="spellEnd"/>
      <w:r w:rsidRPr="007F5B24">
        <w:rPr>
          <w:rFonts w:ascii="Times New Roman" w:eastAsia="Times New Roman" w:hAnsi="Times New Roman" w:cs="Times New Roman"/>
          <w:sz w:val="20"/>
          <w:szCs w:val="20"/>
          <w:lang w:val="uk-UA" w:eastAsia="ru-RU"/>
        </w:rPr>
        <w:t xml:space="preserve">, що постачаються та/або придбаваються (отримуються) платником податку, ввозяться на митну територію України;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коди послуг згідно з Державним класифікатором продукції та послуг </w:t>
      </w:r>
      <w:proofErr w:type="spellStart"/>
      <w:r w:rsidRPr="007F5B24">
        <w:rPr>
          <w:rFonts w:ascii="Times New Roman" w:eastAsia="Times New Roman" w:hAnsi="Times New Roman" w:cs="Times New Roman"/>
          <w:sz w:val="20"/>
          <w:szCs w:val="20"/>
          <w:lang w:val="uk-UA" w:eastAsia="ru-RU"/>
        </w:rPr>
        <w:t>ДК</w:t>
      </w:r>
      <w:proofErr w:type="spellEnd"/>
      <w:r w:rsidRPr="007F5B24">
        <w:rPr>
          <w:rFonts w:ascii="Times New Roman" w:eastAsia="Times New Roman" w:hAnsi="Times New Roman" w:cs="Times New Roman"/>
          <w:sz w:val="20"/>
          <w:szCs w:val="20"/>
          <w:lang w:val="uk-UA" w:eastAsia="ru-RU"/>
        </w:rPr>
        <w:t xml:space="preserve"> 016:2010 (далі – </w:t>
      </w:r>
      <w:proofErr w:type="spellStart"/>
      <w:r w:rsidRPr="007F5B24">
        <w:rPr>
          <w:rFonts w:ascii="Times New Roman" w:eastAsia="Times New Roman" w:hAnsi="Times New Roman" w:cs="Times New Roman"/>
          <w:sz w:val="20"/>
          <w:szCs w:val="20"/>
          <w:lang w:val="uk-UA" w:eastAsia="ru-RU"/>
        </w:rPr>
        <w:t>ДК</w:t>
      </w:r>
      <w:proofErr w:type="spellEnd"/>
      <w:r w:rsidRPr="007F5B24">
        <w:rPr>
          <w:rFonts w:ascii="Times New Roman" w:eastAsia="Times New Roman" w:hAnsi="Times New Roman" w:cs="Times New Roman"/>
          <w:sz w:val="20"/>
          <w:szCs w:val="20"/>
          <w:lang w:val="uk-UA" w:eastAsia="ru-RU"/>
        </w:rPr>
        <w:t xml:space="preserve"> ПП), що постачаються та/або придбаваються (отримуються) платником податку, ввозяться на митну територію України.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Одночасне заповнення граф щодо придбання (отримання) і постачання/надання товарів/послуг в одному рядку Таблиці не допускається.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Коди послуг згідно з ДКПП у Таблиці мають містити від 5 </w:t>
      </w:r>
      <w:r w:rsidRPr="007F5B24">
        <w:rPr>
          <w:rFonts w:ascii="Times New Roman" w:eastAsia="Times New Roman" w:hAnsi="Times New Roman" w:cs="Times New Roman"/>
          <w:i/>
          <w:iCs/>
          <w:sz w:val="20"/>
          <w:szCs w:val="20"/>
          <w:lang w:val="uk-UA" w:eastAsia="ru-RU"/>
        </w:rPr>
        <w:t>(наприклад, 02.40)</w:t>
      </w:r>
      <w:r w:rsidRPr="007F5B24">
        <w:rPr>
          <w:rFonts w:ascii="Times New Roman" w:eastAsia="Times New Roman" w:hAnsi="Times New Roman" w:cs="Times New Roman"/>
          <w:sz w:val="20"/>
          <w:szCs w:val="20"/>
          <w:lang w:val="uk-UA" w:eastAsia="ru-RU"/>
        </w:rPr>
        <w:t xml:space="preserve"> до 14 символів.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Після подання Таблиці, надалі при складанні податкових накладних/розрахунків коригувань, коди товарів згідно з УКТ </w:t>
      </w:r>
      <w:proofErr w:type="spellStart"/>
      <w:r w:rsidRPr="007F5B24">
        <w:rPr>
          <w:rFonts w:ascii="Times New Roman" w:eastAsia="Times New Roman" w:hAnsi="Times New Roman" w:cs="Times New Roman"/>
          <w:sz w:val="20"/>
          <w:szCs w:val="20"/>
          <w:lang w:val="uk-UA" w:eastAsia="ru-RU"/>
        </w:rPr>
        <w:t>ЗЕД</w:t>
      </w:r>
      <w:proofErr w:type="spellEnd"/>
      <w:r w:rsidRPr="007F5B24">
        <w:rPr>
          <w:rFonts w:ascii="Times New Roman" w:eastAsia="Times New Roman" w:hAnsi="Times New Roman" w:cs="Times New Roman"/>
          <w:sz w:val="20"/>
          <w:szCs w:val="20"/>
          <w:lang w:val="uk-UA" w:eastAsia="ru-RU"/>
        </w:rPr>
        <w:t xml:space="preserve"> або коди послуг згідно з </w:t>
      </w:r>
      <w:proofErr w:type="spellStart"/>
      <w:r w:rsidRPr="007F5B24">
        <w:rPr>
          <w:rFonts w:ascii="Times New Roman" w:eastAsia="Times New Roman" w:hAnsi="Times New Roman" w:cs="Times New Roman"/>
          <w:sz w:val="20"/>
          <w:szCs w:val="20"/>
          <w:lang w:val="uk-UA" w:eastAsia="ru-RU"/>
        </w:rPr>
        <w:t>ДК</w:t>
      </w:r>
      <w:proofErr w:type="spellEnd"/>
      <w:r w:rsidRPr="007F5B24">
        <w:rPr>
          <w:rFonts w:ascii="Times New Roman" w:eastAsia="Times New Roman" w:hAnsi="Times New Roman" w:cs="Times New Roman"/>
          <w:sz w:val="20"/>
          <w:szCs w:val="20"/>
          <w:lang w:val="uk-UA" w:eastAsia="ru-RU"/>
        </w:rPr>
        <w:t xml:space="preserve"> ПП мають вказуватися на рівні тих знаків (цифр), які зазначені у поданій Таблиці. Якщо у Таблиці коди будуть вказані на рівні 4-х перших цифр, а в податковій накладній/розрахунку коригування – на рівні 12-ти цифр, то реєстрація такої податкової накладної/розрахунку коригування може бути зупинена </w:t>
      </w:r>
      <w:r w:rsidRPr="007F5B24">
        <w:rPr>
          <w:rFonts w:ascii="Times New Roman" w:eastAsia="Times New Roman" w:hAnsi="Times New Roman" w:cs="Times New Roman"/>
          <w:i/>
          <w:iCs/>
          <w:sz w:val="20"/>
          <w:szCs w:val="20"/>
          <w:lang w:val="uk-UA" w:eastAsia="ru-RU"/>
        </w:rPr>
        <w:t>(наприклад, код «33.12» і код «33.12.24-00.00» не ідентичні і розуміються як різні коди)</w:t>
      </w:r>
      <w:r w:rsidRPr="007F5B24">
        <w:rPr>
          <w:rFonts w:ascii="Times New Roman" w:eastAsia="Times New Roman" w:hAnsi="Times New Roman" w:cs="Times New Roman"/>
          <w:sz w:val="20"/>
          <w:szCs w:val="20"/>
          <w:lang w:val="uk-UA" w:eastAsia="ru-RU"/>
        </w:rPr>
        <w:t xml:space="preserve">.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Отримання попередньої оплати за товари, постачання яких ще не відбулося, не позбавляє платника податку права навести у Таблиці інформацію щодо товарів відносно яких вона отримана.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п. 14 Порядку Таблиця подається з поясненням, в якому зазначається вид діяльності, з посиланням на податкову та іншу звітність платника ПДВ.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Платник ПДВ має право подати Таблицю без наявності факту зупинення реєстрації податкової накладної/розрахунку коригування в ЄРПН. </w:t>
      </w:r>
    </w:p>
    <w:p w:rsidR="007971D0" w:rsidRPr="007F5B24" w:rsidRDefault="007971D0" w:rsidP="007971D0">
      <w:pPr>
        <w:rPr>
          <w:rFonts w:ascii="Times New Roman" w:eastAsia="Times New Roman" w:hAnsi="Times New Roman" w:cs="Times New Roman"/>
          <w:sz w:val="20"/>
          <w:szCs w:val="20"/>
          <w:lang w:val="uk-UA" w:eastAsia="ru-RU"/>
        </w:rPr>
      </w:pPr>
    </w:p>
    <w:p w:rsidR="00870E32" w:rsidRPr="007F5B24" w:rsidRDefault="00870E32"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Суми помилково сплаченого єдиного внеску зараховуються в рахунок майбутніх платежів єдиного внеску або повертаються платникам </w:t>
      </w:r>
    </w:p>
    <w:p w:rsidR="00870E32"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І</w:t>
      </w:r>
      <w:r w:rsidR="00870E32" w:rsidRPr="007F5B24">
        <w:rPr>
          <w:rFonts w:ascii="Times New Roman" w:eastAsia="Times New Roman" w:hAnsi="Times New Roman" w:cs="Times New Roman"/>
          <w:sz w:val="20"/>
          <w:szCs w:val="20"/>
          <w:lang w:val="uk-UA" w:eastAsia="ru-RU"/>
        </w:rPr>
        <w:t>нформує</w:t>
      </w:r>
      <w:r w:rsidRPr="007F5B24">
        <w:rPr>
          <w:rFonts w:ascii="Times New Roman" w:eastAsia="Times New Roman" w:hAnsi="Times New Roman" w:cs="Times New Roman"/>
          <w:sz w:val="20"/>
          <w:szCs w:val="20"/>
          <w:lang w:val="uk-UA" w:eastAsia="ru-RU"/>
        </w:rPr>
        <w:t>мо</w:t>
      </w:r>
      <w:r w:rsidR="00870E32" w:rsidRPr="007F5B24">
        <w:rPr>
          <w:rFonts w:ascii="Times New Roman" w:eastAsia="Times New Roman" w:hAnsi="Times New Roman" w:cs="Times New Roman"/>
          <w:sz w:val="20"/>
          <w:szCs w:val="20"/>
          <w:lang w:val="uk-UA" w:eastAsia="ru-RU"/>
        </w:rPr>
        <w:t xml:space="preserve">, що платники єдиного внеску на загальнообов’язкове державне соціальне страхування (далі – єдиний внесок) зобов’язані своєчасно та в повному обсязі нараховувати, обчислювати і сплачувати єдиного внеску.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 частини 2 ст. 6 Закону України від 08 липня  2010 року № 2464-VI «Про збір та облік єдиного внеску на загальнообов’язкове державне соціальне страхування» зі змінами (далі – Закон № 2464).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виявлення своєчасно не сплачених сум страхових внесків платники єдиного внеску зобов’язані самостійно обчислити ці внески і сплатити їх з нарахуванням пені в порядку і розмірах, визначених ст. 25 Закону № 2464. </w:t>
      </w:r>
    </w:p>
    <w:p w:rsidR="00870E32" w:rsidRPr="007F5B24" w:rsidRDefault="00870E32"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Частиною 13 ст. 9 Закону № 2464 передбачено, що суми помилково сплаченого єдиного внеску зараховуються в рахунок майбутніх платежів єдиного внеску або повертаються платникам у порядку і строки, визначені центральним органом виконавчої влади, що забезпечує формування та реалізує державну фінансову політику, за погодженням з центральним органом виконавчої влади, що реалізує державну політику у сфері казначейського обслуговування бюджетних коштів, Пенсійним фондом України та фондами загальнообов’язкового державного соціального страхування.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Про граничний термін сплати єдиного внеску </w:t>
      </w:r>
      <w:proofErr w:type="spellStart"/>
      <w:r w:rsidRPr="007F5B24">
        <w:rPr>
          <w:rFonts w:ascii="Times New Roman" w:eastAsia="Times New Roman" w:hAnsi="Times New Roman" w:cs="Times New Roman"/>
          <w:b/>
          <w:bCs/>
          <w:kern w:val="36"/>
          <w:sz w:val="20"/>
          <w:szCs w:val="20"/>
          <w:lang w:val="uk-UA" w:eastAsia="ru-RU"/>
        </w:rPr>
        <w:t>ФОП</w:t>
      </w:r>
      <w:proofErr w:type="spellEnd"/>
      <w:r w:rsidRPr="007F5B24">
        <w:rPr>
          <w:rFonts w:ascii="Times New Roman" w:eastAsia="Times New Roman" w:hAnsi="Times New Roman" w:cs="Times New Roman"/>
          <w:b/>
          <w:bCs/>
          <w:kern w:val="36"/>
          <w:sz w:val="20"/>
          <w:szCs w:val="20"/>
          <w:lang w:val="uk-UA" w:eastAsia="ru-RU"/>
        </w:rPr>
        <w:t xml:space="preserve"> – платниками єдиного податку за себе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Платники єдиного внеску на загальнообов’язкове державне соціальне страхування (далі – єдиний внесок), зазначені у п. 4 частини першої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зокрема, фізичні особи – підприємці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платники єдиного податку зобов’язані сплачувати єдиний внесок, нарахований за </w:t>
      </w:r>
      <w:r w:rsidRPr="007F5B24">
        <w:rPr>
          <w:rFonts w:ascii="Times New Roman" w:eastAsia="Times New Roman" w:hAnsi="Times New Roman" w:cs="Times New Roman"/>
          <w:sz w:val="20"/>
          <w:szCs w:val="20"/>
          <w:lang w:val="uk-UA" w:eastAsia="ru-RU"/>
        </w:rPr>
        <w:lastRenderedPageBreak/>
        <w:t xml:space="preserve">календарний квартал, до 20 числа місяця, що настає за кварталом, за який сплачується єдиний внесок (частина 8 ст. 9 Закону № 2464).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Згідно з п. 12 розділу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у разі якщо останній день строків сплати єдиного внеску припадає на вихідний або святковий день, останнім днем таких строків сплати єдиного внеску вважається перший робочий день, що настає за вихідним або святковим днем.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ст. 530 Цивільного кодексу України від 16 січня 2003 року № 435-IV із змінами, якщо у зобов’язанні встановлений строк (термін) його виконання, то воно підлягає виконанню у цей строк (термін).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Таким чином, граничний термін сплати єдиного внеску за себе </w:t>
      </w:r>
      <w:proofErr w:type="spellStart"/>
      <w:r w:rsidRPr="007F5B24">
        <w:rPr>
          <w:rFonts w:ascii="Times New Roman" w:eastAsia="Times New Roman" w:hAnsi="Times New Roman" w:cs="Times New Roman"/>
          <w:sz w:val="20"/>
          <w:szCs w:val="20"/>
          <w:lang w:val="uk-UA" w:eastAsia="ru-RU"/>
        </w:rPr>
        <w:t>ФОП</w:t>
      </w:r>
      <w:proofErr w:type="spellEnd"/>
      <w:r w:rsidRPr="007F5B24">
        <w:rPr>
          <w:rFonts w:ascii="Times New Roman" w:eastAsia="Times New Roman" w:hAnsi="Times New Roman" w:cs="Times New Roman"/>
          <w:sz w:val="20"/>
          <w:szCs w:val="20"/>
          <w:lang w:val="uk-UA" w:eastAsia="ru-RU"/>
        </w:rPr>
        <w:t xml:space="preserve"> – платниками єдиного податку – 19 число місяця, що настає за кварталом, за який сплачується єдиний внесок.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якщо останній день строків сплати єдиного внеску припадає на вихідний або святковий день, останнім днем таких строків сплати єдиного вважається перший робочий день, що настає за вихідним або святковим днем.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Зарахування у зменшення податку на прибуток сплачених за митним кордоном України податків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В</w:t>
      </w:r>
      <w:r w:rsidR="006A655A" w:rsidRPr="007F5B24">
        <w:rPr>
          <w:rFonts w:ascii="Times New Roman" w:eastAsia="Times New Roman" w:hAnsi="Times New Roman" w:cs="Times New Roman"/>
          <w:sz w:val="20"/>
          <w:szCs w:val="20"/>
          <w:lang w:val="uk-UA" w:eastAsia="ru-RU"/>
        </w:rPr>
        <w:t xml:space="preserve">ідповідно до </w:t>
      </w:r>
      <w:proofErr w:type="spellStart"/>
      <w:r w:rsidR="006A655A" w:rsidRPr="007F5B24">
        <w:rPr>
          <w:rFonts w:ascii="Times New Roman" w:eastAsia="Times New Roman" w:hAnsi="Times New Roman" w:cs="Times New Roman"/>
          <w:sz w:val="20"/>
          <w:szCs w:val="20"/>
          <w:lang w:val="uk-UA" w:eastAsia="ru-RU"/>
        </w:rPr>
        <w:t>п.п</w:t>
      </w:r>
      <w:proofErr w:type="spellEnd"/>
      <w:r w:rsidR="006A655A" w:rsidRPr="007F5B24">
        <w:rPr>
          <w:rFonts w:ascii="Times New Roman" w:eastAsia="Times New Roman" w:hAnsi="Times New Roman" w:cs="Times New Roman"/>
          <w:sz w:val="20"/>
          <w:szCs w:val="20"/>
          <w:lang w:val="uk-UA" w:eastAsia="ru-RU"/>
        </w:rPr>
        <w:t xml:space="preserve">. 141.4.9 п. 141.4 ст. 14 Податкового кодексу України (далі – ПКУ) суми податку на прибуток, отриманий з іноземних джерел, що сплачені суб’єктами господарювання за кордоном, зараховуються під час сплати ними податку в Україні. При цьому зарахуванню підлягає сума податку, розрахована за правилами, встановленими розділу ІІІ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Розмір зарахованих сум податку з іноземних джерел протягом податкового (звітного) періоду не може перевищувати суми податку, що підлягає сплаті в Україні таким платником податку протягом такого періоду.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Не підлягають зарахуванню у зменшення податкових зобов’язань такі податки, сплачені в інших країнах: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податок на капітал/майно та приріст капіталу;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поштові податки;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податки на реалізацію (продаж);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інші непрямі податки незалежно від того, підпадають вони під категорію прибуткових податків чи оподатковуються іншими податками згідно із законодавством іноземних держав.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Зарахування сплачених за митним кордоном України сум податку здійснюється за умови подання письмового підтвердження контролюючого органу іншої держави щодо факту сплати такого податку та за наявності чинного міжнародного договору України про уникнення подвійного оподаткування доходів.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Реорганізація платника ПДВ, який застосовував касовий метод, шляхом приєднання: що з податковим кредитом?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w:t>
      </w:r>
      <w:r w:rsidR="006A655A" w:rsidRPr="007F5B24">
        <w:rPr>
          <w:rFonts w:ascii="Times New Roman" w:eastAsia="Times New Roman" w:hAnsi="Times New Roman" w:cs="Times New Roman"/>
          <w:sz w:val="20"/>
          <w:szCs w:val="20"/>
          <w:lang w:val="uk-UA" w:eastAsia="ru-RU"/>
        </w:rPr>
        <w:t>овідомляє</w:t>
      </w:r>
      <w:r w:rsidRPr="007F5B24">
        <w:rPr>
          <w:rFonts w:ascii="Times New Roman" w:eastAsia="Times New Roman" w:hAnsi="Times New Roman" w:cs="Times New Roman"/>
          <w:sz w:val="20"/>
          <w:szCs w:val="20"/>
          <w:lang w:val="uk-UA" w:eastAsia="ru-RU"/>
        </w:rPr>
        <w:t>мо</w:t>
      </w:r>
      <w:r w:rsidR="006A655A" w:rsidRPr="007F5B24">
        <w:rPr>
          <w:rFonts w:ascii="Times New Roman" w:eastAsia="Times New Roman" w:hAnsi="Times New Roman" w:cs="Times New Roman"/>
          <w:sz w:val="20"/>
          <w:szCs w:val="20"/>
          <w:lang w:val="uk-UA" w:eastAsia="ru-RU"/>
        </w:rPr>
        <w:t xml:space="preserve">, що сума від’ємного значення, що підлягає включенню до складу податкового кредиту наступного звітного (податкового) періоду платника ПДВ, що реорганізується шляхом: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приєднання, злиття, перетворення, – підлягає перенесенню до складу податкового кредиту правонаступника у наступному періоді після підписання передавального акта відповідно до законодавства;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поділу, виділення, – підлягає перенесенню до складу податкового кредиту правонаступника пропорційно до отриманої частки майна згідно з розподільчим балансом у наступному періоді після підписання розподільчого балансу відповідно до законодавства.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Таке перенесення здійснюється в разі, якщо сума від’ємного значення, що підлягає включенню до складу податкового кредиту наступного звітного (податкового) періоду платника, що реорганізується, підтверджена документальною перевіркою контролюючого органу.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п. 198.7 ст. 198 Податкового кодексу України.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Таким чином, перенесення суми від’ємного значення, що підлягає включенню до складу податкового кредиту наступного звітного (податкового) періоду платника ПДВ, який реорганізується, до складу податкового кредиту правонаступника здійснюється у періоді, що настає після підписання передавального акта відповідно до законодавства, в якому підтверджено таке від’ємне значення документальною перевіркою.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оплати товарів/послуг правонаступник не має права на віднесення суми ПДВ до податкового кредиту на підставі податкової накладної, складеної на платника ПДВ, який застосовував касовий метод та реорганізувався шляхом приєднання, злиття, перетворення.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Чи можливо здійснити первинну процедуру реєстрації у Кваліфікованого надавача електронних довірчих послуг </w:t>
      </w:r>
      <w:proofErr w:type="spellStart"/>
      <w:r w:rsidRPr="007F5B24">
        <w:rPr>
          <w:rFonts w:ascii="Times New Roman" w:eastAsia="Times New Roman" w:hAnsi="Times New Roman" w:cs="Times New Roman"/>
          <w:b/>
          <w:bCs/>
          <w:kern w:val="36"/>
          <w:sz w:val="20"/>
          <w:szCs w:val="20"/>
          <w:lang w:val="uk-UA" w:eastAsia="ru-RU"/>
        </w:rPr>
        <w:t>ІДД</w:t>
      </w:r>
      <w:proofErr w:type="spellEnd"/>
      <w:r w:rsidRPr="007F5B24">
        <w:rPr>
          <w:rFonts w:ascii="Times New Roman" w:eastAsia="Times New Roman" w:hAnsi="Times New Roman" w:cs="Times New Roman"/>
          <w:b/>
          <w:bCs/>
          <w:kern w:val="36"/>
          <w:sz w:val="20"/>
          <w:szCs w:val="20"/>
          <w:lang w:val="uk-UA" w:eastAsia="ru-RU"/>
        </w:rPr>
        <w:t xml:space="preserve"> ДПС через мережу Інтернет без особистої присутності у центрі?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Первинна процедура отримання електронних довірчих послуг від Кваліфікованого надавача електронних довірчих послуг </w:t>
      </w:r>
      <w:proofErr w:type="spellStart"/>
      <w:r w:rsidRPr="007F5B24">
        <w:rPr>
          <w:rFonts w:ascii="Times New Roman" w:eastAsia="Times New Roman" w:hAnsi="Times New Roman" w:cs="Times New Roman"/>
          <w:sz w:val="20"/>
          <w:szCs w:val="20"/>
          <w:lang w:val="uk-UA" w:eastAsia="ru-RU"/>
        </w:rPr>
        <w:t>ІДД</w:t>
      </w:r>
      <w:proofErr w:type="spellEnd"/>
      <w:r w:rsidRPr="007F5B24">
        <w:rPr>
          <w:rFonts w:ascii="Times New Roman" w:eastAsia="Times New Roman" w:hAnsi="Times New Roman" w:cs="Times New Roman"/>
          <w:sz w:val="20"/>
          <w:szCs w:val="20"/>
          <w:lang w:val="uk-UA" w:eastAsia="ru-RU"/>
        </w:rPr>
        <w:t xml:space="preserve"> ДПС (далі – КН ЕДП </w:t>
      </w:r>
      <w:proofErr w:type="spellStart"/>
      <w:r w:rsidRPr="007F5B24">
        <w:rPr>
          <w:rFonts w:ascii="Times New Roman" w:eastAsia="Times New Roman" w:hAnsi="Times New Roman" w:cs="Times New Roman"/>
          <w:sz w:val="20"/>
          <w:szCs w:val="20"/>
          <w:lang w:val="uk-UA" w:eastAsia="ru-RU"/>
        </w:rPr>
        <w:t>ІДД</w:t>
      </w:r>
      <w:proofErr w:type="spellEnd"/>
      <w:r w:rsidRPr="007F5B24">
        <w:rPr>
          <w:rFonts w:ascii="Times New Roman" w:eastAsia="Times New Roman" w:hAnsi="Times New Roman" w:cs="Times New Roman"/>
          <w:sz w:val="20"/>
          <w:szCs w:val="20"/>
          <w:lang w:val="uk-UA" w:eastAsia="ru-RU"/>
        </w:rPr>
        <w:t xml:space="preserve"> ДПС) не передбачає можливість реєстрації заявників через мережу Інтернет.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вимог Регламенту КН ЕДП </w:t>
      </w:r>
      <w:proofErr w:type="spellStart"/>
      <w:r w:rsidRPr="007F5B24">
        <w:rPr>
          <w:rFonts w:ascii="Times New Roman" w:eastAsia="Times New Roman" w:hAnsi="Times New Roman" w:cs="Times New Roman"/>
          <w:sz w:val="20"/>
          <w:szCs w:val="20"/>
          <w:lang w:val="uk-UA" w:eastAsia="ru-RU"/>
        </w:rPr>
        <w:t>ІДД</w:t>
      </w:r>
      <w:proofErr w:type="spellEnd"/>
      <w:r w:rsidRPr="007F5B24">
        <w:rPr>
          <w:rFonts w:ascii="Times New Roman" w:eastAsia="Times New Roman" w:hAnsi="Times New Roman" w:cs="Times New Roman"/>
          <w:sz w:val="20"/>
          <w:szCs w:val="20"/>
          <w:lang w:val="uk-UA" w:eastAsia="ru-RU"/>
        </w:rPr>
        <w:t xml:space="preserve"> ДПС заявник має бути особисто присутнім під час первинної процедури реєстрації.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Детальну інформацію щодо процедури реєстрації можна переглянути на офіційному інформаційному ресурсі КН ЕДП </w:t>
      </w:r>
      <w:proofErr w:type="spellStart"/>
      <w:r w:rsidRPr="007F5B24">
        <w:rPr>
          <w:rFonts w:ascii="Times New Roman" w:eastAsia="Times New Roman" w:hAnsi="Times New Roman" w:cs="Times New Roman"/>
          <w:sz w:val="20"/>
          <w:szCs w:val="20"/>
          <w:lang w:val="uk-UA" w:eastAsia="ru-RU"/>
        </w:rPr>
        <w:t>ІДД</w:t>
      </w:r>
      <w:proofErr w:type="spellEnd"/>
      <w:r w:rsidRPr="007F5B24">
        <w:rPr>
          <w:rFonts w:ascii="Times New Roman" w:eastAsia="Times New Roman" w:hAnsi="Times New Roman" w:cs="Times New Roman"/>
          <w:sz w:val="20"/>
          <w:szCs w:val="20"/>
          <w:lang w:val="uk-UA" w:eastAsia="ru-RU"/>
        </w:rPr>
        <w:t xml:space="preserve"> ДПС (</w:t>
      </w:r>
      <w:hyperlink r:id="rId13" w:history="1">
        <w:r w:rsidRPr="007F5B24">
          <w:rPr>
            <w:rFonts w:ascii="Times New Roman" w:eastAsia="Times New Roman" w:hAnsi="Times New Roman" w:cs="Times New Roman"/>
            <w:color w:val="0000FF"/>
            <w:sz w:val="20"/>
            <w:szCs w:val="20"/>
            <w:u w:val="single"/>
            <w:lang w:val="uk-UA" w:eastAsia="ru-RU"/>
          </w:rPr>
          <w:t>http://www.acskidd.gov.ua</w:t>
        </w:r>
      </w:hyperlink>
      <w:r w:rsidRPr="007F5B24">
        <w:rPr>
          <w:rFonts w:ascii="Times New Roman" w:eastAsia="Times New Roman" w:hAnsi="Times New Roman" w:cs="Times New Roman"/>
          <w:sz w:val="20"/>
          <w:szCs w:val="20"/>
          <w:lang w:val="uk-UA" w:eastAsia="ru-RU"/>
        </w:rPr>
        <w:t xml:space="preserve">) у розділі «Отримання електронних довірчих послуг, у тому числі для програмних РРО».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Відповідне запитання та відповідь на нього розміщене у категорії 301.02 розділу «ЗАПИТАННЯ-ВІДПОВІДІ З БАЗИ ЗНАНЬ» ЗАГАЛЬНОДОСТУПНОГО ІНФОРМАЦІЙНО-ДОВІДКОВОГО РЕСУРСУ на офіційному </w:t>
      </w:r>
      <w:proofErr w:type="spellStart"/>
      <w:r w:rsidRPr="007F5B24">
        <w:rPr>
          <w:rFonts w:ascii="Times New Roman" w:eastAsia="Times New Roman" w:hAnsi="Times New Roman" w:cs="Times New Roman"/>
          <w:sz w:val="20"/>
          <w:szCs w:val="20"/>
          <w:lang w:val="uk-UA" w:eastAsia="ru-RU"/>
        </w:rPr>
        <w:t>веб-порталі</w:t>
      </w:r>
      <w:proofErr w:type="spellEnd"/>
      <w:r w:rsidRPr="007F5B24">
        <w:rPr>
          <w:rFonts w:ascii="Times New Roman" w:eastAsia="Times New Roman" w:hAnsi="Times New Roman" w:cs="Times New Roman"/>
          <w:sz w:val="20"/>
          <w:szCs w:val="20"/>
          <w:lang w:val="uk-UA" w:eastAsia="ru-RU"/>
        </w:rPr>
        <w:t xml:space="preserve"> ДПС України за посиланням </w:t>
      </w:r>
      <w:hyperlink r:id="rId14" w:history="1">
        <w:r w:rsidRPr="007F5B24">
          <w:rPr>
            <w:rFonts w:ascii="Times New Roman" w:eastAsia="Times New Roman" w:hAnsi="Times New Roman" w:cs="Times New Roman"/>
            <w:color w:val="0000FF"/>
            <w:sz w:val="20"/>
            <w:szCs w:val="20"/>
            <w:u w:val="single"/>
            <w:lang w:val="uk-UA" w:eastAsia="ru-RU"/>
          </w:rPr>
          <w:t>http://zir.tax.gov.ua</w:t>
        </w:r>
      </w:hyperlink>
      <w:r w:rsidRPr="007F5B24">
        <w:rPr>
          <w:rFonts w:ascii="Times New Roman" w:eastAsia="Times New Roman" w:hAnsi="Times New Roman" w:cs="Times New Roman"/>
          <w:sz w:val="20"/>
          <w:szCs w:val="20"/>
          <w:lang w:val="uk-UA" w:eastAsia="ru-RU"/>
        </w:rPr>
        <w:t xml:space="preserve">.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Закон України № 466: з 23.05. 2020 змінено вартісний критерій визначення основних засобів з 6 до 20 тисяч гривень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 23 травня 2020 року змінено вартісний критерій визначення основних засобів з 6 тис.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до 20 тис. гривень.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Цей критерій застосовується до основних засобів, що вводяться в експлуатацію після 22 травня 2020 року. Основні засоби, введені в експлуатацію до 23 травня 2020 року, продовжують амортизуватись у податковому обліку, навіть якщо їх залишкова балансова вартість не перевищує 20 тис. гривень.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У яких випадках суб’єкти господарювання застосовують коефіцієнт рентабельності у трикратному розмірі облікової ставки НБУ?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w:t>
      </w:r>
      <w:r w:rsidR="006A655A" w:rsidRPr="007F5B24">
        <w:rPr>
          <w:rFonts w:ascii="Times New Roman" w:eastAsia="Times New Roman" w:hAnsi="Times New Roman" w:cs="Times New Roman"/>
          <w:sz w:val="20"/>
          <w:szCs w:val="20"/>
          <w:lang w:val="uk-UA" w:eastAsia="ru-RU"/>
        </w:rPr>
        <w:t>овідомляє</w:t>
      </w:r>
      <w:r w:rsidRPr="007F5B24">
        <w:rPr>
          <w:rFonts w:ascii="Times New Roman" w:eastAsia="Times New Roman" w:hAnsi="Times New Roman" w:cs="Times New Roman"/>
          <w:sz w:val="20"/>
          <w:szCs w:val="20"/>
          <w:lang w:val="uk-UA" w:eastAsia="ru-RU"/>
        </w:rPr>
        <w:t>мо</w:t>
      </w:r>
      <w:r w:rsidR="006A655A" w:rsidRPr="007F5B24">
        <w:rPr>
          <w:rFonts w:ascii="Times New Roman" w:eastAsia="Times New Roman" w:hAnsi="Times New Roman" w:cs="Times New Roman"/>
          <w:sz w:val="20"/>
          <w:szCs w:val="20"/>
          <w:lang w:val="uk-UA" w:eastAsia="ru-RU"/>
        </w:rPr>
        <w:t xml:space="preserve">, що гірничі підприємства – платники рентної плати обчислюють розрахункову вартість одиниці відповідного виду товарної продукції гірничого підприємства – видобутої корисної копалини (мінеральної сировини) за формулою, визначеною п. 252.16    ст. 252 Податкового кодексу України, елементом якої є коефіцієнт рентабельності гірничого підприємства, обчислений у матеріалах </w:t>
      </w:r>
      <w:proofErr w:type="spellStart"/>
      <w:r w:rsidR="006A655A" w:rsidRPr="007F5B24">
        <w:rPr>
          <w:rFonts w:ascii="Times New Roman" w:eastAsia="Times New Roman" w:hAnsi="Times New Roman" w:cs="Times New Roman"/>
          <w:sz w:val="20"/>
          <w:szCs w:val="20"/>
          <w:lang w:val="uk-UA" w:eastAsia="ru-RU"/>
        </w:rPr>
        <w:t>геолого-економічної</w:t>
      </w:r>
      <w:proofErr w:type="spellEnd"/>
      <w:r w:rsidR="006A655A" w:rsidRPr="007F5B24">
        <w:rPr>
          <w:rFonts w:ascii="Times New Roman" w:eastAsia="Times New Roman" w:hAnsi="Times New Roman" w:cs="Times New Roman"/>
          <w:sz w:val="20"/>
          <w:szCs w:val="20"/>
          <w:lang w:val="uk-UA" w:eastAsia="ru-RU"/>
        </w:rPr>
        <w:t xml:space="preserve"> оцінки запасів корисних копалин ділянки надр, затверджених центральним органом виконавчої влади, що реалізує державну політику у сфері геологічного вивчення та раціонального використання надр (десятковий дріб). Гірничі підприємства, що порушили строк регулярної повторної </w:t>
      </w:r>
      <w:proofErr w:type="spellStart"/>
      <w:r w:rsidR="006A655A" w:rsidRPr="007F5B24">
        <w:rPr>
          <w:rFonts w:ascii="Times New Roman" w:eastAsia="Times New Roman" w:hAnsi="Times New Roman" w:cs="Times New Roman"/>
          <w:sz w:val="20"/>
          <w:szCs w:val="20"/>
          <w:lang w:val="uk-UA" w:eastAsia="ru-RU"/>
        </w:rPr>
        <w:t>геолого-економічної</w:t>
      </w:r>
      <w:proofErr w:type="spellEnd"/>
      <w:r w:rsidR="006A655A" w:rsidRPr="007F5B24">
        <w:rPr>
          <w:rFonts w:ascii="Times New Roman" w:eastAsia="Times New Roman" w:hAnsi="Times New Roman" w:cs="Times New Roman"/>
          <w:sz w:val="20"/>
          <w:szCs w:val="20"/>
          <w:lang w:val="uk-UA" w:eastAsia="ru-RU"/>
        </w:rPr>
        <w:t xml:space="preserve"> оцінки запасів корисних копалин ділянки надр, обчислюють податкові зобов’язання із застосуванням коефіцієнта рентабельності, що дорівнює трикратному розміру облікової ставки Національного банку України.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частини четвертої ст. 45 Кодексу України про надра від 27 липня 1994 року № 132/94-ВР зі змінами та доповненнями запаси корисних копалин розвіданих родовищ, а також запаси корисних копалин, додатково розвіданих у процесі розробки родовищ, підлягають експертизі та оцінюються центральним органом виконавчої влади, що реалізує державну політику у сфері геологічного вивчення та раціонального використання надр, або іншими уповноваженими підприємствами, установами чи організаціями, у порядку, встановленому Кабінетом Міністрів України.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якщо гірниче підприємство порушило строк регулярної повторної державної експертизи та оцінки запасів родовищ корисних копалин ділянки надр від попередньо проведеної державної експертизи та оцінки, то розрахункова вартість одиниці відповідного виду товарної продукції гірничого підприємства – видобутої корисної копалини (мінеральної сировини) обчислюється з урахуванням коефіцієнта рентабельності гірничого підприємства, що дорівнює трикратному розміру облікової ставки Національного банку України.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Про заповнення реквізитів «Призначення платежу» та «</w:t>
      </w:r>
      <w:proofErr w:type="spellStart"/>
      <w:r w:rsidRPr="007F5B24">
        <w:rPr>
          <w:rFonts w:ascii="Times New Roman" w:eastAsia="Times New Roman" w:hAnsi="Times New Roman" w:cs="Times New Roman"/>
          <w:b/>
          <w:bCs/>
          <w:kern w:val="36"/>
          <w:sz w:val="20"/>
          <w:szCs w:val="20"/>
          <w:lang w:val="uk-UA" w:eastAsia="ru-RU"/>
        </w:rPr>
        <w:t>Отримувач</w:t>
      </w:r>
      <w:proofErr w:type="spellEnd"/>
      <w:r w:rsidRPr="007F5B24">
        <w:rPr>
          <w:rFonts w:ascii="Times New Roman" w:eastAsia="Times New Roman" w:hAnsi="Times New Roman" w:cs="Times New Roman"/>
          <w:b/>
          <w:bCs/>
          <w:kern w:val="36"/>
          <w:sz w:val="20"/>
          <w:szCs w:val="20"/>
          <w:lang w:val="uk-UA" w:eastAsia="ru-RU"/>
        </w:rPr>
        <w:t xml:space="preserve">» платіжного доручення на сплату податків та зборів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Н</w:t>
      </w:r>
      <w:r w:rsidR="006A655A" w:rsidRPr="007F5B24">
        <w:rPr>
          <w:rFonts w:ascii="Times New Roman" w:eastAsia="Times New Roman" w:hAnsi="Times New Roman" w:cs="Times New Roman"/>
          <w:sz w:val="20"/>
          <w:szCs w:val="20"/>
          <w:lang w:val="uk-UA" w:eastAsia="ru-RU"/>
        </w:rPr>
        <w:t>агадує</w:t>
      </w:r>
      <w:r w:rsidRPr="007F5B24">
        <w:rPr>
          <w:rFonts w:ascii="Times New Roman" w:eastAsia="Times New Roman" w:hAnsi="Times New Roman" w:cs="Times New Roman"/>
          <w:sz w:val="20"/>
          <w:szCs w:val="20"/>
          <w:lang w:val="uk-UA" w:eastAsia="ru-RU"/>
        </w:rPr>
        <w:t>мо</w:t>
      </w:r>
      <w:r w:rsidR="006A655A" w:rsidRPr="007F5B24">
        <w:rPr>
          <w:rFonts w:ascii="Times New Roman" w:eastAsia="Times New Roman" w:hAnsi="Times New Roman" w:cs="Times New Roman"/>
          <w:sz w:val="20"/>
          <w:szCs w:val="20"/>
          <w:lang w:val="uk-UA" w:eastAsia="ru-RU"/>
        </w:rPr>
        <w:t xml:space="preserve">, що при сплаті, зокрема, податків, зборів до бюджету платник податків заповнює поле «Призначення платежу» розрахункового документа з урахуванням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зі змінами (далі – Порядок № 666).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Пунктом 1 Порядку № 666 передбачено, що поле «Призначення платежу» розрахункового документа заповнюється таким чином: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поле № 1 – друкується службовий код (знак) «*» (ознака платежу);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поле № 2 – друкується розділовий знак «;» та код виду сплати (формат    </w:t>
      </w:r>
      <w:proofErr w:type="spellStart"/>
      <w:r w:rsidRPr="007F5B24">
        <w:rPr>
          <w:rFonts w:ascii="Times New Roman" w:eastAsia="Times New Roman" w:hAnsi="Times New Roman" w:cs="Times New Roman"/>
          <w:sz w:val="20"/>
          <w:szCs w:val="20"/>
          <w:lang w:val="uk-UA" w:eastAsia="ru-RU"/>
        </w:rPr>
        <w:t>ссс</w:t>
      </w:r>
      <w:proofErr w:type="spellEnd"/>
      <w:r w:rsidRPr="007F5B24">
        <w:rPr>
          <w:rFonts w:ascii="Times New Roman" w:eastAsia="Times New Roman" w:hAnsi="Times New Roman" w:cs="Times New Roman"/>
          <w:sz w:val="20"/>
          <w:szCs w:val="20"/>
          <w:lang w:val="uk-UA" w:eastAsia="ru-RU"/>
        </w:rPr>
        <w:t xml:space="preserve"> – тризначне число);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поле № 3 – друкується розділовий знак «;» та один з нижченаведених реквізитів: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1) код клієнта за ЄДРПОУ (доповнюється зліва нулями до восьми цифр, якщо значущих цифр менше 8);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2) реєстраційний номер облікової картки платника податків (завжди має 10 цифр) або серія та номер паспорта громадянина України (для фізичних, які мають відмітку у паспорті про наявність права здійснювати будь-які платежі за серією та номером паспорта);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3) реєстраційний (обліковий) номер платника податків, який присвоюється контролюючими органами (завжди має 9 цифр);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поле № 4 – друкується розділовий знак «;» та роз’яснювальна інформація про призначення платежу в довільній формі.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сплати платежу до бюджету в іноземній валюті обов’язково вказується код класифікації доходів бюджету.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здійснення бюджетного відшкодування податку на додану вартість (далі – ПДВ), повернення коштів, помилково або надміру зарахованих до бюджету за висновками територіальних органів ДПС, поля № 5 та № 6 заповнюються таким чином: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поле № 5 – друкується розділовий знак «;» та дата висновку, на підставі якого здійснюється відшкодування ПДВ або повернення коштів, помилково або надміру зарахованих до бюджету (формат – ДД.ММ.РРРР). Платником податків поле № 5 не заповнюється;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поле № 6 – друкується розділовий знак «;» та номер висновку, на підставі якого здійснюється відшкодування ПДВ або повернення коштів, помилково або надміру зарахованих до бюджету. Платником податків поле № 6 не заповнюється;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поле № 7 – друкується розділовий знак «;».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При заповненні полів не допускаються пропуски (пробіли) між словами та службовими знаками (п. 2 Порядку № 666).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Сплата за кожним видом платежу та за кожним видом сплати має оформлятися окремим документом на переказ (п. 6 Порядку № 666).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разі наявності у платника податків, зокрема, податкового боргу розрахунковий документ на переказ коштів приймається до виконання незалежно від напряму сплати, зазначеного у полі «Призначення платежу» розрахункового документа. При цьому зарахування коштів відбувається у порядку черговості, встановленому Податковим кодексом України від 02 грудня 2010 року № 2755-VI зі змінами та доповненнями, а такому виду сплати органами ДПС присвоюється код виду сплати 140 (п. 8 Порядку № 666).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Перелік кодів видів сплати (які вказуються в полі «Призначення платежу») розрахункового документа наведено в додатку до Порядку (п. 10 Порядку № 666).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Відповідно до п. 13 додатка 9 «Указівки щодо заповнення реквізитів розрахункових документів та їх реєстрів»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та доповненнями, у реквізиті «</w:t>
      </w:r>
      <w:proofErr w:type="spellStart"/>
      <w:r w:rsidRPr="007F5B24">
        <w:rPr>
          <w:rFonts w:ascii="Times New Roman" w:eastAsia="Times New Roman" w:hAnsi="Times New Roman" w:cs="Times New Roman"/>
          <w:sz w:val="20"/>
          <w:szCs w:val="20"/>
          <w:lang w:val="uk-UA" w:eastAsia="ru-RU"/>
        </w:rPr>
        <w:t>Отримувач</w:t>
      </w:r>
      <w:proofErr w:type="spellEnd"/>
      <w:r w:rsidRPr="007F5B24">
        <w:rPr>
          <w:rFonts w:ascii="Times New Roman" w:eastAsia="Times New Roman" w:hAnsi="Times New Roman" w:cs="Times New Roman"/>
          <w:sz w:val="20"/>
          <w:szCs w:val="20"/>
          <w:lang w:val="uk-UA" w:eastAsia="ru-RU"/>
        </w:rPr>
        <w:t xml:space="preserve">»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 </w:t>
      </w:r>
    </w:p>
    <w:p w:rsidR="007F5B24" w:rsidRPr="007F5B24" w:rsidRDefault="007F5B24"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Олексій Любченко: Високі показники надходжень до бюджету – результат спільної успішної роботи платників податків та податківців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 оперативними даними у січні – вересні 2020 року за платежами, що контролюються ДПС, до загального фонду державного бюджету надійшло 387,3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грн. Це на 56,2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або на 17,0 % перевищує відповідний показник минулого року.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Надходження за 9 місяців поточного року перевищили очікувані на 26,4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гривень.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травні – вересні ДПС не тільки надолужено відставання, допущене за січень-квітень у сумі 11,7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але й досягнуто значне перевиконання індикативу за січень – вересень на 26,4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гривень», - зазначив Голова ДПС Олексій Любченко.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 його словами, темп зростання сукупних надходжень платежів, які контролюються ДПС, за 9 місяців 2020 становить +11 %, при скороченні ВВП (за даними Мінекономіки) на 6,7 % у І півріччі поточного року.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«Такі високі показники є результатом спільної успішної роботи платників податків та податківців. Ми завжди дотримуємось принципу – пріоритетом є закон, а не «план понад усе». До бюджету надходить стільки, скільки дозволяє реально існуюча база та чинне законодавство», - наголосив Олексій Любченко.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Він також підкреслив, що для ДПС є неприйнятним будь-який тиск на бізнес. Податківці працюють над забезпеченням комфортних умов платникам для своєчасної та у повному обсязі сплати податків, а також припиненням використання схем ухилення від оподаткування.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У вересні до загального фонду державного бюджету забезпечено 31,6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грн. Це на 5,2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або в 1,9 </w:t>
      </w:r>
      <w:proofErr w:type="spellStart"/>
      <w:r w:rsidRPr="007F5B24">
        <w:rPr>
          <w:rFonts w:ascii="Times New Roman" w:eastAsia="Times New Roman" w:hAnsi="Times New Roman" w:cs="Times New Roman"/>
          <w:sz w:val="20"/>
          <w:szCs w:val="20"/>
          <w:lang w:val="uk-UA" w:eastAsia="ru-RU"/>
        </w:rPr>
        <w:t>раза</w:t>
      </w:r>
      <w:proofErr w:type="spellEnd"/>
      <w:r w:rsidRPr="007F5B24">
        <w:rPr>
          <w:rFonts w:ascii="Times New Roman" w:eastAsia="Times New Roman" w:hAnsi="Times New Roman" w:cs="Times New Roman"/>
          <w:sz w:val="20"/>
          <w:szCs w:val="20"/>
          <w:lang w:val="uk-UA" w:eastAsia="ru-RU"/>
        </w:rPr>
        <w:t xml:space="preserve"> більше очікуваного. Порівняно з минулим роком цьогорічні вересневі надходження зросли на 3,7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грн.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Протягом січня – вересня 2020 року зібрано 85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податку на додану вартість. Це на 24,9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або в 1,4 </w:t>
      </w:r>
      <w:proofErr w:type="spellStart"/>
      <w:r w:rsidRPr="007F5B24">
        <w:rPr>
          <w:rFonts w:ascii="Times New Roman" w:eastAsia="Times New Roman" w:hAnsi="Times New Roman" w:cs="Times New Roman"/>
          <w:sz w:val="20"/>
          <w:szCs w:val="20"/>
          <w:lang w:val="uk-UA" w:eastAsia="ru-RU"/>
        </w:rPr>
        <w:t>раза</w:t>
      </w:r>
      <w:proofErr w:type="spellEnd"/>
      <w:r w:rsidRPr="007F5B24">
        <w:rPr>
          <w:rFonts w:ascii="Times New Roman" w:eastAsia="Times New Roman" w:hAnsi="Times New Roman" w:cs="Times New Roman"/>
          <w:sz w:val="20"/>
          <w:szCs w:val="20"/>
          <w:lang w:val="uk-UA" w:eastAsia="ru-RU"/>
        </w:rPr>
        <w:t xml:space="preserve"> більше відповідного періоду минулого року.  Фактичний рівень надходжень перевищив очікуваний на 25,7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або на 43,3%.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 9 місяців 2020 року платникам відшкодовано 104,3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податку на додану вартість.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 початку року до Державної податкової служби України подали звітність в електронному вигляді  понад 1,9 </w:t>
      </w:r>
      <w:proofErr w:type="spellStart"/>
      <w:r w:rsidRPr="007F5B24">
        <w:rPr>
          <w:rFonts w:ascii="Times New Roman" w:eastAsia="Times New Roman" w:hAnsi="Times New Roman" w:cs="Times New Roman"/>
          <w:sz w:val="20"/>
          <w:szCs w:val="20"/>
          <w:lang w:val="uk-UA" w:eastAsia="ru-RU"/>
        </w:rPr>
        <w:t>млн</w:t>
      </w:r>
      <w:proofErr w:type="spellEnd"/>
      <w:r w:rsidRPr="007F5B24">
        <w:rPr>
          <w:rFonts w:ascii="Times New Roman" w:eastAsia="Times New Roman" w:hAnsi="Times New Roman" w:cs="Times New Roman"/>
          <w:sz w:val="20"/>
          <w:szCs w:val="20"/>
          <w:lang w:val="uk-UA" w:eastAsia="ru-RU"/>
        </w:rPr>
        <w:t xml:space="preserve"> суб’єктів господарювання.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До органів ДПС платниками надіслано майже 309,3 </w:t>
      </w:r>
      <w:proofErr w:type="spellStart"/>
      <w:r w:rsidRPr="007F5B24">
        <w:rPr>
          <w:rFonts w:ascii="Times New Roman" w:eastAsia="Times New Roman" w:hAnsi="Times New Roman" w:cs="Times New Roman"/>
          <w:sz w:val="20"/>
          <w:szCs w:val="20"/>
          <w:lang w:val="uk-UA" w:eastAsia="ru-RU"/>
        </w:rPr>
        <w:t>млн</w:t>
      </w:r>
      <w:proofErr w:type="spellEnd"/>
      <w:r w:rsidRPr="007F5B24">
        <w:rPr>
          <w:rFonts w:ascii="Times New Roman" w:eastAsia="Times New Roman" w:hAnsi="Times New Roman" w:cs="Times New Roman"/>
          <w:sz w:val="20"/>
          <w:szCs w:val="20"/>
          <w:lang w:val="uk-UA" w:eastAsia="ru-RU"/>
        </w:rPr>
        <w:t xml:space="preserve"> документів в електронному вигляді.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Також з початку року Державна податкова служба надала понад 3,2 </w:t>
      </w:r>
      <w:proofErr w:type="spellStart"/>
      <w:r w:rsidRPr="007F5B24">
        <w:rPr>
          <w:rFonts w:ascii="Times New Roman" w:eastAsia="Times New Roman" w:hAnsi="Times New Roman" w:cs="Times New Roman"/>
          <w:sz w:val="20"/>
          <w:szCs w:val="20"/>
          <w:lang w:val="uk-UA" w:eastAsia="ru-RU"/>
        </w:rPr>
        <w:t>млн</w:t>
      </w:r>
      <w:proofErr w:type="spellEnd"/>
      <w:r w:rsidRPr="007F5B24">
        <w:rPr>
          <w:rFonts w:ascii="Times New Roman" w:eastAsia="Times New Roman" w:hAnsi="Times New Roman" w:cs="Times New Roman"/>
          <w:sz w:val="20"/>
          <w:szCs w:val="20"/>
          <w:lang w:val="uk-UA" w:eastAsia="ru-RU"/>
        </w:rPr>
        <w:t xml:space="preserve"> адміністративних послуг платникам податків.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Державної податкової служби України важливим є забезпечення прозорості та відкритості своєї діяльності, ефективна взаємодія з інститутами громадянського суспільства та бізнес-спільнотою.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ДПС завжди відкрита до співпраці та конструктивного діалогу з громадськістю, що сприяє успішному впровадженню реформ податкової служби та досягненню консенсусу інтересів держави і бізнесу.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Активна позиція представників інститутів громадянського суспільства та бізнес-асоціацій забезпечує можливість податковій службі отримувати зворотній зв’язок як з вітчизняним, так і з іноземним бізнесом в Україні, оперативно реагувати на можливі проблемні ситуації, оцінювати результативність запроваджених заходів, та, за необхідності, вчасно вносити корективи та реалізовувати нові </w:t>
      </w:r>
      <w:proofErr w:type="spellStart"/>
      <w:r w:rsidRPr="007F5B24">
        <w:rPr>
          <w:rFonts w:ascii="Times New Roman" w:eastAsia="Times New Roman" w:hAnsi="Times New Roman" w:cs="Times New Roman"/>
          <w:sz w:val="20"/>
          <w:szCs w:val="20"/>
          <w:lang w:val="uk-UA" w:eastAsia="ru-RU"/>
        </w:rPr>
        <w:t>проєкти</w:t>
      </w:r>
      <w:proofErr w:type="spellEnd"/>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Зокрема, Президент Американської торговельної палати в Україні Андрій </w:t>
      </w:r>
      <w:proofErr w:type="spellStart"/>
      <w:r w:rsidRPr="007F5B24">
        <w:rPr>
          <w:rFonts w:ascii="Times New Roman" w:eastAsia="Times New Roman" w:hAnsi="Times New Roman" w:cs="Times New Roman"/>
          <w:sz w:val="20"/>
          <w:szCs w:val="20"/>
          <w:lang w:val="uk-UA" w:eastAsia="ru-RU"/>
        </w:rPr>
        <w:t>Гундер</w:t>
      </w:r>
      <w:proofErr w:type="spellEnd"/>
      <w:r w:rsidRPr="007F5B24">
        <w:rPr>
          <w:rFonts w:ascii="Times New Roman" w:eastAsia="Times New Roman" w:hAnsi="Times New Roman" w:cs="Times New Roman"/>
          <w:sz w:val="20"/>
          <w:szCs w:val="20"/>
          <w:lang w:val="uk-UA" w:eastAsia="ru-RU"/>
        </w:rPr>
        <w:t xml:space="preserve"> під час зустрічі з Головою ДПС Олексієм Любченком 05.06.2020 відзначив тривалу і позитивну історію співпраці з податковою службою та висловив впевненість у її динамічному розвитку для продовження економічних реформ, сприяння функціонуванню ділового середовища в Україні на засадах справедливості та прозорості.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Голова Ради Федерації роботодавців України Дмитро Олійник відзначив ефективність роботи  Державної податкової служби України та забезпечення надходжень до бюджетів через викорінення «тіні», а не шляхом «витискання соків з бізнесу». Він також висловив впевненість, що сьогоднішня відкритість ДПС у комунікаціях із підприємцями та готовність до оперативного усунення проблемних для ведення бізнесу моментів – запорука до позитивних змін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w:t>
      </w:r>
      <w:hyperlink r:id="rId15" w:tgtFrame="_blank" w:history="1">
        <w:r w:rsidRPr="007F5B24">
          <w:rPr>
            <w:rFonts w:ascii="Times New Roman" w:eastAsia="Times New Roman" w:hAnsi="Times New Roman" w:cs="Times New Roman"/>
            <w:color w:val="0000FF"/>
            <w:sz w:val="20"/>
            <w:szCs w:val="20"/>
            <w:u w:val="single"/>
            <w:lang w:val="uk-UA" w:eastAsia="ru-RU"/>
          </w:rPr>
          <w:t>https://facebook.com/story.php?story_fbid=1364764907050691&amp;id=100005515845604</w:t>
        </w:r>
      </w:hyperlink>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Також Голова ФРУ зауважив, на сьогодні ДПС активно проводить зустрічі та консультації з бізнесом. По багатьох питаннях щодо удосконалення адміністрування податків і зборів, розбудови партнерських відносин та боротьби з корупцією. За його словами, це підґрунтя для подальшої співпраці та виконання бюджетних показників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w:t>
      </w:r>
      <w:hyperlink r:id="rId16" w:tgtFrame="_blank" w:history="1">
        <w:r w:rsidRPr="007F5B24">
          <w:rPr>
            <w:rFonts w:ascii="Times New Roman" w:eastAsia="Times New Roman" w:hAnsi="Times New Roman" w:cs="Times New Roman"/>
            <w:color w:val="0000FF"/>
            <w:sz w:val="20"/>
            <w:szCs w:val="20"/>
            <w:u w:val="single"/>
            <w:lang w:val="uk-UA" w:eastAsia="ru-RU"/>
          </w:rPr>
          <w:t>https://facebook.com/story.php?story_fbid=1319455004915015&amp;id=100005515845604</w:t>
        </w:r>
      </w:hyperlink>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заяві Асоціації платників податків України від 01.08.2020 зазначається, що ДПС України нарешті показує відкритість, прозорість, позитивні результати, вже забезпечила протягом 3-х останніх місяців більше 10 </w:t>
      </w:r>
      <w:proofErr w:type="spellStart"/>
      <w:r w:rsidRPr="007F5B24">
        <w:rPr>
          <w:rFonts w:ascii="Times New Roman" w:eastAsia="Times New Roman" w:hAnsi="Times New Roman" w:cs="Times New Roman"/>
          <w:sz w:val="20"/>
          <w:szCs w:val="20"/>
          <w:lang w:val="uk-UA" w:eastAsia="ru-RU"/>
        </w:rPr>
        <w:t>млрд</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грн</w:t>
      </w:r>
      <w:proofErr w:type="spellEnd"/>
      <w:r w:rsidRPr="007F5B24">
        <w:rPr>
          <w:rFonts w:ascii="Times New Roman" w:eastAsia="Times New Roman" w:hAnsi="Times New Roman" w:cs="Times New Roman"/>
          <w:sz w:val="20"/>
          <w:szCs w:val="20"/>
          <w:lang w:val="uk-UA" w:eastAsia="ru-RU"/>
        </w:rPr>
        <w:t xml:space="preserve"> додаткових бюджетних надходжень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w:t>
      </w:r>
      <w:hyperlink r:id="rId17" w:tgtFrame="_blank" w:history="1">
        <w:r w:rsidRPr="007F5B24">
          <w:rPr>
            <w:rFonts w:ascii="Times New Roman" w:eastAsia="Times New Roman" w:hAnsi="Times New Roman" w:cs="Times New Roman"/>
            <w:color w:val="0000FF"/>
            <w:sz w:val="20"/>
            <w:szCs w:val="20"/>
            <w:u w:val="single"/>
            <w:lang w:val="uk-UA" w:eastAsia="ru-RU"/>
          </w:rPr>
          <w:t>https://www.facebook.com/393701834060994/posts/3009083265856158/</w:t>
        </w:r>
      </w:hyperlink>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Забезпечення конструктивного діалогу ДПС з бізнесом було відзначено й керівництвом Європейської Бізнес Асоціації. Для вирішення проблемних питань компаній, системного вирішення питань сфери адміністрування податків проведено низку зустрічей.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 о. заступника Голови Місії Посольства США в Україні пан Джозеф </w:t>
      </w:r>
      <w:proofErr w:type="spellStart"/>
      <w:r w:rsidRPr="007F5B24">
        <w:rPr>
          <w:rFonts w:ascii="Times New Roman" w:eastAsia="Times New Roman" w:hAnsi="Times New Roman" w:cs="Times New Roman"/>
          <w:sz w:val="20"/>
          <w:szCs w:val="20"/>
          <w:lang w:val="uk-UA" w:eastAsia="ru-RU"/>
        </w:rPr>
        <w:t>Пеннінгтон</w:t>
      </w:r>
      <w:proofErr w:type="spellEnd"/>
      <w:r w:rsidRPr="007F5B24">
        <w:rPr>
          <w:rFonts w:ascii="Times New Roman" w:eastAsia="Times New Roman" w:hAnsi="Times New Roman" w:cs="Times New Roman"/>
          <w:sz w:val="20"/>
          <w:szCs w:val="20"/>
          <w:lang w:val="uk-UA" w:eastAsia="ru-RU"/>
        </w:rPr>
        <w:t xml:space="preserve"> під час зустрічі з Головою ДПС Олексієм Любченком 21.07.2020 запевнив у підтримці реформ у податковій службі, зокрема, заходів щодо боротьби з корупцією, модернізації </w:t>
      </w:r>
      <w:proofErr w:type="spellStart"/>
      <w:r w:rsidRPr="007F5B24">
        <w:rPr>
          <w:rFonts w:ascii="Times New Roman" w:eastAsia="Times New Roman" w:hAnsi="Times New Roman" w:cs="Times New Roman"/>
          <w:sz w:val="20"/>
          <w:szCs w:val="20"/>
          <w:lang w:val="uk-UA" w:eastAsia="ru-RU"/>
        </w:rPr>
        <w:t>ІТ-систем</w:t>
      </w:r>
      <w:proofErr w:type="spellEnd"/>
      <w:r w:rsidRPr="007F5B24">
        <w:rPr>
          <w:rFonts w:ascii="Times New Roman" w:eastAsia="Times New Roman" w:hAnsi="Times New Roman" w:cs="Times New Roman"/>
          <w:sz w:val="20"/>
          <w:szCs w:val="20"/>
          <w:lang w:val="uk-UA" w:eastAsia="ru-RU"/>
        </w:rPr>
        <w:t xml:space="preserve"> для запровадження нових сервісів, забезпечення захисту інформації та висловив готовність до подальшої співпраці, якщо відданість податкової служби реформам буде збережена.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Представники МФВ відзначили позитивні зміни у роботі служби за останні місяці. За їх словами, вони вражені послідовністю кроків податкової служби та виваженої </w:t>
      </w:r>
      <w:proofErr w:type="spellStart"/>
      <w:r w:rsidRPr="007F5B24">
        <w:rPr>
          <w:rFonts w:ascii="Times New Roman" w:eastAsia="Times New Roman" w:hAnsi="Times New Roman" w:cs="Times New Roman"/>
          <w:sz w:val="20"/>
          <w:szCs w:val="20"/>
          <w:lang w:val="uk-UA" w:eastAsia="ru-RU"/>
        </w:rPr>
        <w:t>внутрішньосистемної</w:t>
      </w:r>
      <w:proofErr w:type="spellEnd"/>
      <w:r w:rsidRPr="007F5B24">
        <w:rPr>
          <w:rFonts w:ascii="Times New Roman" w:eastAsia="Times New Roman" w:hAnsi="Times New Roman" w:cs="Times New Roman"/>
          <w:sz w:val="20"/>
          <w:szCs w:val="20"/>
          <w:lang w:val="uk-UA" w:eastAsia="ru-RU"/>
        </w:rPr>
        <w:t xml:space="preserve"> політики, орієнтованої на досягнення результату.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Також за результатами зустрічей Голови ДПС Олексія Любченка та представників бізнесу Державною податковою службою у червні 2020 року було запроваджено Комунікаційну податкову платформу.  Головна мета цієї платформи – якісна та оперативна комунікація з народними депутатами, консультативно-дорадчими та іншими допоміжними органами, утвореними Президентом України, Кабінетом Міністрів України, асоціаціям, які представляють інтереси платників податків.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Запроваджений новий формат роботи ефективно допомагає вирішувати питання, які турбують компанії та асоціації платників, та виявляти системні проблеми, які потребують оперативних управлінських рішень або рішень у законодавчій площині.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Завдяки оптимізації роботи та зміні пріоритетів в ДПС за рахунок посилення боротьби з ухиленням від оподаткуванням вдалося ліквідувати злочинні схеми з ПДВ, які вартували бюджету десятки мільярдів гривень. </w:t>
      </w:r>
    </w:p>
    <w:p w:rsidR="006A655A" w:rsidRPr="007F5B24" w:rsidRDefault="006A655A" w:rsidP="007971D0">
      <w:pPr>
        <w:rPr>
          <w:rFonts w:ascii="Times New Roman" w:eastAsia="Times New Roman" w:hAnsi="Times New Roman" w:cs="Times New Roman"/>
          <w:sz w:val="20"/>
          <w:szCs w:val="20"/>
          <w:lang w:val="uk-UA" w:eastAsia="ru-RU"/>
        </w:rPr>
      </w:pPr>
      <w:proofErr w:type="spellStart"/>
      <w:r w:rsidRPr="007F5B24">
        <w:rPr>
          <w:rFonts w:ascii="Times New Roman" w:eastAsia="Times New Roman" w:hAnsi="Times New Roman" w:cs="Times New Roman"/>
          <w:sz w:val="20"/>
          <w:szCs w:val="20"/>
          <w:lang w:val="uk-UA" w:eastAsia="ru-RU"/>
        </w:rPr>
        <w:t>Детінізації</w:t>
      </w:r>
      <w:proofErr w:type="spellEnd"/>
      <w:r w:rsidRPr="007F5B24">
        <w:rPr>
          <w:rFonts w:ascii="Times New Roman" w:eastAsia="Times New Roman" w:hAnsi="Times New Roman" w:cs="Times New Roman"/>
          <w:sz w:val="20"/>
          <w:szCs w:val="20"/>
          <w:lang w:val="uk-UA" w:eastAsia="ru-RU"/>
        </w:rPr>
        <w:t xml:space="preserve"> економіки сприяють заходи ДПС щодо руйнування схем зловживання з податком на додану вартість, ефективна робота систем електронного адміністрування ПДВ та акцизного податку, посилення контролю на ринку виробництва та обігу підакцизної продукції.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 метою протидії втратам бюджету через уникнення міжнародними </w:t>
      </w:r>
      <w:proofErr w:type="spellStart"/>
      <w:r w:rsidRPr="007F5B24">
        <w:rPr>
          <w:rFonts w:ascii="Times New Roman" w:eastAsia="Times New Roman" w:hAnsi="Times New Roman" w:cs="Times New Roman"/>
          <w:sz w:val="20"/>
          <w:szCs w:val="20"/>
          <w:lang w:val="uk-UA" w:eastAsia="ru-RU"/>
        </w:rPr>
        <w:t>компаніямии</w:t>
      </w:r>
      <w:proofErr w:type="spellEnd"/>
      <w:r w:rsidRPr="007F5B24">
        <w:rPr>
          <w:rFonts w:ascii="Times New Roman" w:eastAsia="Times New Roman" w:hAnsi="Times New Roman" w:cs="Times New Roman"/>
          <w:sz w:val="20"/>
          <w:szCs w:val="20"/>
          <w:lang w:val="uk-UA" w:eastAsia="ru-RU"/>
        </w:rPr>
        <w:t xml:space="preserve"> зобов’язань зі сплати податку на прибуток особлива увага надається впровадженню кроків плану BEPS в Україні (</w:t>
      </w:r>
      <w:proofErr w:type="spellStart"/>
      <w:r w:rsidRPr="007F5B24">
        <w:rPr>
          <w:rFonts w:ascii="Times New Roman" w:eastAsia="Times New Roman" w:hAnsi="Times New Roman" w:cs="Times New Roman"/>
          <w:sz w:val="20"/>
          <w:szCs w:val="20"/>
          <w:lang w:val="uk-UA" w:eastAsia="ru-RU"/>
        </w:rPr>
        <w:t>Base</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Erosion</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and</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Profit</w:t>
      </w:r>
      <w:proofErr w:type="spellEnd"/>
      <w:r w:rsidRPr="007F5B24">
        <w:rPr>
          <w:rFonts w:ascii="Times New Roman" w:eastAsia="Times New Roman" w:hAnsi="Times New Roman" w:cs="Times New Roman"/>
          <w:sz w:val="20"/>
          <w:szCs w:val="20"/>
          <w:lang w:val="uk-UA" w:eastAsia="ru-RU"/>
        </w:rPr>
        <w:t xml:space="preserve"> </w:t>
      </w:r>
      <w:proofErr w:type="spellStart"/>
      <w:r w:rsidRPr="007F5B24">
        <w:rPr>
          <w:rFonts w:ascii="Times New Roman" w:eastAsia="Times New Roman" w:hAnsi="Times New Roman" w:cs="Times New Roman"/>
          <w:sz w:val="20"/>
          <w:szCs w:val="20"/>
          <w:lang w:val="uk-UA" w:eastAsia="ru-RU"/>
        </w:rPr>
        <w:t>Shifting</w:t>
      </w:r>
      <w:proofErr w:type="spellEnd"/>
      <w:r w:rsidRPr="007F5B24">
        <w:rPr>
          <w:rFonts w:ascii="Times New Roman" w:eastAsia="Times New Roman" w:hAnsi="Times New Roman" w:cs="Times New Roman"/>
          <w:sz w:val="20"/>
          <w:szCs w:val="20"/>
          <w:lang w:val="uk-UA" w:eastAsia="ru-RU"/>
        </w:rPr>
        <w:t xml:space="preserve">, розмивання оподатковуваної бази й виведення прибутку з-під оподаткування).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 24 по 25 вересня відбулась міжнародна </w:t>
      </w:r>
      <w:proofErr w:type="spellStart"/>
      <w:r w:rsidRPr="007F5B24">
        <w:rPr>
          <w:rFonts w:ascii="Times New Roman" w:eastAsia="Times New Roman" w:hAnsi="Times New Roman" w:cs="Times New Roman"/>
          <w:sz w:val="20"/>
          <w:szCs w:val="20"/>
          <w:lang w:val="uk-UA" w:eastAsia="ru-RU"/>
        </w:rPr>
        <w:t>онлайн-конференції</w:t>
      </w:r>
      <w:proofErr w:type="spellEnd"/>
      <w:r w:rsidRPr="007F5B24">
        <w:rPr>
          <w:rFonts w:ascii="Times New Roman" w:eastAsia="Times New Roman" w:hAnsi="Times New Roman" w:cs="Times New Roman"/>
          <w:sz w:val="20"/>
          <w:szCs w:val="20"/>
          <w:lang w:val="uk-UA" w:eastAsia="ru-RU"/>
        </w:rPr>
        <w:t xml:space="preserve"> «Реалізація плану BEPS в Україні», організатором якої виступила Державна податкова служба України.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 заході також брали участь представники Міністерства фінансів України, інших державних органів та ключових міжнародних партнерів. Конференція була зосереджена на чотирьох основних сферах: впровадження Плану дій BEPS, практичні виклики у сфері трансфертного ціноутворення, застосування конвенцій про уникнення подвійного оподаткування та міжнародний обмін інформацією.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Під час конференції зазначалося, що наразі в Україні сформовано нормативно-правове підґрунтя для реалізації більшості кроків цього плану. Зокрема,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який вступив в дію 23 травня 2020 року, впроваджується низка фундаментальних змін, спрямованих на боротьбу з розмиванням податкової бази та виведенням прибутку з-під оподаткування, підвищення податкової прозорості, дотримання податкових норм та вдосконалення податкового адміністрування, формального запровадження принципу «превалювання суті над формою» та інших важливих правил протидії уникненню оподаткування, що наближуватимуть українську податкову систему до стандартів ОЕСР. </w:t>
      </w:r>
    </w:p>
    <w:p w:rsidR="007971D0"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Такі інтенсивні зміни у національному законодавстві дають чіткий сигнал українському бізнесу та </w:t>
      </w:r>
      <w:proofErr w:type="spellStart"/>
      <w:r w:rsidRPr="007F5B24">
        <w:rPr>
          <w:rFonts w:ascii="Times New Roman" w:eastAsia="Times New Roman" w:hAnsi="Times New Roman" w:cs="Times New Roman"/>
          <w:sz w:val="20"/>
          <w:szCs w:val="20"/>
          <w:lang w:val="uk-UA" w:eastAsia="ru-RU"/>
        </w:rPr>
        <w:t>бенефіціарам</w:t>
      </w:r>
      <w:proofErr w:type="spellEnd"/>
      <w:r w:rsidRPr="007F5B24">
        <w:rPr>
          <w:rFonts w:ascii="Times New Roman" w:eastAsia="Times New Roman" w:hAnsi="Times New Roman" w:cs="Times New Roman"/>
          <w:sz w:val="20"/>
          <w:szCs w:val="20"/>
          <w:lang w:val="uk-UA" w:eastAsia="ru-RU"/>
        </w:rPr>
        <w:t xml:space="preserve"> іноземних компаній до переходу на подальшу роботу по прозорим правилам в рівних конкурентних умовах.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У ДПС провели зустріч з представниками Асоціації «Українських імпортерів риби та морепродуктів»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У</w:t>
      </w:r>
      <w:r w:rsidR="000D68ED">
        <w:rPr>
          <w:rFonts w:ascii="Times New Roman" w:eastAsia="Times New Roman" w:hAnsi="Times New Roman" w:cs="Times New Roman"/>
          <w:sz w:val="20"/>
          <w:szCs w:val="20"/>
          <w:lang w:val="uk-UA" w:eastAsia="ru-RU"/>
        </w:rPr>
        <w:t xml:space="preserve"> </w:t>
      </w:r>
      <w:r w:rsidR="006A655A" w:rsidRPr="007F5B24">
        <w:rPr>
          <w:rFonts w:ascii="Times New Roman" w:eastAsia="Times New Roman" w:hAnsi="Times New Roman" w:cs="Times New Roman"/>
          <w:sz w:val="20"/>
          <w:szCs w:val="20"/>
          <w:lang w:val="uk-UA" w:eastAsia="ru-RU"/>
        </w:rPr>
        <w:t xml:space="preserve">рамках Комунікаційної податкової платформи відбулася </w:t>
      </w:r>
      <w:proofErr w:type="spellStart"/>
      <w:r w:rsidR="006A655A" w:rsidRPr="007F5B24">
        <w:rPr>
          <w:rFonts w:ascii="Times New Roman" w:eastAsia="Times New Roman" w:hAnsi="Times New Roman" w:cs="Times New Roman"/>
          <w:sz w:val="20"/>
          <w:szCs w:val="20"/>
          <w:lang w:val="uk-UA" w:eastAsia="ru-RU"/>
        </w:rPr>
        <w:t>онлайн-зустріч</w:t>
      </w:r>
      <w:proofErr w:type="spellEnd"/>
      <w:r w:rsidR="006A655A" w:rsidRPr="007F5B24">
        <w:rPr>
          <w:rFonts w:ascii="Times New Roman" w:eastAsia="Times New Roman" w:hAnsi="Times New Roman" w:cs="Times New Roman"/>
          <w:sz w:val="20"/>
          <w:szCs w:val="20"/>
          <w:lang w:val="uk-UA" w:eastAsia="ru-RU"/>
        </w:rPr>
        <w:t xml:space="preserve"> з представниками Асоціації «Українських імпортерів риби та морепродуктів».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Під час зустрічі представники Державної податкової служби України та Асоціації обговорили питання зупинення реєстрації розрахунків коригування до податкових накладних.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Державна податкова служба продовжує практику дієвої комунікації з бізнесом для оперативного вирішення проблемних питань підприємств реального сектору економіки та надання роз’яснень на актуальні питання, які хвилюють бізнес.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ТОП – 10 найбільших переглядів відкритих даних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Державна податкова служба України проаналізувала станом на 01.10.2020 перегляд наборів даних у формі відкритих даних, які оприлюднені та оновлюються на Порталі відкритих даних Єдиного державного </w:t>
      </w:r>
      <w:proofErr w:type="spellStart"/>
      <w:r w:rsidRPr="007F5B24">
        <w:rPr>
          <w:rFonts w:ascii="Times New Roman" w:eastAsia="Times New Roman" w:hAnsi="Times New Roman" w:cs="Times New Roman"/>
          <w:sz w:val="20"/>
          <w:szCs w:val="20"/>
          <w:lang w:val="uk-UA" w:eastAsia="ru-RU"/>
        </w:rPr>
        <w:t>вебпорталу</w:t>
      </w:r>
      <w:proofErr w:type="spellEnd"/>
      <w:r w:rsidRPr="007F5B24">
        <w:rPr>
          <w:rFonts w:ascii="Times New Roman" w:eastAsia="Times New Roman" w:hAnsi="Times New Roman" w:cs="Times New Roman"/>
          <w:sz w:val="20"/>
          <w:szCs w:val="20"/>
          <w:lang w:val="uk-UA" w:eastAsia="ru-RU"/>
        </w:rPr>
        <w:t xml:space="preserve"> відкритих даних.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На сьогодні ДПС оновлює 50 наборів даних у формі відкритих даних з різною періодичністю: щоденно, щомісячно, щоквартально, протягом трьох робочих днів після внесення змін.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Із вказаної кількості наборів даних до ТОП – 10 найбільших переглядів увійшли такі набори даних: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Єдиний державний реєстр суб’єктів господарювання, які отримали ліцензії на право виробництва, зберігання, оптової та роздрібної торгівлі пальним, та місць виробництва, зберігання, оптової та роздрібної торгівлі пальним  – 4 021 перегляд;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Реєстр платників єдиного податку – 2 317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Реєстр платників податку на додану вартість – 1 953 перегляди;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Інформація про суб’єктів господарювання, які мають податковий борг,  - 1 185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Реєстр неприбуткових організацій – 799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Інформація про анулювання реєстрації платників податку на додану вартість – 677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Ліцензійний реєстр виданих ліцензій на роздрібну торгівлю алкогольними напоями – 665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Ліцензійний реєстр виданих ліцензій на роздрібну торгівлю тютюновими виробами – 613 переглядів;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Реєстр платників акцизного податку з реалізації пального та спирту етилового – 601перегляд;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Єдиний державний реєстр місць зберігання – 204 перегляди.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Таким чином, отримувати інформацію з наборів даних є зручним та швидким способом та не потребує витрачання додаткового часу на написання запитів та чекання відповіді.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Просимо усіх зацікавлених осіб використовувати набори даних у формі відкритих даних, які оновлюються на Порталі відкритих даних та на офіційному </w:t>
      </w:r>
      <w:proofErr w:type="spellStart"/>
      <w:r w:rsidRPr="007F5B24">
        <w:rPr>
          <w:rFonts w:ascii="Times New Roman" w:eastAsia="Times New Roman" w:hAnsi="Times New Roman" w:cs="Times New Roman"/>
          <w:sz w:val="20"/>
          <w:szCs w:val="20"/>
          <w:lang w:val="uk-UA" w:eastAsia="ru-RU"/>
        </w:rPr>
        <w:t>вебпорталі</w:t>
      </w:r>
      <w:proofErr w:type="spellEnd"/>
      <w:r w:rsidRPr="007F5B24">
        <w:rPr>
          <w:rFonts w:ascii="Times New Roman" w:eastAsia="Times New Roman" w:hAnsi="Times New Roman" w:cs="Times New Roman"/>
          <w:sz w:val="20"/>
          <w:szCs w:val="20"/>
          <w:lang w:val="uk-UA" w:eastAsia="ru-RU"/>
        </w:rPr>
        <w:t xml:space="preserve"> ДПС. </w:t>
      </w:r>
    </w:p>
    <w:p w:rsidR="006A655A" w:rsidRPr="007F5B24" w:rsidRDefault="006A655A" w:rsidP="007971D0">
      <w:pPr>
        <w:rPr>
          <w:rFonts w:ascii="Times New Roman" w:eastAsia="Times New Roman" w:hAnsi="Times New Roman" w:cs="Times New Roman"/>
          <w:sz w:val="20"/>
          <w:szCs w:val="20"/>
          <w:lang w:val="uk-UA" w:eastAsia="ru-RU"/>
        </w:rPr>
      </w:pPr>
      <w:proofErr w:type="spellStart"/>
      <w:r w:rsidRPr="007F5B24">
        <w:rPr>
          <w:rFonts w:ascii="Times New Roman" w:eastAsia="Times New Roman" w:hAnsi="Times New Roman" w:cs="Times New Roman"/>
          <w:i/>
          <w:iCs/>
          <w:sz w:val="20"/>
          <w:szCs w:val="20"/>
          <w:lang w:val="uk-UA" w:eastAsia="ru-RU"/>
        </w:rPr>
        <w:t>Довідково</w:t>
      </w:r>
      <w:proofErr w:type="spellEnd"/>
      <w:r w:rsidRPr="007F5B24">
        <w:rPr>
          <w:rFonts w:ascii="Times New Roman" w:eastAsia="Times New Roman" w:hAnsi="Times New Roman" w:cs="Times New Roman"/>
          <w:i/>
          <w:iCs/>
          <w:sz w:val="20"/>
          <w:szCs w:val="20"/>
          <w:lang w:val="uk-UA" w:eastAsia="ru-RU"/>
        </w:rPr>
        <w:t>:</w:t>
      </w:r>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Аналіз наборів даних проводився на підставі даних Порталу відкритих даних Єдиного державного </w:t>
      </w:r>
      <w:proofErr w:type="spellStart"/>
      <w:r w:rsidRPr="007F5B24">
        <w:rPr>
          <w:rFonts w:ascii="Times New Roman" w:eastAsia="Times New Roman" w:hAnsi="Times New Roman" w:cs="Times New Roman"/>
          <w:sz w:val="20"/>
          <w:szCs w:val="20"/>
          <w:lang w:val="uk-UA" w:eastAsia="ru-RU"/>
        </w:rPr>
        <w:t>вебпорталу</w:t>
      </w:r>
      <w:proofErr w:type="spellEnd"/>
      <w:r w:rsidRPr="007F5B24">
        <w:rPr>
          <w:rFonts w:ascii="Times New Roman" w:eastAsia="Times New Roman" w:hAnsi="Times New Roman" w:cs="Times New Roman"/>
          <w:sz w:val="20"/>
          <w:szCs w:val="20"/>
          <w:lang w:val="uk-UA" w:eastAsia="ru-RU"/>
        </w:rPr>
        <w:t xml:space="preserve"> відкритих даних з розділу «Статистика переглядів», який розміщений для кожного набору даних.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Фахівці ДПС відповіли на актуальні питання представників Європейської Бізнес Асоціації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ДПС України проінформувала, що у рамках Комунікаційної податкової платформи відбулася чергова зустріч з представниками бізнесу. Цього разу свої питання фахівцям податкової служби ставили представники Європейської Бізнес Асоціації.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Учасники зустрічі обговорювали можливості Електронного кабінету та нові сервіси, які податкова пропонує своїм клієнтам. Так, на сьогодні кількість користувачів приватної частини Електронного кабінету становить понад 2,3 </w:t>
      </w:r>
      <w:proofErr w:type="spellStart"/>
      <w:r w:rsidRPr="007F5B24">
        <w:rPr>
          <w:rFonts w:ascii="Times New Roman" w:eastAsia="Times New Roman" w:hAnsi="Times New Roman" w:cs="Times New Roman"/>
          <w:sz w:val="20"/>
          <w:szCs w:val="20"/>
          <w:lang w:val="uk-UA" w:eastAsia="ru-RU"/>
        </w:rPr>
        <w:t>млн</w:t>
      </w:r>
      <w:proofErr w:type="spellEnd"/>
      <w:r w:rsidRPr="007F5B24">
        <w:rPr>
          <w:rFonts w:ascii="Times New Roman" w:eastAsia="Times New Roman" w:hAnsi="Times New Roman" w:cs="Times New Roman"/>
          <w:sz w:val="20"/>
          <w:szCs w:val="20"/>
          <w:lang w:val="uk-UA" w:eastAsia="ru-RU"/>
        </w:rPr>
        <w:t xml:space="preserve"> осіб, з яких понад 500 тис. юридичних осіб, більше 1,2 </w:t>
      </w:r>
      <w:proofErr w:type="spellStart"/>
      <w:r w:rsidRPr="007F5B24">
        <w:rPr>
          <w:rFonts w:ascii="Times New Roman" w:eastAsia="Times New Roman" w:hAnsi="Times New Roman" w:cs="Times New Roman"/>
          <w:sz w:val="20"/>
          <w:szCs w:val="20"/>
          <w:lang w:val="uk-UA" w:eastAsia="ru-RU"/>
        </w:rPr>
        <w:t>млн</w:t>
      </w:r>
      <w:proofErr w:type="spellEnd"/>
      <w:r w:rsidRPr="007F5B24">
        <w:rPr>
          <w:rFonts w:ascii="Times New Roman" w:eastAsia="Times New Roman" w:hAnsi="Times New Roman" w:cs="Times New Roman"/>
          <w:sz w:val="20"/>
          <w:szCs w:val="20"/>
          <w:lang w:val="uk-UA" w:eastAsia="ru-RU"/>
        </w:rPr>
        <w:t xml:space="preserve"> фізичних осіб – підприємців та понад 600 тис. громадян. Для них функціонує низка сервісів, які дозволяють оперативно отримувати необхідну інформацію.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Також мова йшла про плани ДПС щодо впровадження електронної акцизної марки, проведення розрахункових операцій у сфері торгівлі, громадського харчування та послуг тощо.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Представники бізнесу мали змогу не лише отримати вичерпні відповіді на свої питання, але й поділитися своїми пропозиціями щодо сфери оподаткування.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Відкритість, доступність та прозорість – принципи роботи податкової служби, які реалізовуються у рамках функціонування Комунікаційної податкової платформи. ДПС продовжує дієвий діалог з бізнесом.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Інформація розміщена на офіційному </w:t>
      </w:r>
      <w:proofErr w:type="spellStart"/>
      <w:r w:rsidRPr="007F5B24">
        <w:rPr>
          <w:rFonts w:ascii="Times New Roman" w:eastAsia="Times New Roman" w:hAnsi="Times New Roman" w:cs="Times New Roman"/>
          <w:sz w:val="20"/>
          <w:szCs w:val="20"/>
          <w:lang w:val="uk-UA" w:eastAsia="ru-RU"/>
        </w:rPr>
        <w:t>вебпорталі</w:t>
      </w:r>
      <w:proofErr w:type="spellEnd"/>
      <w:r w:rsidRPr="007F5B24">
        <w:rPr>
          <w:rFonts w:ascii="Times New Roman" w:eastAsia="Times New Roman" w:hAnsi="Times New Roman" w:cs="Times New Roman"/>
          <w:sz w:val="20"/>
          <w:szCs w:val="20"/>
          <w:lang w:val="uk-UA" w:eastAsia="ru-RU"/>
        </w:rPr>
        <w:t xml:space="preserve"> ДПС України за посиланням </w:t>
      </w:r>
      <w:hyperlink r:id="rId18" w:history="1">
        <w:r w:rsidRPr="007F5B24">
          <w:rPr>
            <w:rFonts w:ascii="Times New Roman" w:eastAsia="Times New Roman" w:hAnsi="Times New Roman" w:cs="Times New Roman"/>
            <w:color w:val="0000FF"/>
            <w:sz w:val="20"/>
            <w:szCs w:val="20"/>
            <w:u w:val="single"/>
            <w:lang w:val="uk-UA" w:eastAsia="ru-RU"/>
          </w:rPr>
          <w:t>https://tax.gov.ua/media-tsentr/novini/435876.html</w:t>
        </w:r>
      </w:hyperlink>
      <w:r w:rsidRPr="007F5B24">
        <w:rPr>
          <w:rFonts w:ascii="Times New Roman" w:eastAsia="Times New Roman" w:hAnsi="Times New Roman" w:cs="Times New Roman"/>
          <w:sz w:val="20"/>
          <w:szCs w:val="20"/>
          <w:lang w:val="uk-UA" w:eastAsia="ru-RU"/>
        </w:rPr>
        <w:t xml:space="preserve"> .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Закон України № 466: деякі зміни для платників єдиного податку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низка змін до розділу XIV. «СПЕЦІАЛЬНІ ПОДАТКОВІ РЕЖИМИ» Податкового кодексу України (далі –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Так, зокрема,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зменшується з 15-ти до 10-ти днів строк, до закінчення якого платник єдиного податку третьої групи зі ставкою 5 %. може подати заяву про зміну ставки цього податку на 3 % та реєстрації такого платника єдиного податку платником ПДВ у порядку, встановленому розділом V ПКУ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«б» п. 293.8 ст. 293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обмежується поширення пільги у вигляді земельного податку на платників єдиного податку першої – третьої груп при наданні нерухомого майна в оренду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4 п. 297.1 ст. 297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встановлюється, що анулювання реєстрації єдиного податку можливе у разі наявності податкового боргу, який перевищує 1020 гривень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8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298.2.3 п. 298.2 ст. 298 ПКУ).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Реєстрацію ПН та/або РК у ЄРПН необхідно здійснювати з урахуванням граничних строків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З</w:t>
      </w:r>
      <w:r w:rsidR="006A655A" w:rsidRPr="007F5B24">
        <w:rPr>
          <w:rFonts w:ascii="Times New Roman" w:eastAsia="Times New Roman" w:hAnsi="Times New Roman" w:cs="Times New Roman"/>
          <w:sz w:val="20"/>
          <w:szCs w:val="20"/>
          <w:lang w:val="uk-UA" w:eastAsia="ru-RU"/>
        </w:rPr>
        <w:t xml:space="preserve">гідно з п. 192.1 ст. 192 Податкового кодексу України (далі –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w:t>
      </w:r>
      <w:proofErr w:type="spellStart"/>
      <w:r w:rsidR="006A655A" w:rsidRPr="007F5B24">
        <w:rPr>
          <w:rFonts w:ascii="Times New Roman" w:eastAsia="Times New Roman" w:hAnsi="Times New Roman" w:cs="Times New Roman"/>
          <w:sz w:val="20"/>
          <w:szCs w:val="20"/>
          <w:lang w:val="uk-UA" w:eastAsia="ru-RU"/>
        </w:rPr>
        <w:t>отримувача</w:t>
      </w:r>
      <w:proofErr w:type="spellEnd"/>
      <w:r w:rsidR="006A655A" w:rsidRPr="007F5B24">
        <w:rPr>
          <w:rFonts w:ascii="Times New Roman" w:eastAsia="Times New Roman" w:hAnsi="Times New Roman" w:cs="Times New Roman"/>
          <w:sz w:val="20"/>
          <w:szCs w:val="20"/>
          <w:lang w:val="uk-UA" w:eastAsia="ru-RU"/>
        </w:rPr>
        <w:t xml:space="preserve"> підлягають відповідному коригуванню на підставі розрахунку коригування до податкової накладної (далі – ПН), складеному в порядку, встановленому для податкових накладних, та зареєстрованому в Єдиному реєстрі податкових накладних (далі – ЄРПН).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Розрахунок коригування (далі – РК), складений постачальником товарів/послуг до ПН, яка складена на </w:t>
      </w:r>
      <w:proofErr w:type="spellStart"/>
      <w:r w:rsidRPr="007F5B24">
        <w:rPr>
          <w:rFonts w:ascii="Times New Roman" w:eastAsia="Times New Roman" w:hAnsi="Times New Roman" w:cs="Times New Roman"/>
          <w:sz w:val="20"/>
          <w:szCs w:val="20"/>
          <w:lang w:val="uk-UA" w:eastAsia="ru-RU"/>
        </w:rPr>
        <w:t>отримувача</w:t>
      </w:r>
      <w:proofErr w:type="spellEnd"/>
      <w:r w:rsidRPr="007F5B24">
        <w:rPr>
          <w:rFonts w:ascii="Times New Roman" w:eastAsia="Times New Roman" w:hAnsi="Times New Roman" w:cs="Times New Roman"/>
          <w:sz w:val="20"/>
          <w:szCs w:val="20"/>
          <w:lang w:val="uk-UA" w:eastAsia="ru-RU"/>
        </w:rPr>
        <w:t xml:space="preserve"> – платника ПДВ, підлягає реєстрації в ЄРПН </w:t>
      </w:r>
      <w:proofErr w:type="spellStart"/>
      <w:r w:rsidRPr="007F5B24">
        <w:rPr>
          <w:rFonts w:ascii="Times New Roman" w:eastAsia="Times New Roman" w:hAnsi="Times New Roman" w:cs="Times New Roman"/>
          <w:sz w:val="20"/>
          <w:szCs w:val="20"/>
          <w:lang w:val="uk-UA" w:eastAsia="ru-RU"/>
        </w:rPr>
        <w:t>отримувачем</w:t>
      </w:r>
      <w:proofErr w:type="spellEnd"/>
      <w:r w:rsidRPr="007F5B24">
        <w:rPr>
          <w:rFonts w:ascii="Times New Roman" w:eastAsia="Times New Roman" w:hAnsi="Times New Roman" w:cs="Times New Roman"/>
          <w:sz w:val="20"/>
          <w:szCs w:val="20"/>
          <w:lang w:val="uk-UA" w:eastAsia="ru-RU"/>
        </w:rPr>
        <w:t xml:space="preserve">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РК </w:t>
      </w:r>
      <w:proofErr w:type="spellStart"/>
      <w:r w:rsidRPr="007F5B24">
        <w:rPr>
          <w:rFonts w:ascii="Times New Roman" w:eastAsia="Times New Roman" w:hAnsi="Times New Roman" w:cs="Times New Roman"/>
          <w:sz w:val="20"/>
          <w:szCs w:val="20"/>
          <w:lang w:val="uk-UA" w:eastAsia="ru-RU"/>
        </w:rPr>
        <w:t>отримувачу</w:t>
      </w:r>
      <w:proofErr w:type="spellEnd"/>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Якщо внаслідок такого перерахунку відбувається зменшення суми компенсації на користь платника ПДВ – постачальника, то: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а) постачальник відповідно зменшує суму податкових зобов’язань за результатами податкового періоду, протягом якого був проведений такий перерахунок;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б) </w:t>
      </w:r>
      <w:proofErr w:type="spellStart"/>
      <w:r w:rsidRPr="007F5B24">
        <w:rPr>
          <w:rFonts w:ascii="Times New Roman" w:eastAsia="Times New Roman" w:hAnsi="Times New Roman" w:cs="Times New Roman"/>
          <w:sz w:val="20"/>
          <w:szCs w:val="20"/>
          <w:lang w:val="uk-UA" w:eastAsia="ru-RU"/>
        </w:rPr>
        <w:t>отримувач</w:t>
      </w:r>
      <w:proofErr w:type="spellEnd"/>
      <w:r w:rsidRPr="007F5B24">
        <w:rPr>
          <w:rFonts w:ascii="Times New Roman" w:eastAsia="Times New Roman" w:hAnsi="Times New Roman" w:cs="Times New Roman"/>
          <w:sz w:val="20"/>
          <w:szCs w:val="20"/>
          <w:lang w:val="uk-UA" w:eastAsia="ru-RU"/>
        </w:rPr>
        <w:t xml:space="preserve"> відповідно зменшує суму податкового кредиту за результатами такого податкового періоду в разі, якщо він зареєстрований як платник ПДВ на дату проведення коригування, а також збільшив податковий кредит у зв’язку з отриманням таких товарів/послуг.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Постачальник має право зменшити суму податкових зобов’язань лише після реєстрації в ЄРПН РК до ПН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192.1.1 п. 192.1 ст.192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Реєстрація ПН та/або РК у ЄРПН повинна здійснюватися з урахуванням граничних строків: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для ПН та/або РК, складених з 1 по 15 календарний день (включно) календарного місяця, – до останнього дня (включно) календарного місяця, в якому вони складені;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для ПН та/або РК,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для зведених ПН та/або РК до таких зведених податкових накладних, складених за операціями, визначеними п. 198.5 ст. 198 та п. 199.1 ст. 199 ПКУ, – протягом 20 календарних днів, що настають за останнім календарним днем місяця, в якому вони складені;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 для РК, складених постачальником товарів/послуг до ПН, що складена на </w:t>
      </w:r>
      <w:proofErr w:type="spellStart"/>
      <w:r w:rsidRPr="007F5B24">
        <w:rPr>
          <w:rFonts w:ascii="Times New Roman" w:eastAsia="Times New Roman" w:hAnsi="Times New Roman" w:cs="Times New Roman"/>
          <w:sz w:val="20"/>
          <w:szCs w:val="20"/>
          <w:lang w:val="uk-UA" w:eastAsia="ru-RU"/>
        </w:rPr>
        <w:t>отримувача</w:t>
      </w:r>
      <w:proofErr w:type="spellEnd"/>
      <w:r w:rsidRPr="007F5B24">
        <w:rPr>
          <w:rFonts w:ascii="Times New Roman" w:eastAsia="Times New Roman" w:hAnsi="Times New Roman" w:cs="Times New Roman"/>
          <w:sz w:val="20"/>
          <w:szCs w:val="20"/>
          <w:lang w:val="uk-UA" w:eastAsia="ru-RU"/>
        </w:rPr>
        <w:t xml:space="preserve">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до ПН </w:t>
      </w:r>
      <w:proofErr w:type="spellStart"/>
      <w:r w:rsidRPr="007F5B24">
        <w:rPr>
          <w:rFonts w:ascii="Times New Roman" w:eastAsia="Times New Roman" w:hAnsi="Times New Roman" w:cs="Times New Roman"/>
          <w:sz w:val="20"/>
          <w:szCs w:val="20"/>
          <w:lang w:val="uk-UA" w:eastAsia="ru-RU"/>
        </w:rPr>
        <w:t>отримувачем</w:t>
      </w:r>
      <w:proofErr w:type="spellEnd"/>
      <w:r w:rsidRPr="007F5B24">
        <w:rPr>
          <w:rFonts w:ascii="Times New Roman" w:eastAsia="Times New Roman" w:hAnsi="Times New Roman" w:cs="Times New Roman"/>
          <w:sz w:val="20"/>
          <w:szCs w:val="20"/>
          <w:lang w:val="uk-UA" w:eastAsia="ru-RU"/>
        </w:rPr>
        <w:t xml:space="preserve"> (покупцем) (п. 201.10 ст. 201 ПКУ). </w:t>
      </w:r>
    </w:p>
    <w:p w:rsidR="007971D0" w:rsidRPr="007F5B24" w:rsidRDefault="007971D0" w:rsidP="007971D0">
      <w:pPr>
        <w:rPr>
          <w:rFonts w:ascii="Times New Roman" w:eastAsia="Times New Roman" w:hAnsi="Times New Roman" w:cs="Times New Roman"/>
          <w:sz w:val="20"/>
          <w:szCs w:val="20"/>
          <w:lang w:val="uk-UA" w:eastAsia="ru-RU"/>
        </w:rPr>
      </w:pPr>
    </w:p>
    <w:p w:rsidR="006A655A" w:rsidRPr="007F5B24" w:rsidRDefault="006A655A" w:rsidP="007971D0">
      <w:pPr>
        <w:jc w:val="left"/>
        <w:outlineLvl w:val="0"/>
        <w:rPr>
          <w:rFonts w:ascii="Times New Roman" w:eastAsia="Times New Roman" w:hAnsi="Times New Roman" w:cs="Times New Roman"/>
          <w:b/>
          <w:bCs/>
          <w:kern w:val="36"/>
          <w:sz w:val="20"/>
          <w:szCs w:val="20"/>
          <w:lang w:val="uk-UA" w:eastAsia="ru-RU"/>
        </w:rPr>
      </w:pPr>
      <w:r w:rsidRPr="007F5B24">
        <w:rPr>
          <w:rFonts w:ascii="Times New Roman" w:eastAsia="Times New Roman" w:hAnsi="Times New Roman" w:cs="Times New Roman"/>
          <w:b/>
          <w:bCs/>
          <w:kern w:val="36"/>
          <w:sz w:val="20"/>
          <w:szCs w:val="20"/>
          <w:lang w:val="uk-UA" w:eastAsia="ru-RU"/>
        </w:rPr>
        <w:t xml:space="preserve">Чи оподатковується акцизним податком послуга з куріння </w:t>
      </w:r>
      <w:proofErr w:type="spellStart"/>
      <w:r w:rsidRPr="007F5B24">
        <w:rPr>
          <w:rFonts w:ascii="Times New Roman" w:eastAsia="Times New Roman" w:hAnsi="Times New Roman" w:cs="Times New Roman"/>
          <w:b/>
          <w:bCs/>
          <w:kern w:val="36"/>
          <w:sz w:val="20"/>
          <w:szCs w:val="20"/>
          <w:lang w:val="uk-UA" w:eastAsia="ru-RU"/>
        </w:rPr>
        <w:t>кальяна</w:t>
      </w:r>
      <w:proofErr w:type="spellEnd"/>
      <w:r w:rsidRPr="007F5B24">
        <w:rPr>
          <w:rFonts w:ascii="Times New Roman" w:eastAsia="Times New Roman" w:hAnsi="Times New Roman" w:cs="Times New Roman"/>
          <w:b/>
          <w:bCs/>
          <w:kern w:val="36"/>
          <w:sz w:val="20"/>
          <w:szCs w:val="20"/>
          <w:lang w:val="uk-UA" w:eastAsia="ru-RU"/>
        </w:rPr>
        <w:t xml:space="preserve"> та як при цьому визначається база оподаткування? </w:t>
      </w:r>
    </w:p>
    <w:p w:rsidR="006A655A" w:rsidRPr="007F5B24" w:rsidRDefault="007971D0"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П</w:t>
      </w:r>
      <w:r w:rsidR="006A655A" w:rsidRPr="007F5B24">
        <w:rPr>
          <w:rFonts w:ascii="Times New Roman" w:eastAsia="Times New Roman" w:hAnsi="Times New Roman" w:cs="Times New Roman"/>
          <w:sz w:val="20"/>
          <w:szCs w:val="20"/>
          <w:lang w:val="uk-UA" w:eastAsia="ru-RU"/>
        </w:rPr>
        <w:t>овідомляє</w:t>
      </w:r>
      <w:r w:rsidRPr="007F5B24">
        <w:rPr>
          <w:rFonts w:ascii="Times New Roman" w:eastAsia="Times New Roman" w:hAnsi="Times New Roman" w:cs="Times New Roman"/>
          <w:sz w:val="20"/>
          <w:szCs w:val="20"/>
          <w:lang w:val="uk-UA" w:eastAsia="ru-RU"/>
        </w:rPr>
        <w:t>мо</w:t>
      </w:r>
      <w:r w:rsidR="006A655A" w:rsidRPr="007F5B24">
        <w:rPr>
          <w:rFonts w:ascii="Times New Roman" w:eastAsia="Times New Roman" w:hAnsi="Times New Roman" w:cs="Times New Roman"/>
          <w:sz w:val="20"/>
          <w:szCs w:val="20"/>
          <w:lang w:val="uk-UA" w:eastAsia="ru-RU"/>
        </w:rPr>
        <w:t xml:space="preserve">, що платником акцизного податку (далі – платник) є, зокрема особа – суб’єкт господарювання роздрібної торгівлі, яка здійснює реалізацію підакцизних товарів.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Норми встановлені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212.1.11 п. 212.1 ст. 212 Податкового кодексу України (далі –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lastRenderedPageBreak/>
        <w:t xml:space="preserve">Вичерпний перелік підакцизних товарів встановлено ст. 215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абзацу третього п. 215.1 ст. 215 ПКУ до підакцизних товарів належать, зокрема, тютюнові вироби, тютюн та промислові замінники тютюну.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Тютюнові вироби – це сигарети з фільтром або без фільтру, цигарки, сигари, </w:t>
      </w:r>
      <w:proofErr w:type="spellStart"/>
      <w:r w:rsidRPr="007F5B24">
        <w:rPr>
          <w:rFonts w:ascii="Times New Roman" w:eastAsia="Times New Roman" w:hAnsi="Times New Roman" w:cs="Times New Roman"/>
          <w:sz w:val="20"/>
          <w:szCs w:val="20"/>
          <w:lang w:val="uk-UA" w:eastAsia="ru-RU"/>
        </w:rPr>
        <w:t>сигарили</w:t>
      </w:r>
      <w:proofErr w:type="spellEnd"/>
      <w:r w:rsidRPr="007F5B24">
        <w:rPr>
          <w:rFonts w:ascii="Times New Roman" w:eastAsia="Times New Roman" w:hAnsi="Times New Roman" w:cs="Times New Roman"/>
          <w:sz w:val="20"/>
          <w:szCs w:val="20"/>
          <w:lang w:val="uk-UA" w:eastAsia="ru-RU"/>
        </w:rPr>
        <w:t>, а також люльковий, нюхальний, смоктальний, жувальний тютюн, махорка та інші вироби з тютюну чи його замінників для куріння, нюхання, смоктання чи жування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14.1.252 п. 14.1 ст. 14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п. 1 примітки до </w:t>
      </w:r>
      <w:proofErr w:type="spellStart"/>
      <w:r w:rsidRPr="007F5B24">
        <w:rPr>
          <w:rFonts w:ascii="Times New Roman" w:eastAsia="Times New Roman" w:hAnsi="Times New Roman" w:cs="Times New Roman"/>
          <w:sz w:val="20"/>
          <w:szCs w:val="20"/>
          <w:lang w:val="uk-UA" w:eastAsia="ru-RU"/>
        </w:rPr>
        <w:t>підпозицій</w:t>
      </w:r>
      <w:proofErr w:type="spellEnd"/>
      <w:r w:rsidRPr="007F5B24">
        <w:rPr>
          <w:rFonts w:ascii="Times New Roman" w:eastAsia="Times New Roman" w:hAnsi="Times New Roman" w:cs="Times New Roman"/>
          <w:sz w:val="20"/>
          <w:szCs w:val="20"/>
          <w:lang w:val="uk-UA" w:eastAsia="ru-RU"/>
        </w:rPr>
        <w:t xml:space="preserve"> групи 24 «Тютюн і промислові замінники тютюну» розділу IV Закону України від 04 червня 2020 року № 674-IX «Про митний тариф України» в </w:t>
      </w:r>
      <w:proofErr w:type="spellStart"/>
      <w:r w:rsidRPr="007F5B24">
        <w:rPr>
          <w:rFonts w:ascii="Times New Roman" w:eastAsia="Times New Roman" w:hAnsi="Times New Roman" w:cs="Times New Roman"/>
          <w:sz w:val="20"/>
          <w:szCs w:val="20"/>
          <w:lang w:val="uk-UA" w:eastAsia="ru-RU"/>
        </w:rPr>
        <w:t>підпозиції</w:t>
      </w:r>
      <w:proofErr w:type="spellEnd"/>
      <w:r w:rsidRPr="007F5B24">
        <w:rPr>
          <w:rFonts w:ascii="Times New Roman" w:eastAsia="Times New Roman" w:hAnsi="Times New Roman" w:cs="Times New Roman"/>
          <w:sz w:val="20"/>
          <w:szCs w:val="20"/>
          <w:lang w:val="uk-UA" w:eastAsia="ru-RU"/>
        </w:rPr>
        <w:t xml:space="preserve"> 2403 11 термін «тютюн для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означає тютюн, призначений для куріння за допомогою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що складається з суміші тютюну та гліцерину, з вмістом або без вмісту ароматичних масел і екстрактів, меляси або цукру, який має або не має фруктового аромату. Проте продукти, що не містять тютюн, призначені для куріння за допомогою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виключаються з цієї </w:t>
      </w:r>
      <w:proofErr w:type="spellStart"/>
      <w:r w:rsidRPr="007F5B24">
        <w:rPr>
          <w:rFonts w:ascii="Times New Roman" w:eastAsia="Times New Roman" w:hAnsi="Times New Roman" w:cs="Times New Roman"/>
          <w:sz w:val="20"/>
          <w:szCs w:val="20"/>
          <w:lang w:val="uk-UA" w:eastAsia="ru-RU"/>
        </w:rPr>
        <w:t>підпозиції</w:t>
      </w:r>
      <w:proofErr w:type="spellEnd"/>
      <w:r w:rsidRPr="007F5B24">
        <w:rPr>
          <w:rFonts w:ascii="Times New Roman" w:eastAsia="Times New Roman" w:hAnsi="Times New Roman" w:cs="Times New Roman"/>
          <w:sz w:val="20"/>
          <w:szCs w:val="20"/>
          <w:lang w:val="uk-UA" w:eastAsia="ru-RU"/>
        </w:rPr>
        <w:t xml:space="preserve">.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тютюн для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якому присвоєно код згідно з УКТ </w:t>
      </w:r>
      <w:proofErr w:type="spellStart"/>
      <w:r w:rsidRPr="007F5B24">
        <w:rPr>
          <w:rFonts w:ascii="Times New Roman" w:eastAsia="Times New Roman" w:hAnsi="Times New Roman" w:cs="Times New Roman"/>
          <w:sz w:val="20"/>
          <w:szCs w:val="20"/>
          <w:lang w:val="uk-UA" w:eastAsia="ru-RU"/>
        </w:rPr>
        <w:t>ЗЕД</w:t>
      </w:r>
      <w:proofErr w:type="spellEnd"/>
      <w:r w:rsidRPr="007F5B24">
        <w:rPr>
          <w:rFonts w:ascii="Times New Roman" w:eastAsia="Times New Roman" w:hAnsi="Times New Roman" w:cs="Times New Roman"/>
          <w:sz w:val="20"/>
          <w:szCs w:val="20"/>
          <w:lang w:val="uk-UA" w:eastAsia="ru-RU"/>
        </w:rPr>
        <w:t xml:space="preserve"> 2403 11, відповідно до чинного законодавства є підакцизним товаром, акцизний податок з якого справляється та обчислюється за ставками, визначеними у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215.3.2 п. 215.3 ст. 215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Разом з цим,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213.1.9 п. 213.1 ст. 213 ПКУ визначено, що об’єктом оподаткування акцизним податком є, зокрема, операції з реалізації суб’єктами господарювання роздрібної торгівлі підакцизних товарів.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Реалізація суб’єктами господарювання роздрібної торгівлі підакцизних товарів – це продаж пива, алкогольних напоїв, тютюнових виробів, тютюну та промислових замінників тютюну безпосередньо громадянам та іншим кінцевим споживачам для їх особистого некомерційного використання незалежно від форми розрахунків, у т.ч. на розлив у ресторанах, кафе, барах, інших об’єктах громадського харчування (абзац одинадцятий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14.1.212 п. 14.1 ст. 14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Відповідно до п. 216.9 ст. 216 ПКУ датою виникнення податкових зобов’язань щодо реалізації суб’єктами господарювання роздрібної торгівлі підакцизних товарів є дата здійснення розрахункової операції відповідно до Закону України від 06 липня 1995 року № 265/95-ВР «Про застосування реєстраторів розрахункових операцій в сфері торгівлі, громадського харчування та послуг» зі змінами, для безготівкових розрахунків – дата оформлення розрахункового документа на суму проведеної операції, який підтверджує факт продажу, а у разі реалізації товарів фізичними особами – підприємцями, які сплачують єдиний податок, – дата надходження оплати за проданий товар.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Форми і зміст розрахункових документів, які повинні видаватися при здійсненні розрахунків суб’єктами господарювання для підтвердження факту продажу (повернення) товарів визначено Положенням про форму та зміст розрахункових документів, затвердженим наказом Міністерства фінансів України від 21.01.2016 № 13 «Про затвердження Положення про форму та зміст розрахункових документів/електронних розрахункових документів, Порядку подання звітності, пов’язаної із використанням книг обліку розрахункових операцій (розрахункових книжок), форми № ЗВР-1 Звіту про використання книг обліку розрахункових операцій (розрахункових книжок)» зі змінами (далі – Положення).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Для суб’єктів господарювання роздрібної торгівлі, що здійснюють реалізацію підакцизних товарів та зареєстровані платниками акцизного податку (суб’єкти господарювання, що зареєстровані платниками іншого податку, крім ПДВ), Положенням передбачено друк у фіскальному чеку – окремим рядком літерне позначення, розмір ставки такого податку, загальна сума такого податку за всіма зазначеними в чеку товарами (послугами), на початку рядка друкується назва такого податку (рядок 21). У реквізиті «Акцизний податок» його назва наводиться згідно з ПКУ. За потреби дозволяється використовувати скорочення (п. 2 розділу ІІ Положення).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Базою оподаткування акцизним податком є, вартість (з податком на додану вартість та без урахування акцизного податку з реалізації суб’єктами господарювання роздрібної торгівлі підакцизних товарів) підакцизних товарів, що реалізовані суб’єктами господарювання роздрібної торгівлі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214.1.4 п. 214.1 ст. 214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Отже, тютюн для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та/або алкогольні напої які суб’єкт господарювання роздрібної торгівлі продаватиме покупцям (у т.ч. у вигляді куріння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підлягають оподаткуванню акцизним податком з роздрібного продажу, оскільки операції з реалізації (продажу) підакцизних товарів (тютюну для </w:t>
      </w:r>
      <w:proofErr w:type="spellStart"/>
      <w:r w:rsidRPr="007F5B24">
        <w:rPr>
          <w:rFonts w:ascii="Times New Roman" w:eastAsia="Times New Roman" w:hAnsi="Times New Roman" w:cs="Times New Roman"/>
          <w:sz w:val="20"/>
          <w:szCs w:val="20"/>
          <w:lang w:val="uk-UA" w:eastAsia="ru-RU"/>
        </w:rPr>
        <w:t>кальяна</w:t>
      </w:r>
      <w:proofErr w:type="spellEnd"/>
      <w:r w:rsidRPr="007F5B24">
        <w:rPr>
          <w:rFonts w:ascii="Times New Roman" w:eastAsia="Times New Roman" w:hAnsi="Times New Roman" w:cs="Times New Roman"/>
          <w:sz w:val="20"/>
          <w:szCs w:val="20"/>
          <w:lang w:val="uk-UA" w:eastAsia="ru-RU"/>
        </w:rPr>
        <w:t xml:space="preserve">, вина, коньяку тощо) є об’єктом оподаткування акцизним податком з роздрібного продажу.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При цьому платник податку – суб’єкт роздрібної торгівлі, відповідно до п. 217.1 ст. 217 ПКУ, повинен самостійно визначити суму податку, що підлягає сплаті, виходячи з об’єкту оподаткування, бази оподаткування та ставок цього податку, що діють на дату виникнення податкових зобов’язань.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Ставка податку для пива, алкогольних напоїв, тютюнових виробів, тютюну та промислових замінників тютюну, реалізованих відповідно до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213.1.9 п. 213.1 ст. 213 ПКУ, становить 5 відсотків (</w:t>
      </w:r>
      <w:proofErr w:type="spellStart"/>
      <w:r w:rsidRPr="007F5B24">
        <w:rPr>
          <w:rFonts w:ascii="Times New Roman" w:eastAsia="Times New Roman" w:hAnsi="Times New Roman" w:cs="Times New Roman"/>
          <w:sz w:val="20"/>
          <w:szCs w:val="20"/>
          <w:lang w:val="uk-UA" w:eastAsia="ru-RU"/>
        </w:rPr>
        <w:t>п.п</w:t>
      </w:r>
      <w:proofErr w:type="spellEnd"/>
      <w:r w:rsidRPr="007F5B24">
        <w:rPr>
          <w:rFonts w:ascii="Times New Roman" w:eastAsia="Times New Roman" w:hAnsi="Times New Roman" w:cs="Times New Roman"/>
          <w:sz w:val="20"/>
          <w:szCs w:val="20"/>
          <w:lang w:val="uk-UA" w:eastAsia="ru-RU"/>
        </w:rPr>
        <w:t xml:space="preserve">. 215.3.10 п. 215.3 ст. 215 ПКУ). </w:t>
      </w:r>
    </w:p>
    <w:p w:rsidR="006A655A" w:rsidRPr="007F5B24" w:rsidRDefault="006A655A" w:rsidP="007971D0">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 xml:space="preserve">Відповідне запитання та відповідь на нього розміщене у категорії 114.03 розділу «ЗАПИТАННЯ-ВІДПОВІДІ З БАЗИ ЗНАНЬ» ЗАГАЛЬНОДОСТУПНОГО ІНФОРМАЦІЙНО-ДОВІДКОВОГО РЕСУРСУ на офіційному </w:t>
      </w:r>
      <w:proofErr w:type="spellStart"/>
      <w:r w:rsidRPr="007F5B24">
        <w:rPr>
          <w:rFonts w:ascii="Times New Roman" w:eastAsia="Times New Roman" w:hAnsi="Times New Roman" w:cs="Times New Roman"/>
          <w:sz w:val="20"/>
          <w:szCs w:val="20"/>
          <w:lang w:val="uk-UA" w:eastAsia="ru-RU"/>
        </w:rPr>
        <w:t>веб-порталі</w:t>
      </w:r>
      <w:proofErr w:type="spellEnd"/>
      <w:r w:rsidRPr="007F5B24">
        <w:rPr>
          <w:rFonts w:ascii="Times New Roman" w:eastAsia="Times New Roman" w:hAnsi="Times New Roman" w:cs="Times New Roman"/>
          <w:sz w:val="20"/>
          <w:szCs w:val="20"/>
          <w:lang w:val="uk-UA" w:eastAsia="ru-RU"/>
        </w:rPr>
        <w:t xml:space="preserve"> ДПС України за посиланням </w:t>
      </w:r>
      <w:hyperlink r:id="rId19" w:history="1">
        <w:r w:rsidRPr="007F5B24">
          <w:rPr>
            <w:rFonts w:ascii="Times New Roman" w:eastAsia="Times New Roman" w:hAnsi="Times New Roman" w:cs="Times New Roman"/>
            <w:color w:val="0000FF"/>
            <w:sz w:val="20"/>
            <w:szCs w:val="20"/>
            <w:u w:val="single"/>
            <w:lang w:val="uk-UA" w:eastAsia="ru-RU"/>
          </w:rPr>
          <w:t>http://zir.tax.gov.ua</w:t>
        </w:r>
      </w:hyperlink>
      <w:r w:rsidRPr="007F5B24">
        <w:rPr>
          <w:rFonts w:ascii="Times New Roman" w:eastAsia="Times New Roman" w:hAnsi="Times New Roman" w:cs="Times New Roman"/>
          <w:sz w:val="20"/>
          <w:szCs w:val="20"/>
          <w:lang w:val="uk-UA" w:eastAsia="ru-RU"/>
        </w:rPr>
        <w:t xml:space="preserve"> . </w:t>
      </w:r>
    </w:p>
    <w:p w:rsidR="00260B87" w:rsidRPr="007F5B24" w:rsidRDefault="00260B87" w:rsidP="007971D0">
      <w:pPr>
        <w:rPr>
          <w:rFonts w:ascii="Times New Roman" w:hAnsi="Times New Roman" w:cs="Times New Roman"/>
          <w:sz w:val="20"/>
          <w:szCs w:val="20"/>
          <w:lang w:val="uk-UA"/>
        </w:rPr>
      </w:pPr>
    </w:p>
    <w:p w:rsidR="00260B87" w:rsidRPr="00260B87" w:rsidRDefault="00260B87" w:rsidP="007F5B24">
      <w:pPr>
        <w:jc w:val="left"/>
        <w:outlineLvl w:val="0"/>
        <w:rPr>
          <w:rFonts w:ascii="Times New Roman" w:eastAsia="Times New Roman" w:hAnsi="Times New Roman" w:cs="Times New Roman"/>
          <w:b/>
          <w:bCs/>
          <w:kern w:val="36"/>
          <w:sz w:val="20"/>
          <w:szCs w:val="20"/>
          <w:lang w:val="uk-UA" w:eastAsia="ru-RU"/>
        </w:rPr>
      </w:pPr>
      <w:r w:rsidRPr="00260B87">
        <w:rPr>
          <w:rFonts w:ascii="Times New Roman" w:eastAsia="Times New Roman" w:hAnsi="Times New Roman" w:cs="Times New Roman"/>
          <w:b/>
          <w:bCs/>
          <w:kern w:val="36"/>
          <w:sz w:val="20"/>
          <w:szCs w:val="20"/>
          <w:lang w:val="uk-UA" w:eastAsia="ru-RU"/>
        </w:rPr>
        <w:t xml:space="preserve">До уваги фінансових агентів! </w:t>
      </w:r>
    </w:p>
    <w:p w:rsidR="00260B87" w:rsidRPr="00260B87" w:rsidRDefault="007F5B24" w:rsidP="007F5B24">
      <w:pPr>
        <w:rPr>
          <w:rFonts w:ascii="Times New Roman" w:eastAsia="Times New Roman" w:hAnsi="Times New Roman" w:cs="Times New Roman"/>
          <w:sz w:val="20"/>
          <w:szCs w:val="20"/>
          <w:lang w:val="uk-UA" w:eastAsia="ru-RU"/>
        </w:rPr>
      </w:pPr>
      <w:r w:rsidRPr="007F5B24">
        <w:rPr>
          <w:rFonts w:ascii="Times New Roman" w:eastAsia="Times New Roman" w:hAnsi="Times New Roman" w:cs="Times New Roman"/>
          <w:sz w:val="20"/>
          <w:szCs w:val="20"/>
          <w:lang w:val="uk-UA" w:eastAsia="ru-RU"/>
        </w:rPr>
        <w:t>Н</w:t>
      </w:r>
      <w:r w:rsidR="00260B87" w:rsidRPr="00260B87">
        <w:rPr>
          <w:rFonts w:ascii="Times New Roman" w:eastAsia="Times New Roman" w:hAnsi="Times New Roman" w:cs="Times New Roman"/>
          <w:sz w:val="20"/>
          <w:szCs w:val="20"/>
          <w:lang w:val="uk-UA" w:eastAsia="ru-RU"/>
        </w:rPr>
        <w:t>агадує</w:t>
      </w:r>
      <w:r w:rsidRPr="007F5B24">
        <w:rPr>
          <w:rFonts w:ascii="Times New Roman" w:eastAsia="Times New Roman" w:hAnsi="Times New Roman" w:cs="Times New Roman"/>
          <w:sz w:val="20"/>
          <w:szCs w:val="20"/>
          <w:lang w:val="uk-UA" w:eastAsia="ru-RU"/>
        </w:rPr>
        <w:t>мо</w:t>
      </w:r>
      <w:r w:rsidR="00260B87" w:rsidRPr="00260B87">
        <w:rPr>
          <w:rFonts w:ascii="Times New Roman" w:eastAsia="Times New Roman" w:hAnsi="Times New Roman" w:cs="Times New Roman"/>
          <w:sz w:val="20"/>
          <w:szCs w:val="20"/>
          <w:lang w:val="uk-UA" w:eastAsia="ru-RU"/>
        </w:rPr>
        <w:t>, що за 2019 податковий рік перенесено строки подання звітів про підзвітні рахунки в рамках Угоди FATCA</w:t>
      </w:r>
      <w:r w:rsidR="00260B87" w:rsidRPr="007F5B24">
        <w:rPr>
          <w:rFonts w:ascii="Times New Roman" w:eastAsia="Times New Roman" w:hAnsi="Times New Roman" w:cs="Times New Roman"/>
          <w:b/>
          <w:bCs/>
          <w:sz w:val="20"/>
          <w:szCs w:val="20"/>
          <w:lang w:val="uk-UA" w:eastAsia="ru-RU"/>
        </w:rPr>
        <w:t>.</w:t>
      </w:r>
      <w:r w:rsidR="00260B87" w:rsidRPr="00260B87">
        <w:rPr>
          <w:rFonts w:ascii="Times New Roman" w:eastAsia="Times New Roman" w:hAnsi="Times New Roman" w:cs="Times New Roman"/>
          <w:sz w:val="20"/>
          <w:szCs w:val="20"/>
          <w:lang w:val="uk-UA" w:eastAsia="ru-RU"/>
        </w:rPr>
        <w:t xml:space="preserve">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З метою забезпечення реалізації міжнародних зобов’язань України відповідно до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(далі – Угода FATCA) Державна податкова служба України повідомляє про отримання від Міністерства фінансів України такої інформації.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На офіційному сайті Служби внутрішніх доходів США опубліковане повідомлення про перенесення у зв’язку з COVID-19 строків подання звітів про підзвітні рахунки в рамках Угоди FATCA за 2019 податковий рік для компетентних органів країн, що звітують за моделлю IGA 1, до яких відноситься і Україна, на період до 31 грудня 2020 року. Повідомлення опубліковане за посиланням: </w:t>
      </w:r>
    </w:p>
    <w:p w:rsidR="00260B87" w:rsidRPr="00260B87" w:rsidRDefault="006606FB" w:rsidP="007F5B24">
      <w:pPr>
        <w:rPr>
          <w:rFonts w:ascii="Times New Roman" w:eastAsia="Times New Roman" w:hAnsi="Times New Roman" w:cs="Times New Roman"/>
          <w:sz w:val="20"/>
          <w:szCs w:val="20"/>
          <w:lang w:val="uk-UA" w:eastAsia="ru-RU"/>
        </w:rPr>
      </w:pPr>
      <w:hyperlink r:id="rId20" w:history="1">
        <w:r w:rsidR="00260B87" w:rsidRPr="007F5B24">
          <w:rPr>
            <w:rFonts w:ascii="Times New Roman" w:eastAsia="Times New Roman" w:hAnsi="Times New Roman" w:cs="Times New Roman"/>
            <w:color w:val="0000FF"/>
            <w:sz w:val="20"/>
            <w:szCs w:val="20"/>
            <w:u w:val="single"/>
            <w:lang w:val="uk-UA" w:eastAsia="ru-RU"/>
          </w:rPr>
          <w:t>https://www.irs.gov/newsroom/irs-grants-extension-of-time-to-file-fatca-information-returns</w:t>
        </w:r>
      </w:hyperlink>
      <w:r w:rsidR="00260B87" w:rsidRPr="00260B87">
        <w:rPr>
          <w:rFonts w:ascii="Times New Roman" w:eastAsia="Times New Roman" w:hAnsi="Times New Roman" w:cs="Times New Roman"/>
          <w:sz w:val="20"/>
          <w:szCs w:val="20"/>
          <w:lang w:val="uk-UA" w:eastAsia="ru-RU"/>
        </w:rPr>
        <w:t xml:space="preserve">.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Крім цього, листом від 07.08.2020 Міністерство фінансів США повідомило, що відповідно до постанов Мінфіну США (TD 9610, 78 </w:t>
      </w:r>
      <w:proofErr w:type="spellStart"/>
      <w:r w:rsidRPr="00260B87">
        <w:rPr>
          <w:rFonts w:ascii="Times New Roman" w:eastAsia="Times New Roman" w:hAnsi="Times New Roman" w:cs="Times New Roman"/>
          <w:sz w:val="20"/>
          <w:szCs w:val="20"/>
          <w:lang w:val="uk-UA" w:eastAsia="ru-RU"/>
        </w:rPr>
        <w:t>Fed</w:t>
      </w:r>
      <w:proofErr w:type="spellEnd"/>
      <w:r w:rsidRPr="00260B87">
        <w:rPr>
          <w:rFonts w:ascii="Times New Roman" w:eastAsia="Times New Roman" w:hAnsi="Times New Roman" w:cs="Times New Roman"/>
          <w:sz w:val="20"/>
          <w:szCs w:val="20"/>
          <w:lang w:val="uk-UA" w:eastAsia="ru-RU"/>
        </w:rPr>
        <w:t xml:space="preserve">. </w:t>
      </w:r>
      <w:proofErr w:type="spellStart"/>
      <w:r w:rsidRPr="00260B87">
        <w:rPr>
          <w:rFonts w:ascii="Times New Roman" w:eastAsia="Times New Roman" w:hAnsi="Times New Roman" w:cs="Times New Roman"/>
          <w:sz w:val="20"/>
          <w:szCs w:val="20"/>
          <w:lang w:val="uk-UA" w:eastAsia="ru-RU"/>
        </w:rPr>
        <w:t>Reg</w:t>
      </w:r>
      <w:proofErr w:type="spellEnd"/>
      <w:r w:rsidRPr="00260B87">
        <w:rPr>
          <w:rFonts w:ascii="Times New Roman" w:eastAsia="Times New Roman" w:hAnsi="Times New Roman" w:cs="Times New Roman"/>
          <w:sz w:val="20"/>
          <w:szCs w:val="20"/>
          <w:lang w:val="uk-UA" w:eastAsia="ru-RU"/>
        </w:rPr>
        <w:t xml:space="preserve">. 5873) термін подання звітів для всіх </w:t>
      </w:r>
      <w:proofErr w:type="spellStart"/>
      <w:r w:rsidRPr="00260B87">
        <w:rPr>
          <w:rFonts w:ascii="Times New Roman" w:eastAsia="Times New Roman" w:hAnsi="Times New Roman" w:cs="Times New Roman"/>
          <w:sz w:val="20"/>
          <w:szCs w:val="20"/>
          <w:lang w:val="uk-UA" w:eastAsia="ru-RU"/>
        </w:rPr>
        <w:t>звітуючих</w:t>
      </w:r>
      <w:proofErr w:type="spellEnd"/>
      <w:r w:rsidRPr="00260B87">
        <w:rPr>
          <w:rFonts w:ascii="Times New Roman" w:eastAsia="Times New Roman" w:hAnsi="Times New Roman" w:cs="Times New Roman"/>
          <w:sz w:val="20"/>
          <w:szCs w:val="20"/>
          <w:lang w:val="uk-UA" w:eastAsia="ru-RU"/>
        </w:rPr>
        <w:t xml:space="preserve"> країн, у тому числі для України, подовжено до 31 грудня 2020 року.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lastRenderedPageBreak/>
        <w:t xml:space="preserve">Зазначені рішення, прийняті Міністерством фінансів США, змінюють терміни виконання міжнародних зобов’язань України, встановлені пунктом 5 статті 3 Угоди FATCA, стосовно надання Службі внутрішніх доходів США інформації щодо підзвітних рахунків до 30 вересня 2020 року, що в свою чергу веде до зміни строків звітування для фінансових агентів.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Відповідно до пункту 69.8.3 статті 69 Податкового кодексу України  фінансові агенти зобов’язані щороку, до 1 вересня, подавати до центрального органу виконавчої влади, що реалізує державну податкову політику, звіт про підзвітні рахунки.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Згідно з пунктом 3.2 статті 3 Кодексу якщо міжнародним договором, згода на обов'язковість якого надана Верховною Радою України, встановлено інші правила, ніж ті, що передбачені цим Кодексом, застосовуються правила міжнародного договору.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Підпунктом b) пункту 6 статті 4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встановлено, що незважаючи на пункти 3 і 5 статті 3 цієї Угоди, Україна не зобов’язується починати обмін інформацією раніше дати, до якої вимагається подавати подібну інформацію іноземними фінансовими установами, що беруть участь, до Служби внутрішніх доходів відповідно до постанов Міністерства фінансів США.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Враховуючи зазначене, для ДПС України, яка є компетентним органом для цілей автоматичного обміну інформацією в рамках Угоди FATCA, строки подання до Служби внутрішніх доходів США звітів за 2019 податковий рік подовжено до 31 грудня 2020 року. Зважаючи на те, що у Кодексі встановлений термін звітності для фінансових агентів, який забезпечує компетентному органу місячний термін для обробки та перевірки наданої інформації, кінцевий строк подання фінансовими агентами звіту про підзвітні рахунки подовжуються до 1 грудня 2020 року. До цієї дати фінансові агенти повинні подати через портал IDES (</w:t>
      </w:r>
      <w:proofErr w:type="spellStart"/>
      <w:r w:rsidRPr="00260B87">
        <w:rPr>
          <w:rFonts w:ascii="Times New Roman" w:eastAsia="Times New Roman" w:hAnsi="Times New Roman" w:cs="Times New Roman"/>
          <w:sz w:val="20"/>
          <w:szCs w:val="20"/>
          <w:lang w:val="uk-UA" w:eastAsia="ru-RU"/>
        </w:rPr>
        <w:t>International</w:t>
      </w:r>
      <w:proofErr w:type="spellEnd"/>
      <w:r w:rsidRPr="00260B87">
        <w:rPr>
          <w:rFonts w:ascii="Times New Roman" w:eastAsia="Times New Roman" w:hAnsi="Times New Roman" w:cs="Times New Roman"/>
          <w:sz w:val="20"/>
          <w:szCs w:val="20"/>
          <w:lang w:val="uk-UA" w:eastAsia="ru-RU"/>
        </w:rPr>
        <w:t xml:space="preserve"> </w:t>
      </w:r>
      <w:proofErr w:type="spellStart"/>
      <w:r w:rsidRPr="00260B87">
        <w:rPr>
          <w:rFonts w:ascii="Times New Roman" w:eastAsia="Times New Roman" w:hAnsi="Times New Roman" w:cs="Times New Roman"/>
          <w:sz w:val="20"/>
          <w:szCs w:val="20"/>
          <w:lang w:val="uk-UA" w:eastAsia="ru-RU"/>
        </w:rPr>
        <w:t>data</w:t>
      </w:r>
      <w:proofErr w:type="spellEnd"/>
      <w:r w:rsidRPr="00260B87">
        <w:rPr>
          <w:rFonts w:ascii="Times New Roman" w:eastAsia="Times New Roman" w:hAnsi="Times New Roman" w:cs="Times New Roman"/>
          <w:sz w:val="20"/>
          <w:szCs w:val="20"/>
          <w:lang w:val="uk-UA" w:eastAsia="ru-RU"/>
        </w:rPr>
        <w:t xml:space="preserve"> </w:t>
      </w:r>
      <w:proofErr w:type="spellStart"/>
      <w:r w:rsidRPr="00260B87">
        <w:rPr>
          <w:rFonts w:ascii="Times New Roman" w:eastAsia="Times New Roman" w:hAnsi="Times New Roman" w:cs="Times New Roman"/>
          <w:sz w:val="20"/>
          <w:szCs w:val="20"/>
          <w:lang w:val="uk-UA" w:eastAsia="ru-RU"/>
        </w:rPr>
        <w:t>exchange</w:t>
      </w:r>
      <w:proofErr w:type="spellEnd"/>
      <w:r w:rsidRPr="00260B87">
        <w:rPr>
          <w:rFonts w:ascii="Times New Roman" w:eastAsia="Times New Roman" w:hAnsi="Times New Roman" w:cs="Times New Roman"/>
          <w:sz w:val="20"/>
          <w:szCs w:val="20"/>
          <w:lang w:val="uk-UA" w:eastAsia="ru-RU"/>
        </w:rPr>
        <w:t xml:space="preserve"> </w:t>
      </w:r>
      <w:proofErr w:type="spellStart"/>
      <w:r w:rsidRPr="00260B87">
        <w:rPr>
          <w:rFonts w:ascii="Times New Roman" w:eastAsia="Times New Roman" w:hAnsi="Times New Roman" w:cs="Times New Roman"/>
          <w:sz w:val="20"/>
          <w:szCs w:val="20"/>
          <w:lang w:val="uk-UA" w:eastAsia="ru-RU"/>
        </w:rPr>
        <w:t>service</w:t>
      </w:r>
      <w:proofErr w:type="spellEnd"/>
      <w:r w:rsidRPr="00260B87">
        <w:rPr>
          <w:rFonts w:ascii="Times New Roman" w:eastAsia="Times New Roman" w:hAnsi="Times New Roman" w:cs="Times New Roman"/>
          <w:sz w:val="20"/>
          <w:szCs w:val="20"/>
          <w:lang w:val="uk-UA" w:eastAsia="ru-RU"/>
        </w:rPr>
        <w:t xml:space="preserve"> – Міжнародна служба обміну даними) до ДПС України (центрального органу виконавчої влади, що реалізує державну податкову політику) звіти про підзвітні рахунки за 2019 рік та інформацію, яка стосується звітних періодів з 2014 по 2018 роки, відповідно до положень Угоди FATCA.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Порядок заповнення і подання фінансовими агентами звіту про підзвітні рахунки відповідно до Угоди між Урядом України та Урядом Сполучених штатів Америки для поліпшення виконання податкових правил застосування Закону США «Про податкові вимоги до іноземних рахунків» (FATCA)» затверджений </w:t>
      </w:r>
      <w:hyperlink r:id="rId21" w:history="1">
        <w:r w:rsidRPr="007F5B24">
          <w:rPr>
            <w:rFonts w:ascii="Times New Roman" w:eastAsia="Times New Roman" w:hAnsi="Times New Roman" w:cs="Times New Roman"/>
            <w:color w:val="0000FF"/>
            <w:sz w:val="20"/>
            <w:szCs w:val="20"/>
            <w:u w:val="single"/>
            <w:lang w:val="uk-UA" w:eastAsia="ru-RU"/>
          </w:rPr>
          <w:t>наказом Міністерства фінансів України від 12 серпня 2020 року № 496</w:t>
        </w:r>
      </w:hyperlink>
      <w:r w:rsidRPr="00260B87">
        <w:rPr>
          <w:rFonts w:ascii="Times New Roman" w:eastAsia="Times New Roman" w:hAnsi="Times New Roman" w:cs="Times New Roman"/>
          <w:sz w:val="20"/>
          <w:szCs w:val="20"/>
          <w:lang w:val="uk-UA" w:eastAsia="ru-RU"/>
        </w:rPr>
        <w:t xml:space="preserve">, зареєстрованим в Міністерстві юстиції України 20 серпня 2020 року за № 810/35093 (далі – Наказ № 496). </w:t>
      </w:r>
    </w:p>
    <w:p w:rsidR="00260B87" w:rsidRP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Інформація розміщена на офіційному </w:t>
      </w:r>
      <w:proofErr w:type="spellStart"/>
      <w:r w:rsidRPr="00260B87">
        <w:rPr>
          <w:rFonts w:ascii="Times New Roman" w:eastAsia="Times New Roman" w:hAnsi="Times New Roman" w:cs="Times New Roman"/>
          <w:sz w:val="20"/>
          <w:szCs w:val="20"/>
          <w:lang w:val="uk-UA" w:eastAsia="ru-RU"/>
        </w:rPr>
        <w:t>веб-порталі</w:t>
      </w:r>
      <w:proofErr w:type="spellEnd"/>
      <w:r w:rsidRPr="00260B87">
        <w:rPr>
          <w:rFonts w:ascii="Times New Roman" w:eastAsia="Times New Roman" w:hAnsi="Times New Roman" w:cs="Times New Roman"/>
          <w:sz w:val="20"/>
          <w:szCs w:val="20"/>
          <w:lang w:val="uk-UA" w:eastAsia="ru-RU"/>
        </w:rPr>
        <w:t xml:space="preserve"> ДПС України за посиланням </w:t>
      </w:r>
    </w:p>
    <w:p w:rsidR="00260B87" w:rsidRPr="00260B87" w:rsidRDefault="006606FB" w:rsidP="007F5B24">
      <w:pPr>
        <w:rPr>
          <w:rFonts w:ascii="Times New Roman" w:eastAsia="Times New Roman" w:hAnsi="Times New Roman" w:cs="Times New Roman"/>
          <w:sz w:val="20"/>
          <w:szCs w:val="20"/>
          <w:lang w:val="uk-UA" w:eastAsia="ru-RU"/>
        </w:rPr>
      </w:pPr>
      <w:hyperlink r:id="rId22" w:history="1">
        <w:r w:rsidR="00260B87" w:rsidRPr="007F5B24">
          <w:rPr>
            <w:rFonts w:ascii="Times New Roman" w:eastAsia="Times New Roman" w:hAnsi="Times New Roman" w:cs="Times New Roman"/>
            <w:b/>
            <w:bCs/>
            <w:color w:val="0000FF"/>
            <w:sz w:val="20"/>
            <w:szCs w:val="20"/>
            <w:u w:val="single"/>
            <w:lang w:val="uk-UA" w:eastAsia="ru-RU"/>
          </w:rPr>
          <w:t>https://tax.gov.ua/baneryi/fatca/povidomlennya/431286.html</w:t>
        </w:r>
      </w:hyperlink>
      <w:r w:rsidR="00260B87" w:rsidRPr="00260B87">
        <w:rPr>
          <w:rFonts w:ascii="Times New Roman" w:eastAsia="Times New Roman" w:hAnsi="Times New Roman" w:cs="Times New Roman"/>
          <w:sz w:val="20"/>
          <w:szCs w:val="20"/>
          <w:lang w:val="uk-UA" w:eastAsia="ru-RU"/>
        </w:rPr>
        <w:t xml:space="preserve"> </w:t>
      </w:r>
    </w:p>
    <w:p w:rsidR="00260B87" w:rsidRDefault="00260B87" w:rsidP="007F5B24">
      <w:pPr>
        <w:rPr>
          <w:rFonts w:ascii="Times New Roman" w:eastAsia="Times New Roman" w:hAnsi="Times New Roman" w:cs="Times New Roman"/>
          <w:sz w:val="20"/>
          <w:szCs w:val="20"/>
          <w:lang w:val="uk-UA" w:eastAsia="ru-RU"/>
        </w:rPr>
      </w:pPr>
      <w:r w:rsidRPr="00260B87">
        <w:rPr>
          <w:rFonts w:ascii="Times New Roman" w:eastAsia="Times New Roman" w:hAnsi="Times New Roman" w:cs="Times New Roman"/>
          <w:sz w:val="20"/>
          <w:szCs w:val="20"/>
          <w:lang w:val="uk-UA" w:eastAsia="ru-RU"/>
        </w:rPr>
        <w:t xml:space="preserve">Нагадуємо, що Наказ № 496 набрав чинності з дня його офіційного опублікування, тобто з 25.08.2020 (опубліковано в інформаційному бюлетені «Офіційний вісник України» від 25.08.2020 № 66). </w:t>
      </w:r>
    </w:p>
    <w:p w:rsidR="007F5B24" w:rsidRPr="00260B87" w:rsidRDefault="007F5B24" w:rsidP="007F5B24">
      <w:pPr>
        <w:rPr>
          <w:rFonts w:ascii="Times New Roman" w:eastAsia="Times New Roman" w:hAnsi="Times New Roman" w:cs="Times New Roman"/>
          <w:sz w:val="20"/>
          <w:szCs w:val="20"/>
          <w:lang w:val="uk-UA" w:eastAsia="ru-RU"/>
        </w:rPr>
      </w:pPr>
    </w:p>
    <w:sectPr w:rsidR="007F5B24" w:rsidRPr="00260B87" w:rsidSect="00E05BD1">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40D5"/>
    <w:rsid w:val="000D68ED"/>
    <w:rsid w:val="001370F6"/>
    <w:rsid w:val="00260B87"/>
    <w:rsid w:val="00314BE1"/>
    <w:rsid w:val="006606FB"/>
    <w:rsid w:val="00672FBE"/>
    <w:rsid w:val="006A655A"/>
    <w:rsid w:val="007971D0"/>
    <w:rsid w:val="007A3634"/>
    <w:rsid w:val="007C291B"/>
    <w:rsid w:val="007C57BE"/>
    <w:rsid w:val="007F5B24"/>
    <w:rsid w:val="00870E32"/>
    <w:rsid w:val="008F03DF"/>
    <w:rsid w:val="00961E1F"/>
    <w:rsid w:val="00A940D5"/>
    <w:rsid w:val="00AC1ED6"/>
    <w:rsid w:val="00BB6A46"/>
    <w:rsid w:val="00E05BD1"/>
    <w:rsid w:val="00F30E1F"/>
    <w:rsid w:val="00F759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0D5"/>
  </w:style>
  <w:style w:type="paragraph" w:styleId="1">
    <w:name w:val="heading 1"/>
    <w:basedOn w:val="a"/>
    <w:link w:val="10"/>
    <w:uiPriority w:val="9"/>
    <w:qFormat/>
    <w:rsid w:val="00F30E1F"/>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E1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30E1F"/>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30E1F"/>
    <w:rPr>
      <w:rFonts w:ascii="Tahoma" w:hAnsi="Tahoma" w:cs="Tahoma"/>
      <w:sz w:val="16"/>
      <w:szCs w:val="16"/>
    </w:rPr>
  </w:style>
  <w:style w:type="character" w:customStyle="1" w:styleId="a5">
    <w:name w:val="Текст выноски Знак"/>
    <w:basedOn w:val="a0"/>
    <w:link w:val="a4"/>
    <w:uiPriority w:val="99"/>
    <w:semiHidden/>
    <w:rsid w:val="00F30E1F"/>
    <w:rPr>
      <w:rFonts w:ascii="Tahoma" w:hAnsi="Tahoma" w:cs="Tahoma"/>
      <w:sz w:val="16"/>
      <w:szCs w:val="16"/>
    </w:rPr>
  </w:style>
  <w:style w:type="character" w:styleId="a6">
    <w:name w:val="Emphasis"/>
    <w:basedOn w:val="a0"/>
    <w:uiPriority w:val="20"/>
    <w:qFormat/>
    <w:rsid w:val="00F30E1F"/>
    <w:rPr>
      <w:i/>
      <w:iCs/>
    </w:rPr>
  </w:style>
  <w:style w:type="character" w:styleId="a7">
    <w:name w:val="Hyperlink"/>
    <w:basedOn w:val="a0"/>
    <w:uiPriority w:val="99"/>
    <w:unhideWhenUsed/>
    <w:rsid w:val="00F30E1F"/>
    <w:rPr>
      <w:color w:val="0000FF"/>
      <w:u w:val="single"/>
    </w:rPr>
  </w:style>
  <w:style w:type="paragraph" w:customStyle="1" w:styleId="20">
    <w:name w:val="20"/>
    <w:basedOn w:val="a"/>
    <w:rsid w:val="00870E32"/>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8">
    <w:name w:val="Strong"/>
    <w:basedOn w:val="a0"/>
    <w:uiPriority w:val="22"/>
    <w:qFormat/>
    <w:rsid w:val="00870E32"/>
    <w:rPr>
      <w:b/>
      <w:bCs/>
    </w:rPr>
  </w:style>
  <w:style w:type="paragraph" w:customStyle="1" w:styleId="default">
    <w:name w:val="default"/>
    <w:basedOn w:val="a"/>
    <w:rsid w:val="006A655A"/>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92913">
      <w:bodyDiv w:val="1"/>
      <w:marLeft w:val="0"/>
      <w:marRight w:val="0"/>
      <w:marTop w:val="0"/>
      <w:marBottom w:val="0"/>
      <w:divBdr>
        <w:top w:val="none" w:sz="0" w:space="0" w:color="auto"/>
        <w:left w:val="none" w:sz="0" w:space="0" w:color="auto"/>
        <w:bottom w:val="none" w:sz="0" w:space="0" w:color="auto"/>
        <w:right w:val="none" w:sz="0" w:space="0" w:color="auto"/>
      </w:divBdr>
      <w:divsChild>
        <w:div w:id="531504767">
          <w:marLeft w:val="0"/>
          <w:marRight w:val="0"/>
          <w:marTop w:val="0"/>
          <w:marBottom w:val="0"/>
          <w:divBdr>
            <w:top w:val="none" w:sz="0" w:space="0" w:color="auto"/>
            <w:left w:val="none" w:sz="0" w:space="0" w:color="auto"/>
            <w:bottom w:val="none" w:sz="0" w:space="0" w:color="auto"/>
            <w:right w:val="none" w:sz="0" w:space="0" w:color="auto"/>
          </w:divBdr>
          <w:divsChild>
            <w:div w:id="14048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7249">
      <w:bodyDiv w:val="1"/>
      <w:marLeft w:val="0"/>
      <w:marRight w:val="0"/>
      <w:marTop w:val="0"/>
      <w:marBottom w:val="0"/>
      <w:divBdr>
        <w:top w:val="none" w:sz="0" w:space="0" w:color="auto"/>
        <w:left w:val="none" w:sz="0" w:space="0" w:color="auto"/>
        <w:bottom w:val="none" w:sz="0" w:space="0" w:color="auto"/>
        <w:right w:val="none" w:sz="0" w:space="0" w:color="auto"/>
      </w:divBdr>
      <w:divsChild>
        <w:div w:id="440153692">
          <w:marLeft w:val="0"/>
          <w:marRight w:val="0"/>
          <w:marTop w:val="0"/>
          <w:marBottom w:val="0"/>
          <w:divBdr>
            <w:top w:val="none" w:sz="0" w:space="0" w:color="auto"/>
            <w:left w:val="none" w:sz="0" w:space="0" w:color="auto"/>
            <w:bottom w:val="none" w:sz="0" w:space="0" w:color="auto"/>
            <w:right w:val="none" w:sz="0" w:space="0" w:color="auto"/>
          </w:divBdr>
          <w:divsChild>
            <w:div w:id="12087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4405">
      <w:bodyDiv w:val="1"/>
      <w:marLeft w:val="0"/>
      <w:marRight w:val="0"/>
      <w:marTop w:val="0"/>
      <w:marBottom w:val="0"/>
      <w:divBdr>
        <w:top w:val="none" w:sz="0" w:space="0" w:color="auto"/>
        <w:left w:val="none" w:sz="0" w:space="0" w:color="auto"/>
        <w:bottom w:val="none" w:sz="0" w:space="0" w:color="auto"/>
        <w:right w:val="none" w:sz="0" w:space="0" w:color="auto"/>
      </w:divBdr>
      <w:divsChild>
        <w:div w:id="1563981592">
          <w:marLeft w:val="0"/>
          <w:marRight w:val="0"/>
          <w:marTop w:val="0"/>
          <w:marBottom w:val="0"/>
          <w:divBdr>
            <w:top w:val="none" w:sz="0" w:space="0" w:color="auto"/>
            <w:left w:val="none" w:sz="0" w:space="0" w:color="auto"/>
            <w:bottom w:val="none" w:sz="0" w:space="0" w:color="auto"/>
            <w:right w:val="none" w:sz="0" w:space="0" w:color="auto"/>
          </w:divBdr>
          <w:divsChild>
            <w:div w:id="17301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0145">
      <w:bodyDiv w:val="1"/>
      <w:marLeft w:val="0"/>
      <w:marRight w:val="0"/>
      <w:marTop w:val="0"/>
      <w:marBottom w:val="0"/>
      <w:divBdr>
        <w:top w:val="none" w:sz="0" w:space="0" w:color="auto"/>
        <w:left w:val="none" w:sz="0" w:space="0" w:color="auto"/>
        <w:bottom w:val="none" w:sz="0" w:space="0" w:color="auto"/>
        <w:right w:val="none" w:sz="0" w:space="0" w:color="auto"/>
      </w:divBdr>
      <w:divsChild>
        <w:div w:id="1976596815">
          <w:marLeft w:val="0"/>
          <w:marRight w:val="0"/>
          <w:marTop w:val="0"/>
          <w:marBottom w:val="0"/>
          <w:divBdr>
            <w:top w:val="none" w:sz="0" w:space="0" w:color="auto"/>
            <w:left w:val="none" w:sz="0" w:space="0" w:color="auto"/>
            <w:bottom w:val="none" w:sz="0" w:space="0" w:color="auto"/>
            <w:right w:val="none" w:sz="0" w:space="0" w:color="auto"/>
          </w:divBdr>
          <w:divsChild>
            <w:div w:id="119950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4928">
      <w:bodyDiv w:val="1"/>
      <w:marLeft w:val="0"/>
      <w:marRight w:val="0"/>
      <w:marTop w:val="0"/>
      <w:marBottom w:val="0"/>
      <w:divBdr>
        <w:top w:val="none" w:sz="0" w:space="0" w:color="auto"/>
        <w:left w:val="none" w:sz="0" w:space="0" w:color="auto"/>
        <w:bottom w:val="none" w:sz="0" w:space="0" w:color="auto"/>
        <w:right w:val="none" w:sz="0" w:space="0" w:color="auto"/>
      </w:divBdr>
      <w:divsChild>
        <w:div w:id="1001279217">
          <w:marLeft w:val="0"/>
          <w:marRight w:val="0"/>
          <w:marTop w:val="0"/>
          <w:marBottom w:val="0"/>
          <w:divBdr>
            <w:top w:val="none" w:sz="0" w:space="0" w:color="auto"/>
            <w:left w:val="none" w:sz="0" w:space="0" w:color="auto"/>
            <w:bottom w:val="none" w:sz="0" w:space="0" w:color="auto"/>
            <w:right w:val="none" w:sz="0" w:space="0" w:color="auto"/>
          </w:divBdr>
          <w:divsChild>
            <w:div w:id="132284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1472">
      <w:bodyDiv w:val="1"/>
      <w:marLeft w:val="0"/>
      <w:marRight w:val="0"/>
      <w:marTop w:val="0"/>
      <w:marBottom w:val="0"/>
      <w:divBdr>
        <w:top w:val="none" w:sz="0" w:space="0" w:color="auto"/>
        <w:left w:val="none" w:sz="0" w:space="0" w:color="auto"/>
        <w:bottom w:val="none" w:sz="0" w:space="0" w:color="auto"/>
        <w:right w:val="none" w:sz="0" w:space="0" w:color="auto"/>
      </w:divBdr>
      <w:divsChild>
        <w:div w:id="1029572348">
          <w:marLeft w:val="0"/>
          <w:marRight w:val="0"/>
          <w:marTop w:val="0"/>
          <w:marBottom w:val="0"/>
          <w:divBdr>
            <w:top w:val="none" w:sz="0" w:space="0" w:color="auto"/>
            <w:left w:val="none" w:sz="0" w:space="0" w:color="auto"/>
            <w:bottom w:val="none" w:sz="0" w:space="0" w:color="auto"/>
            <w:right w:val="none" w:sz="0" w:space="0" w:color="auto"/>
          </w:divBdr>
          <w:divsChild>
            <w:div w:id="13418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15971">
      <w:bodyDiv w:val="1"/>
      <w:marLeft w:val="0"/>
      <w:marRight w:val="0"/>
      <w:marTop w:val="0"/>
      <w:marBottom w:val="0"/>
      <w:divBdr>
        <w:top w:val="none" w:sz="0" w:space="0" w:color="auto"/>
        <w:left w:val="none" w:sz="0" w:space="0" w:color="auto"/>
        <w:bottom w:val="none" w:sz="0" w:space="0" w:color="auto"/>
        <w:right w:val="none" w:sz="0" w:space="0" w:color="auto"/>
      </w:divBdr>
      <w:divsChild>
        <w:div w:id="1536039588">
          <w:marLeft w:val="0"/>
          <w:marRight w:val="0"/>
          <w:marTop w:val="0"/>
          <w:marBottom w:val="0"/>
          <w:divBdr>
            <w:top w:val="none" w:sz="0" w:space="0" w:color="auto"/>
            <w:left w:val="none" w:sz="0" w:space="0" w:color="auto"/>
            <w:bottom w:val="none" w:sz="0" w:space="0" w:color="auto"/>
            <w:right w:val="none" w:sz="0" w:space="0" w:color="auto"/>
          </w:divBdr>
          <w:divsChild>
            <w:div w:id="180442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693264">
      <w:bodyDiv w:val="1"/>
      <w:marLeft w:val="0"/>
      <w:marRight w:val="0"/>
      <w:marTop w:val="0"/>
      <w:marBottom w:val="0"/>
      <w:divBdr>
        <w:top w:val="none" w:sz="0" w:space="0" w:color="auto"/>
        <w:left w:val="none" w:sz="0" w:space="0" w:color="auto"/>
        <w:bottom w:val="none" w:sz="0" w:space="0" w:color="auto"/>
        <w:right w:val="none" w:sz="0" w:space="0" w:color="auto"/>
      </w:divBdr>
      <w:divsChild>
        <w:div w:id="34743696">
          <w:marLeft w:val="0"/>
          <w:marRight w:val="0"/>
          <w:marTop w:val="0"/>
          <w:marBottom w:val="0"/>
          <w:divBdr>
            <w:top w:val="none" w:sz="0" w:space="0" w:color="auto"/>
            <w:left w:val="none" w:sz="0" w:space="0" w:color="auto"/>
            <w:bottom w:val="none" w:sz="0" w:space="0" w:color="auto"/>
            <w:right w:val="none" w:sz="0" w:space="0" w:color="auto"/>
          </w:divBdr>
          <w:divsChild>
            <w:div w:id="5321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58349">
      <w:bodyDiv w:val="1"/>
      <w:marLeft w:val="0"/>
      <w:marRight w:val="0"/>
      <w:marTop w:val="0"/>
      <w:marBottom w:val="0"/>
      <w:divBdr>
        <w:top w:val="none" w:sz="0" w:space="0" w:color="auto"/>
        <w:left w:val="none" w:sz="0" w:space="0" w:color="auto"/>
        <w:bottom w:val="none" w:sz="0" w:space="0" w:color="auto"/>
        <w:right w:val="none" w:sz="0" w:space="0" w:color="auto"/>
      </w:divBdr>
      <w:divsChild>
        <w:div w:id="719551877">
          <w:marLeft w:val="0"/>
          <w:marRight w:val="0"/>
          <w:marTop w:val="0"/>
          <w:marBottom w:val="0"/>
          <w:divBdr>
            <w:top w:val="none" w:sz="0" w:space="0" w:color="auto"/>
            <w:left w:val="none" w:sz="0" w:space="0" w:color="auto"/>
            <w:bottom w:val="none" w:sz="0" w:space="0" w:color="auto"/>
            <w:right w:val="none" w:sz="0" w:space="0" w:color="auto"/>
          </w:divBdr>
          <w:divsChild>
            <w:div w:id="135969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4919">
      <w:bodyDiv w:val="1"/>
      <w:marLeft w:val="0"/>
      <w:marRight w:val="0"/>
      <w:marTop w:val="0"/>
      <w:marBottom w:val="0"/>
      <w:divBdr>
        <w:top w:val="none" w:sz="0" w:space="0" w:color="auto"/>
        <w:left w:val="none" w:sz="0" w:space="0" w:color="auto"/>
        <w:bottom w:val="none" w:sz="0" w:space="0" w:color="auto"/>
        <w:right w:val="none" w:sz="0" w:space="0" w:color="auto"/>
      </w:divBdr>
      <w:divsChild>
        <w:div w:id="1584339023">
          <w:marLeft w:val="0"/>
          <w:marRight w:val="0"/>
          <w:marTop w:val="0"/>
          <w:marBottom w:val="0"/>
          <w:divBdr>
            <w:top w:val="none" w:sz="0" w:space="0" w:color="auto"/>
            <w:left w:val="none" w:sz="0" w:space="0" w:color="auto"/>
            <w:bottom w:val="none" w:sz="0" w:space="0" w:color="auto"/>
            <w:right w:val="none" w:sz="0" w:space="0" w:color="auto"/>
          </w:divBdr>
          <w:divsChild>
            <w:div w:id="166574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58042">
      <w:bodyDiv w:val="1"/>
      <w:marLeft w:val="0"/>
      <w:marRight w:val="0"/>
      <w:marTop w:val="0"/>
      <w:marBottom w:val="0"/>
      <w:divBdr>
        <w:top w:val="none" w:sz="0" w:space="0" w:color="auto"/>
        <w:left w:val="none" w:sz="0" w:space="0" w:color="auto"/>
        <w:bottom w:val="none" w:sz="0" w:space="0" w:color="auto"/>
        <w:right w:val="none" w:sz="0" w:space="0" w:color="auto"/>
      </w:divBdr>
      <w:divsChild>
        <w:div w:id="17590033">
          <w:marLeft w:val="0"/>
          <w:marRight w:val="0"/>
          <w:marTop w:val="0"/>
          <w:marBottom w:val="0"/>
          <w:divBdr>
            <w:top w:val="none" w:sz="0" w:space="0" w:color="auto"/>
            <w:left w:val="none" w:sz="0" w:space="0" w:color="auto"/>
            <w:bottom w:val="none" w:sz="0" w:space="0" w:color="auto"/>
            <w:right w:val="none" w:sz="0" w:space="0" w:color="auto"/>
          </w:divBdr>
          <w:divsChild>
            <w:div w:id="21222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1707">
      <w:bodyDiv w:val="1"/>
      <w:marLeft w:val="0"/>
      <w:marRight w:val="0"/>
      <w:marTop w:val="0"/>
      <w:marBottom w:val="0"/>
      <w:divBdr>
        <w:top w:val="none" w:sz="0" w:space="0" w:color="auto"/>
        <w:left w:val="none" w:sz="0" w:space="0" w:color="auto"/>
        <w:bottom w:val="none" w:sz="0" w:space="0" w:color="auto"/>
        <w:right w:val="none" w:sz="0" w:space="0" w:color="auto"/>
      </w:divBdr>
      <w:divsChild>
        <w:div w:id="977151166">
          <w:marLeft w:val="0"/>
          <w:marRight w:val="0"/>
          <w:marTop w:val="0"/>
          <w:marBottom w:val="0"/>
          <w:divBdr>
            <w:top w:val="none" w:sz="0" w:space="0" w:color="auto"/>
            <w:left w:val="none" w:sz="0" w:space="0" w:color="auto"/>
            <w:bottom w:val="none" w:sz="0" w:space="0" w:color="auto"/>
            <w:right w:val="none" w:sz="0" w:space="0" w:color="auto"/>
          </w:divBdr>
          <w:divsChild>
            <w:div w:id="5514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933878">
      <w:bodyDiv w:val="1"/>
      <w:marLeft w:val="0"/>
      <w:marRight w:val="0"/>
      <w:marTop w:val="0"/>
      <w:marBottom w:val="0"/>
      <w:divBdr>
        <w:top w:val="none" w:sz="0" w:space="0" w:color="auto"/>
        <w:left w:val="none" w:sz="0" w:space="0" w:color="auto"/>
        <w:bottom w:val="none" w:sz="0" w:space="0" w:color="auto"/>
        <w:right w:val="none" w:sz="0" w:space="0" w:color="auto"/>
      </w:divBdr>
      <w:divsChild>
        <w:div w:id="9258917">
          <w:marLeft w:val="0"/>
          <w:marRight w:val="0"/>
          <w:marTop w:val="0"/>
          <w:marBottom w:val="0"/>
          <w:divBdr>
            <w:top w:val="none" w:sz="0" w:space="0" w:color="auto"/>
            <w:left w:val="none" w:sz="0" w:space="0" w:color="auto"/>
            <w:bottom w:val="none" w:sz="0" w:space="0" w:color="auto"/>
            <w:right w:val="none" w:sz="0" w:space="0" w:color="auto"/>
          </w:divBdr>
          <w:divsChild>
            <w:div w:id="14817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78393">
      <w:bodyDiv w:val="1"/>
      <w:marLeft w:val="0"/>
      <w:marRight w:val="0"/>
      <w:marTop w:val="0"/>
      <w:marBottom w:val="0"/>
      <w:divBdr>
        <w:top w:val="none" w:sz="0" w:space="0" w:color="auto"/>
        <w:left w:val="none" w:sz="0" w:space="0" w:color="auto"/>
        <w:bottom w:val="none" w:sz="0" w:space="0" w:color="auto"/>
        <w:right w:val="none" w:sz="0" w:space="0" w:color="auto"/>
      </w:divBdr>
      <w:divsChild>
        <w:div w:id="1364942582">
          <w:marLeft w:val="0"/>
          <w:marRight w:val="0"/>
          <w:marTop w:val="0"/>
          <w:marBottom w:val="0"/>
          <w:divBdr>
            <w:top w:val="none" w:sz="0" w:space="0" w:color="auto"/>
            <w:left w:val="none" w:sz="0" w:space="0" w:color="auto"/>
            <w:bottom w:val="none" w:sz="0" w:space="0" w:color="auto"/>
            <w:right w:val="none" w:sz="0" w:space="0" w:color="auto"/>
          </w:divBdr>
          <w:divsChild>
            <w:div w:id="103392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166748">
      <w:bodyDiv w:val="1"/>
      <w:marLeft w:val="0"/>
      <w:marRight w:val="0"/>
      <w:marTop w:val="0"/>
      <w:marBottom w:val="0"/>
      <w:divBdr>
        <w:top w:val="none" w:sz="0" w:space="0" w:color="auto"/>
        <w:left w:val="none" w:sz="0" w:space="0" w:color="auto"/>
        <w:bottom w:val="none" w:sz="0" w:space="0" w:color="auto"/>
        <w:right w:val="none" w:sz="0" w:space="0" w:color="auto"/>
      </w:divBdr>
      <w:divsChild>
        <w:div w:id="944578910">
          <w:marLeft w:val="0"/>
          <w:marRight w:val="0"/>
          <w:marTop w:val="0"/>
          <w:marBottom w:val="0"/>
          <w:divBdr>
            <w:top w:val="none" w:sz="0" w:space="0" w:color="auto"/>
            <w:left w:val="none" w:sz="0" w:space="0" w:color="auto"/>
            <w:bottom w:val="none" w:sz="0" w:space="0" w:color="auto"/>
            <w:right w:val="none" w:sz="0" w:space="0" w:color="auto"/>
          </w:divBdr>
          <w:divsChild>
            <w:div w:id="51623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9068">
      <w:bodyDiv w:val="1"/>
      <w:marLeft w:val="0"/>
      <w:marRight w:val="0"/>
      <w:marTop w:val="0"/>
      <w:marBottom w:val="0"/>
      <w:divBdr>
        <w:top w:val="none" w:sz="0" w:space="0" w:color="auto"/>
        <w:left w:val="none" w:sz="0" w:space="0" w:color="auto"/>
        <w:bottom w:val="none" w:sz="0" w:space="0" w:color="auto"/>
        <w:right w:val="none" w:sz="0" w:space="0" w:color="auto"/>
      </w:divBdr>
      <w:divsChild>
        <w:div w:id="1203984408">
          <w:marLeft w:val="0"/>
          <w:marRight w:val="0"/>
          <w:marTop w:val="0"/>
          <w:marBottom w:val="0"/>
          <w:divBdr>
            <w:top w:val="none" w:sz="0" w:space="0" w:color="auto"/>
            <w:left w:val="none" w:sz="0" w:space="0" w:color="auto"/>
            <w:bottom w:val="none" w:sz="0" w:space="0" w:color="auto"/>
            <w:right w:val="none" w:sz="0" w:space="0" w:color="auto"/>
          </w:divBdr>
          <w:divsChild>
            <w:div w:id="158480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0296">
      <w:bodyDiv w:val="1"/>
      <w:marLeft w:val="0"/>
      <w:marRight w:val="0"/>
      <w:marTop w:val="0"/>
      <w:marBottom w:val="0"/>
      <w:divBdr>
        <w:top w:val="none" w:sz="0" w:space="0" w:color="auto"/>
        <w:left w:val="none" w:sz="0" w:space="0" w:color="auto"/>
        <w:bottom w:val="none" w:sz="0" w:space="0" w:color="auto"/>
        <w:right w:val="none" w:sz="0" w:space="0" w:color="auto"/>
      </w:divBdr>
      <w:divsChild>
        <w:div w:id="738285239">
          <w:marLeft w:val="0"/>
          <w:marRight w:val="0"/>
          <w:marTop w:val="0"/>
          <w:marBottom w:val="0"/>
          <w:divBdr>
            <w:top w:val="none" w:sz="0" w:space="0" w:color="auto"/>
            <w:left w:val="none" w:sz="0" w:space="0" w:color="auto"/>
            <w:bottom w:val="none" w:sz="0" w:space="0" w:color="auto"/>
            <w:right w:val="none" w:sz="0" w:space="0" w:color="auto"/>
          </w:divBdr>
          <w:divsChild>
            <w:div w:id="3247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64758">
      <w:bodyDiv w:val="1"/>
      <w:marLeft w:val="0"/>
      <w:marRight w:val="0"/>
      <w:marTop w:val="0"/>
      <w:marBottom w:val="0"/>
      <w:divBdr>
        <w:top w:val="none" w:sz="0" w:space="0" w:color="auto"/>
        <w:left w:val="none" w:sz="0" w:space="0" w:color="auto"/>
        <w:bottom w:val="none" w:sz="0" w:space="0" w:color="auto"/>
        <w:right w:val="none" w:sz="0" w:space="0" w:color="auto"/>
      </w:divBdr>
      <w:divsChild>
        <w:div w:id="149712552">
          <w:marLeft w:val="0"/>
          <w:marRight w:val="0"/>
          <w:marTop w:val="0"/>
          <w:marBottom w:val="0"/>
          <w:divBdr>
            <w:top w:val="none" w:sz="0" w:space="0" w:color="auto"/>
            <w:left w:val="none" w:sz="0" w:space="0" w:color="auto"/>
            <w:bottom w:val="none" w:sz="0" w:space="0" w:color="auto"/>
            <w:right w:val="none" w:sz="0" w:space="0" w:color="auto"/>
          </w:divBdr>
          <w:divsChild>
            <w:div w:id="2957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0885">
      <w:bodyDiv w:val="1"/>
      <w:marLeft w:val="0"/>
      <w:marRight w:val="0"/>
      <w:marTop w:val="0"/>
      <w:marBottom w:val="0"/>
      <w:divBdr>
        <w:top w:val="none" w:sz="0" w:space="0" w:color="auto"/>
        <w:left w:val="none" w:sz="0" w:space="0" w:color="auto"/>
        <w:bottom w:val="none" w:sz="0" w:space="0" w:color="auto"/>
        <w:right w:val="none" w:sz="0" w:space="0" w:color="auto"/>
      </w:divBdr>
      <w:divsChild>
        <w:div w:id="122964368">
          <w:marLeft w:val="0"/>
          <w:marRight w:val="0"/>
          <w:marTop w:val="0"/>
          <w:marBottom w:val="0"/>
          <w:divBdr>
            <w:top w:val="none" w:sz="0" w:space="0" w:color="auto"/>
            <w:left w:val="none" w:sz="0" w:space="0" w:color="auto"/>
            <w:bottom w:val="none" w:sz="0" w:space="0" w:color="auto"/>
            <w:right w:val="none" w:sz="0" w:space="0" w:color="auto"/>
          </w:divBdr>
          <w:divsChild>
            <w:div w:id="187946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6947">
      <w:bodyDiv w:val="1"/>
      <w:marLeft w:val="0"/>
      <w:marRight w:val="0"/>
      <w:marTop w:val="0"/>
      <w:marBottom w:val="0"/>
      <w:divBdr>
        <w:top w:val="none" w:sz="0" w:space="0" w:color="auto"/>
        <w:left w:val="none" w:sz="0" w:space="0" w:color="auto"/>
        <w:bottom w:val="none" w:sz="0" w:space="0" w:color="auto"/>
        <w:right w:val="none" w:sz="0" w:space="0" w:color="auto"/>
      </w:divBdr>
      <w:divsChild>
        <w:div w:id="1154371501">
          <w:marLeft w:val="0"/>
          <w:marRight w:val="0"/>
          <w:marTop w:val="0"/>
          <w:marBottom w:val="0"/>
          <w:divBdr>
            <w:top w:val="none" w:sz="0" w:space="0" w:color="auto"/>
            <w:left w:val="none" w:sz="0" w:space="0" w:color="auto"/>
            <w:bottom w:val="none" w:sz="0" w:space="0" w:color="auto"/>
            <w:right w:val="none" w:sz="0" w:space="0" w:color="auto"/>
          </w:divBdr>
          <w:divsChild>
            <w:div w:id="20382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41868">
      <w:bodyDiv w:val="1"/>
      <w:marLeft w:val="0"/>
      <w:marRight w:val="0"/>
      <w:marTop w:val="0"/>
      <w:marBottom w:val="0"/>
      <w:divBdr>
        <w:top w:val="none" w:sz="0" w:space="0" w:color="auto"/>
        <w:left w:val="none" w:sz="0" w:space="0" w:color="auto"/>
        <w:bottom w:val="none" w:sz="0" w:space="0" w:color="auto"/>
        <w:right w:val="none" w:sz="0" w:space="0" w:color="auto"/>
      </w:divBdr>
      <w:divsChild>
        <w:div w:id="692069314">
          <w:marLeft w:val="0"/>
          <w:marRight w:val="0"/>
          <w:marTop w:val="0"/>
          <w:marBottom w:val="0"/>
          <w:divBdr>
            <w:top w:val="none" w:sz="0" w:space="0" w:color="auto"/>
            <w:left w:val="none" w:sz="0" w:space="0" w:color="auto"/>
            <w:bottom w:val="none" w:sz="0" w:space="0" w:color="auto"/>
            <w:right w:val="none" w:sz="0" w:space="0" w:color="auto"/>
          </w:divBdr>
          <w:divsChild>
            <w:div w:id="146041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826">
      <w:bodyDiv w:val="1"/>
      <w:marLeft w:val="0"/>
      <w:marRight w:val="0"/>
      <w:marTop w:val="0"/>
      <w:marBottom w:val="0"/>
      <w:divBdr>
        <w:top w:val="none" w:sz="0" w:space="0" w:color="auto"/>
        <w:left w:val="none" w:sz="0" w:space="0" w:color="auto"/>
        <w:bottom w:val="none" w:sz="0" w:space="0" w:color="auto"/>
        <w:right w:val="none" w:sz="0" w:space="0" w:color="auto"/>
      </w:divBdr>
      <w:divsChild>
        <w:div w:id="806976966">
          <w:marLeft w:val="0"/>
          <w:marRight w:val="0"/>
          <w:marTop w:val="0"/>
          <w:marBottom w:val="0"/>
          <w:divBdr>
            <w:top w:val="none" w:sz="0" w:space="0" w:color="auto"/>
            <w:left w:val="none" w:sz="0" w:space="0" w:color="auto"/>
            <w:bottom w:val="none" w:sz="0" w:space="0" w:color="auto"/>
            <w:right w:val="none" w:sz="0" w:space="0" w:color="auto"/>
          </w:divBdr>
          <w:divsChild>
            <w:div w:id="187788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3938">
      <w:bodyDiv w:val="1"/>
      <w:marLeft w:val="0"/>
      <w:marRight w:val="0"/>
      <w:marTop w:val="0"/>
      <w:marBottom w:val="0"/>
      <w:divBdr>
        <w:top w:val="none" w:sz="0" w:space="0" w:color="auto"/>
        <w:left w:val="none" w:sz="0" w:space="0" w:color="auto"/>
        <w:bottom w:val="none" w:sz="0" w:space="0" w:color="auto"/>
        <w:right w:val="none" w:sz="0" w:space="0" w:color="auto"/>
      </w:divBdr>
      <w:divsChild>
        <w:div w:id="2060280774">
          <w:marLeft w:val="0"/>
          <w:marRight w:val="0"/>
          <w:marTop w:val="0"/>
          <w:marBottom w:val="0"/>
          <w:divBdr>
            <w:top w:val="none" w:sz="0" w:space="0" w:color="auto"/>
            <w:left w:val="none" w:sz="0" w:space="0" w:color="auto"/>
            <w:bottom w:val="none" w:sz="0" w:space="0" w:color="auto"/>
            <w:right w:val="none" w:sz="0" w:space="0" w:color="auto"/>
          </w:divBdr>
          <w:divsChild>
            <w:div w:id="142090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11632">
      <w:bodyDiv w:val="1"/>
      <w:marLeft w:val="0"/>
      <w:marRight w:val="0"/>
      <w:marTop w:val="0"/>
      <w:marBottom w:val="0"/>
      <w:divBdr>
        <w:top w:val="none" w:sz="0" w:space="0" w:color="auto"/>
        <w:left w:val="none" w:sz="0" w:space="0" w:color="auto"/>
        <w:bottom w:val="none" w:sz="0" w:space="0" w:color="auto"/>
        <w:right w:val="none" w:sz="0" w:space="0" w:color="auto"/>
      </w:divBdr>
      <w:divsChild>
        <w:div w:id="771974653">
          <w:marLeft w:val="0"/>
          <w:marRight w:val="0"/>
          <w:marTop w:val="0"/>
          <w:marBottom w:val="0"/>
          <w:divBdr>
            <w:top w:val="none" w:sz="0" w:space="0" w:color="auto"/>
            <w:left w:val="none" w:sz="0" w:space="0" w:color="auto"/>
            <w:bottom w:val="none" w:sz="0" w:space="0" w:color="auto"/>
            <w:right w:val="none" w:sz="0" w:space="0" w:color="auto"/>
          </w:divBdr>
          <w:divsChild>
            <w:div w:id="10474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89102">
      <w:bodyDiv w:val="1"/>
      <w:marLeft w:val="0"/>
      <w:marRight w:val="0"/>
      <w:marTop w:val="0"/>
      <w:marBottom w:val="0"/>
      <w:divBdr>
        <w:top w:val="none" w:sz="0" w:space="0" w:color="auto"/>
        <w:left w:val="none" w:sz="0" w:space="0" w:color="auto"/>
        <w:bottom w:val="none" w:sz="0" w:space="0" w:color="auto"/>
        <w:right w:val="none" w:sz="0" w:space="0" w:color="auto"/>
      </w:divBdr>
      <w:divsChild>
        <w:div w:id="2014456677">
          <w:marLeft w:val="0"/>
          <w:marRight w:val="0"/>
          <w:marTop w:val="0"/>
          <w:marBottom w:val="0"/>
          <w:divBdr>
            <w:top w:val="none" w:sz="0" w:space="0" w:color="auto"/>
            <w:left w:val="none" w:sz="0" w:space="0" w:color="auto"/>
            <w:bottom w:val="none" w:sz="0" w:space="0" w:color="auto"/>
            <w:right w:val="none" w:sz="0" w:space="0" w:color="auto"/>
          </w:divBdr>
          <w:divsChild>
            <w:div w:id="201518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830982">
      <w:bodyDiv w:val="1"/>
      <w:marLeft w:val="0"/>
      <w:marRight w:val="0"/>
      <w:marTop w:val="0"/>
      <w:marBottom w:val="0"/>
      <w:divBdr>
        <w:top w:val="none" w:sz="0" w:space="0" w:color="auto"/>
        <w:left w:val="none" w:sz="0" w:space="0" w:color="auto"/>
        <w:bottom w:val="none" w:sz="0" w:space="0" w:color="auto"/>
        <w:right w:val="none" w:sz="0" w:space="0" w:color="auto"/>
      </w:divBdr>
      <w:divsChild>
        <w:div w:id="1704597194">
          <w:marLeft w:val="0"/>
          <w:marRight w:val="0"/>
          <w:marTop w:val="0"/>
          <w:marBottom w:val="0"/>
          <w:divBdr>
            <w:top w:val="none" w:sz="0" w:space="0" w:color="auto"/>
            <w:left w:val="none" w:sz="0" w:space="0" w:color="auto"/>
            <w:bottom w:val="none" w:sz="0" w:space="0" w:color="auto"/>
            <w:right w:val="none" w:sz="0" w:space="0" w:color="auto"/>
          </w:divBdr>
          <w:divsChild>
            <w:div w:id="14513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479602">
      <w:bodyDiv w:val="1"/>
      <w:marLeft w:val="0"/>
      <w:marRight w:val="0"/>
      <w:marTop w:val="0"/>
      <w:marBottom w:val="0"/>
      <w:divBdr>
        <w:top w:val="none" w:sz="0" w:space="0" w:color="auto"/>
        <w:left w:val="none" w:sz="0" w:space="0" w:color="auto"/>
        <w:bottom w:val="none" w:sz="0" w:space="0" w:color="auto"/>
        <w:right w:val="none" w:sz="0" w:space="0" w:color="auto"/>
      </w:divBdr>
      <w:divsChild>
        <w:div w:id="1963882867">
          <w:marLeft w:val="0"/>
          <w:marRight w:val="0"/>
          <w:marTop w:val="0"/>
          <w:marBottom w:val="0"/>
          <w:divBdr>
            <w:top w:val="none" w:sz="0" w:space="0" w:color="auto"/>
            <w:left w:val="none" w:sz="0" w:space="0" w:color="auto"/>
            <w:bottom w:val="none" w:sz="0" w:space="0" w:color="auto"/>
            <w:right w:val="none" w:sz="0" w:space="0" w:color="auto"/>
          </w:divBdr>
          <w:divsChild>
            <w:div w:id="122945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593658">
      <w:bodyDiv w:val="1"/>
      <w:marLeft w:val="0"/>
      <w:marRight w:val="0"/>
      <w:marTop w:val="0"/>
      <w:marBottom w:val="0"/>
      <w:divBdr>
        <w:top w:val="none" w:sz="0" w:space="0" w:color="auto"/>
        <w:left w:val="none" w:sz="0" w:space="0" w:color="auto"/>
        <w:bottom w:val="none" w:sz="0" w:space="0" w:color="auto"/>
        <w:right w:val="none" w:sz="0" w:space="0" w:color="auto"/>
      </w:divBdr>
      <w:divsChild>
        <w:div w:id="291327971">
          <w:marLeft w:val="0"/>
          <w:marRight w:val="0"/>
          <w:marTop w:val="0"/>
          <w:marBottom w:val="0"/>
          <w:divBdr>
            <w:top w:val="none" w:sz="0" w:space="0" w:color="auto"/>
            <w:left w:val="none" w:sz="0" w:space="0" w:color="auto"/>
            <w:bottom w:val="none" w:sz="0" w:space="0" w:color="auto"/>
            <w:right w:val="none" w:sz="0" w:space="0" w:color="auto"/>
          </w:divBdr>
          <w:divsChild>
            <w:div w:id="20292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42029">
      <w:bodyDiv w:val="1"/>
      <w:marLeft w:val="0"/>
      <w:marRight w:val="0"/>
      <w:marTop w:val="0"/>
      <w:marBottom w:val="0"/>
      <w:divBdr>
        <w:top w:val="none" w:sz="0" w:space="0" w:color="auto"/>
        <w:left w:val="none" w:sz="0" w:space="0" w:color="auto"/>
        <w:bottom w:val="none" w:sz="0" w:space="0" w:color="auto"/>
        <w:right w:val="none" w:sz="0" w:space="0" w:color="auto"/>
      </w:divBdr>
      <w:divsChild>
        <w:div w:id="1772628420">
          <w:marLeft w:val="0"/>
          <w:marRight w:val="0"/>
          <w:marTop w:val="0"/>
          <w:marBottom w:val="0"/>
          <w:divBdr>
            <w:top w:val="none" w:sz="0" w:space="0" w:color="auto"/>
            <w:left w:val="none" w:sz="0" w:space="0" w:color="auto"/>
            <w:bottom w:val="none" w:sz="0" w:space="0" w:color="auto"/>
            <w:right w:val="none" w:sz="0" w:space="0" w:color="auto"/>
          </w:divBdr>
          <w:divsChild>
            <w:div w:id="14428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4257">
      <w:bodyDiv w:val="1"/>
      <w:marLeft w:val="0"/>
      <w:marRight w:val="0"/>
      <w:marTop w:val="0"/>
      <w:marBottom w:val="0"/>
      <w:divBdr>
        <w:top w:val="none" w:sz="0" w:space="0" w:color="auto"/>
        <w:left w:val="none" w:sz="0" w:space="0" w:color="auto"/>
        <w:bottom w:val="none" w:sz="0" w:space="0" w:color="auto"/>
        <w:right w:val="none" w:sz="0" w:space="0" w:color="auto"/>
      </w:divBdr>
      <w:divsChild>
        <w:div w:id="197160617">
          <w:marLeft w:val="0"/>
          <w:marRight w:val="0"/>
          <w:marTop w:val="0"/>
          <w:marBottom w:val="0"/>
          <w:divBdr>
            <w:top w:val="none" w:sz="0" w:space="0" w:color="auto"/>
            <w:left w:val="none" w:sz="0" w:space="0" w:color="auto"/>
            <w:bottom w:val="none" w:sz="0" w:space="0" w:color="auto"/>
            <w:right w:val="none" w:sz="0" w:space="0" w:color="auto"/>
          </w:divBdr>
          <w:divsChild>
            <w:div w:id="136787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15139">
      <w:bodyDiv w:val="1"/>
      <w:marLeft w:val="0"/>
      <w:marRight w:val="0"/>
      <w:marTop w:val="0"/>
      <w:marBottom w:val="0"/>
      <w:divBdr>
        <w:top w:val="none" w:sz="0" w:space="0" w:color="auto"/>
        <w:left w:val="none" w:sz="0" w:space="0" w:color="auto"/>
        <w:bottom w:val="none" w:sz="0" w:space="0" w:color="auto"/>
        <w:right w:val="none" w:sz="0" w:space="0" w:color="auto"/>
      </w:divBdr>
      <w:divsChild>
        <w:div w:id="1466000190">
          <w:marLeft w:val="0"/>
          <w:marRight w:val="0"/>
          <w:marTop w:val="0"/>
          <w:marBottom w:val="0"/>
          <w:divBdr>
            <w:top w:val="none" w:sz="0" w:space="0" w:color="auto"/>
            <w:left w:val="none" w:sz="0" w:space="0" w:color="auto"/>
            <w:bottom w:val="none" w:sz="0" w:space="0" w:color="auto"/>
            <w:right w:val="none" w:sz="0" w:space="0" w:color="auto"/>
          </w:divBdr>
          <w:divsChild>
            <w:div w:id="202369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6707">
      <w:bodyDiv w:val="1"/>
      <w:marLeft w:val="0"/>
      <w:marRight w:val="0"/>
      <w:marTop w:val="0"/>
      <w:marBottom w:val="0"/>
      <w:divBdr>
        <w:top w:val="none" w:sz="0" w:space="0" w:color="auto"/>
        <w:left w:val="none" w:sz="0" w:space="0" w:color="auto"/>
        <w:bottom w:val="none" w:sz="0" w:space="0" w:color="auto"/>
        <w:right w:val="none" w:sz="0" w:space="0" w:color="auto"/>
      </w:divBdr>
      <w:divsChild>
        <w:div w:id="190610440">
          <w:marLeft w:val="0"/>
          <w:marRight w:val="0"/>
          <w:marTop w:val="0"/>
          <w:marBottom w:val="0"/>
          <w:divBdr>
            <w:top w:val="none" w:sz="0" w:space="0" w:color="auto"/>
            <w:left w:val="none" w:sz="0" w:space="0" w:color="auto"/>
            <w:bottom w:val="none" w:sz="0" w:space="0" w:color="auto"/>
            <w:right w:val="none" w:sz="0" w:space="0" w:color="auto"/>
          </w:divBdr>
          <w:divsChild>
            <w:div w:id="2641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07954">
      <w:bodyDiv w:val="1"/>
      <w:marLeft w:val="0"/>
      <w:marRight w:val="0"/>
      <w:marTop w:val="0"/>
      <w:marBottom w:val="0"/>
      <w:divBdr>
        <w:top w:val="none" w:sz="0" w:space="0" w:color="auto"/>
        <w:left w:val="none" w:sz="0" w:space="0" w:color="auto"/>
        <w:bottom w:val="none" w:sz="0" w:space="0" w:color="auto"/>
        <w:right w:val="none" w:sz="0" w:space="0" w:color="auto"/>
      </w:divBdr>
      <w:divsChild>
        <w:div w:id="1795178143">
          <w:marLeft w:val="0"/>
          <w:marRight w:val="0"/>
          <w:marTop w:val="0"/>
          <w:marBottom w:val="0"/>
          <w:divBdr>
            <w:top w:val="none" w:sz="0" w:space="0" w:color="auto"/>
            <w:left w:val="none" w:sz="0" w:space="0" w:color="auto"/>
            <w:bottom w:val="none" w:sz="0" w:space="0" w:color="auto"/>
            <w:right w:val="none" w:sz="0" w:space="0" w:color="auto"/>
          </w:divBdr>
          <w:divsChild>
            <w:div w:id="21261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6901">
      <w:bodyDiv w:val="1"/>
      <w:marLeft w:val="0"/>
      <w:marRight w:val="0"/>
      <w:marTop w:val="0"/>
      <w:marBottom w:val="0"/>
      <w:divBdr>
        <w:top w:val="none" w:sz="0" w:space="0" w:color="auto"/>
        <w:left w:val="none" w:sz="0" w:space="0" w:color="auto"/>
        <w:bottom w:val="none" w:sz="0" w:space="0" w:color="auto"/>
        <w:right w:val="none" w:sz="0" w:space="0" w:color="auto"/>
      </w:divBdr>
      <w:divsChild>
        <w:div w:id="1806699330">
          <w:marLeft w:val="0"/>
          <w:marRight w:val="0"/>
          <w:marTop w:val="0"/>
          <w:marBottom w:val="0"/>
          <w:divBdr>
            <w:top w:val="none" w:sz="0" w:space="0" w:color="auto"/>
            <w:left w:val="none" w:sz="0" w:space="0" w:color="auto"/>
            <w:bottom w:val="none" w:sz="0" w:space="0" w:color="auto"/>
            <w:right w:val="none" w:sz="0" w:space="0" w:color="auto"/>
          </w:divBdr>
          <w:divsChild>
            <w:div w:id="20430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skidd.gov.ua/etrusted-services" TargetMode="External"/><Relationship Id="rId13" Type="http://schemas.openxmlformats.org/officeDocument/2006/relationships/hyperlink" Target="http://www.acskidd.gov.ua/" TargetMode="External"/><Relationship Id="rId18" Type="http://schemas.openxmlformats.org/officeDocument/2006/relationships/hyperlink" Target="https://tax.gov.ua/media-tsentr/novini/435876.html" TargetMode="External"/><Relationship Id="rId3" Type="http://schemas.openxmlformats.org/officeDocument/2006/relationships/webSettings" Target="webSettings.xml"/><Relationship Id="rId21" Type="http://schemas.openxmlformats.org/officeDocument/2006/relationships/hyperlink" Target="https://tax.gov.ua/zakonodavstvo/podatkove-zakonodavstvo/nakazi/74723.html" TargetMode="External"/><Relationship Id="rId7" Type="http://schemas.openxmlformats.org/officeDocument/2006/relationships/hyperlink" Target="https://acskidd.gov.ua/" TargetMode="External"/><Relationship Id="rId12" Type="http://schemas.openxmlformats.org/officeDocument/2006/relationships/hyperlink" Target="https://www.tax.gov.ua/media-tsentr/videogalereya/videouroki/" TargetMode="External"/><Relationship Id="rId17" Type="http://schemas.openxmlformats.org/officeDocument/2006/relationships/hyperlink" Target="https://www.facebook.com/393701834060994/posts/3009083265856158/" TargetMode="External"/><Relationship Id="rId2" Type="http://schemas.openxmlformats.org/officeDocument/2006/relationships/settings" Target="settings.xml"/><Relationship Id="rId16" Type="http://schemas.openxmlformats.org/officeDocument/2006/relationships/hyperlink" Target="https://facebook.com/story.php?story_fbid=1319455004915015&amp;id=100005515845604" TargetMode="External"/><Relationship Id="rId20" Type="http://schemas.openxmlformats.org/officeDocument/2006/relationships/hyperlink" Target="https://www.irs.gov/newsroom/irs-grants-extension-of-time-to-file-fatca-information-returns" TargetMode="External"/><Relationship Id="rId1" Type="http://schemas.openxmlformats.org/officeDocument/2006/relationships/styles" Target="styles.xml"/><Relationship Id="rId6" Type="http://schemas.openxmlformats.org/officeDocument/2006/relationships/hyperlink" Target="https://tax.gov.ua/media-tsentr/novini/435083.html" TargetMode="External"/><Relationship Id="rId11" Type="http://schemas.openxmlformats.org/officeDocument/2006/relationships/hyperlink" Target="http://cabinet.tax.gov.ua/help/" TargetMode="External"/><Relationship Id="rId24" Type="http://schemas.openxmlformats.org/officeDocument/2006/relationships/theme" Target="theme/theme1.xml"/><Relationship Id="rId5" Type="http://schemas.openxmlformats.org/officeDocument/2006/relationships/hyperlink" Target="mailto:zvernennya_dps@tax.gov.ua" TargetMode="External"/><Relationship Id="rId15" Type="http://schemas.openxmlformats.org/officeDocument/2006/relationships/hyperlink" Target="https://facebook.com/story.php?story_fbid=1364764907050691&amp;id=100005515845604" TargetMode="External"/><Relationship Id="rId23" Type="http://schemas.openxmlformats.org/officeDocument/2006/relationships/fontTable" Target="fontTable.xml"/><Relationship Id="rId10" Type="http://schemas.openxmlformats.org/officeDocument/2006/relationships/hyperlink" Target="http://cabinet.tax.gov.ua/" TargetMode="External"/><Relationship Id="rId19" Type="http://schemas.openxmlformats.org/officeDocument/2006/relationships/hyperlink" Target="http://zir.tax.gov.ua/" TargetMode="External"/><Relationship Id="rId4" Type="http://schemas.openxmlformats.org/officeDocument/2006/relationships/hyperlink" Target="https://tax.gov.ua/media-tsentr/novini/435044.html" TargetMode="External"/><Relationship Id="rId9" Type="http://schemas.openxmlformats.org/officeDocument/2006/relationships/hyperlink" Target="http://dp.tax.gov.ua/" TargetMode="External"/><Relationship Id="rId14" Type="http://schemas.openxmlformats.org/officeDocument/2006/relationships/hyperlink" Target="http://zir.tax.gov.ua/" TargetMode="External"/><Relationship Id="rId22" Type="http://schemas.openxmlformats.org/officeDocument/2006/relationships/hyperlink" Target="https://tax.gov.ua/baneryi/fatca/povidomlennya/43128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15</Pages>
  <Words>13301</Words>
  <Characters>75819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2020-10-16T06:58:00Z</dcterms:created>
  <dcterms:modified xsi:type="dcterms:W3CDTF">2020-10-16T08:21:00Z</dcterms:modified>
</cp:coreProperties>
</file>