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5A5977" w14:textId="2F1581AD" w:rsidR="00CC6508" w:rsidRPr="00CC6508" w:rsidRDefault="00CC6508" w:rsidP="00CC6508">
      <w:pPr>
        <w:pStyle w:val="1"/>
        <w:shd w:val="clear" w:color="auto" w:fill="FFFFFF"/>
        <w:spacing w:before="0" w:beforeAutospacing="0" w:after="0" w:afterAutospacing="0"/>
        <w:rPr>
          <w:color w:val="333333"/>
          <w:sz w:val="20"/>
          <w:szCs w:val="20"/>
        </w:rPr>
      </w:pPr>
      <w:r w:rsidRPr="00CC6508">
        <w:rPr>
          <w:color w:val="333333"/>
          <w:sz w:val="20"/>
          <w:szCs w:val="20"/>
        </w:rPr>
        <w:t xml:space="preserve">Облік доходів і витрат </w:t>
      </w:r>
      <w:proofErr w:type="spellStart"/>
      <w:r w:rsidRPr="00CC6508">
        <w:rPr>
          <w:color w:val="333333"/>
          <w:sz w:val="20"/>
          <w:szCs w:val="20"/>
        </w:rPr>
        <w:t>самозайнятих</w:t>
      </w:r>
      <w:proofErr w:type="spellEnd"/>
      <w:r w:rsidRPr="00CC6508">
        <w:rPr>
          <w:color w:val="333333"/>
          <w:sz w:val="20"/>
          <w:szCs w:val="20"/>
        </w:rPr>
        <w:t xml:space="preserve"> осіб з 01.01.2021 за новими правилами</w:t>
      </w:r>
    </w:p>
    <w:p w14:paraId="5AC61B63" w14:textId="1DC223CD"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Законом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змінено порядок ведення обліку доходів і витрат </w:t>
      </w:r>
      <w:proofErr w:type="spellStart"/>
      <w:r w:rsidRPr="00CC6508">
        <w:rPr>
          <w:color w:val="333333"/>
          <w:sz w:val="20"/>
          <w:szCs w:val="20"/>
        </w:rPr>
        <w:t>самозайнятими</w:t>
      </w:r>
      <w:proofErr w:type="spellEnd"/>
      <w:r w:rsidRPr="00CC6508">
        <w:rPr>
          <w:color w:val="333333"/>
          <w:sz w:val="20"/>
          <w:szCs w:val="20"/>
        </w:rPr>
        <w:t xml:space="preserve"> особами, зокрема, відмінено обов’язкове ведення паперових Книг обліку доходу та витрат, Книг обліку доходів.</w:t>
      </w:r>
    </w:p>
    <w:p w14:paraId="7D1586E5"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Так, залежно від обраної системи оподаткування </w:t>
      </w:r>
      <w:proofErr w:type="spellStart"/>
      <w:r w:rsidRPr="00CC6508">
        <w:rPr>
          <w:color w:val="333333"/>
          <w:sz w:val="20"/>
          <w:szCs w:val="20"/>
        </w:rPr>
        <w:t>самозайняті</w:t>
      </w:r>
      <w:proofErr w:type="spellEnd"/>
      <w:r w:rsidRPr="00CC6508">
        <w:rPr>
          <w:color w:val="333333"/>
          <w:sz w:val="20"/>
          <w:szCs w:val="20"/>
        </w:rPr>
        <w:t xml:space="preserve"> особи, починаючи з 01 січня 2021 року, мають вести облік своїх доходів (витрат) у наступний спосіб:</w:t>
      </w:r>
    </w:p>
    <w:p w14:paraId="3DE4E88B"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фізичні особи – підприємці (ФОП) на загальній системі зобов’язані вести облік доходів і витрат та мати підтверджуючі документи щодо походження товару. Кодекс дозволяє вести облік доходів і витрат в паперовому та/або електронному вигляді, у тому числі через Електронний кабінет.</w:t>
      </w:r>
    </w:p>
    <w:p w14:paraId="11B9DEF6"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Типова форма, за якою здійснюється облік доходів і витрат, та порядок ведення такого обліку визначаються центральним органом виконавчої влади, що забезпечує формування та реалізує державну фінансову політику. На сьогодні і до моменту затвердження нової форми Міністерством фінансів України залишається чинною Книга обліку доходів і витрат, яку ведуть фізичні особи - підприємці, крім осіб, що обрали спрощену систему оподаткування, і фізичні особи, які провадять незалежну професійну діяльність, затверджена Наказом Міністерства доходів і зборів України від 16 вересня 2013 № 481 (далі – Книга).</w:t>
      </w:r>
    </w:p>
    <w:p w14:paraId="22AB3B44"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Фізичні особи, які провадять незалежну професійну діяльність зобов’язані вести облік доходів і витрат від такої діяльності. Податковим кодексом України визначає, що такі особи мають можливість вести облік доходів і витрат в паперовому та/або електронному вигляді, у тому числі через Електронний кабінет.</w:t>
      </w:r>
    </w:p>
    <w:p w14:paraId="1E0D6683"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Типова форма, за якою здійснюється облік доходів і витрат, та порядок ведення такого обліку також визначаються центральним органом виконавчої влади, що забезпечує формування та реалізує державну фінансову політику. На сьогодні і до моменту затвердження нової форми Міністерством фінансів України залишається чинною Книга.</w:t>
      </w:r>
    </w:p>
    <w:p w14:paraId="03227C05"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ФОП – платникам єдиного податку першої і другої груп та платникам єдиного податку третьої групи, які не є платниками ПДВ, буде надано право вести облік у довільній формі шляхом помісячного відображення отриманих доходів.</w:t>
      </w:r>
    </w:p>
    <w:p w14:paraId="5CFC89C8"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Ці суб’єкти господарювання будуть мати можливість вести облік як у паперовому так і в електронному вигляді.</w:t>
      </w:r>
    </w:p>
    <w:p w14:paraId="5F3E9FD0"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ФОП – платникам єдиного податку третьої групи, які є платниками ПДВ, також надано право вести облік у довільній формі (у паперовому або електронному вигляді) шляхом помісячного відображення доходів та витрат.</w:t>
      </w:r>
    </w:p>
    <w:p w14:paraId="0085DD76"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rStyle w:val="a5"/>
          <w:color w:val="333333"/>
          <w:sz w:val="20"/>
          <w:szCs w:val="20"/>
        </w:rPr>
        <w:t xml:space="preserve">Підписуйтесь на </w:t>
      </w:r>
      <w:proofErr w:type="spellStart"/>
      <w:r w:rsidRPr="00CC6508">
        <w:rPr>
          <w:rStyle w:val="a5"/>
          <w:color w:val="333333"/>
          <w:sz w:val="20"/>
          <w:szCs w:val="20"/>
        </w:rPr>
        <w:t>Telegram</w:t>
      </w:r>
      <w:proofErr w:type="spellEnd"/>
      <w:r w:rsidRPr="00CC6508">
        <w:rPr>
          <w:rStyle w:val="a5"/>
          <w:color w:val="333333"/>
          <w:sz w:val="20"/>
          <w:szCs w:val="20"/>
        </w:rPr>
        <w:t>-канал Державної податкової служби України</w:t>
      </w:r>
      <w:r w:rsidRPr="00CC6508">
        <w:rPr>
          <w:color w:val="333333"/>
          <w:sz w:val="20"/>
          <w:szCs w:val="20"/>
        </w:rPr>
        <w:t> </w:t>
      </w:r>
      <w:hyperlink r:id="rId6" w:tgtFrame="_blank" w:history="1">
        <w:r w:rsidRPr="00CC6508">
          <w:rPr>
            <w:rStyle w:val="a3"/>
            <w:color w:val="00518C"/>
            <w:sz w:val="20"/>
            <w:szCs w:val="20"/>
          </w:rPr>
          <w:t>https://t.me/tax_gov_ua</w:t>
        </w:r>
      </w:hyperlink>
    </w:p>
    <w:p w14:paraId="2A8DA4C0" w14:textId="3BE4408C" w:rsidR="00CC6508" w:rsidRDefault="00CC6508" w:rsidP="00CC6508">
      <w:pPr>
        <w:pStyle w:val="a4"/>
        <w:shd w:val="clear" w:color="auto" w:fill="FFFFFF"/>
        <w:spacing w:before="0" w:beforeAutospacing="0" w:after="0" w:afterAutospacing="0"/>
        <w:jc w:val="both"/>
        <w:rPr>
          <w:rStyle w:val="a5"/>
          <w:color w:val="333333"/>
          <w:sz w:val="20"/>
          <w:szCs w:val="20"/>
        </w:rPr>
      </w:pPr>
      <w:r w:rsidRPr="00CC6508">
        <w:rPr>
          <w:rStyle w:val="a5"/>
          <w:color w:val="333333"/>
          <w:sz w:val="20"/>
          <w:szCs w:val="20"/>
        </w:rPr>
        <w:t>Спілкуйся з Податковою службою дистанційно за допомогою сервісу «</w:t>
      </w:r>
      <w:proofErr w:type="spellStart"/>
      <w:r w:rsidRPr="00CC6508">
        <w:rPr>
          <w:rStyle w:val="a5"/>
          <w:color w:val="333333"/>
          <w:sz w:val="20"/>
          <w:szCs w:val="20"/>
        </w:rPr>
        <w:fldChar w:fldCharType="begin"/>
      </w:r>
      <w:r w:rsidRPr="00CC6508">
        <w:rPr>
          <w:rStyle w:val="a5"/>
          <w:color w:val="333333"/>
          <w:sz w:val="20"/>
          <w:szCs w:val="20"/>
        </w:rPr>
        <w:instrText xml:space="preserve"> HYPERLINK "https://t.me/infoTAXbot" \t "_blank" </w:instrText>
      </w:r>
      <w:r w:rsidRPr="00CC6508">
        <w:rPr>
          <w:rStyle w:val="a5"/>
          <w:color w:val="333333"/>
          <w:sz w:val="20"/>
          <w:szCs w:val="20"/>
        </w:rPr>
        <w:fldChar w:fldCharType="separate"/>
      </w:r>
      <w:r w:rsidRPr="00CC6508">
        <w:rPr>
          <w:rStyle w:val="a3"/>
          <w:i/>
          <w:iCs/>
          <w:color w:val="00518C"/>
          <w:sz w:val="20"/>
          <w:szCs w:val="20"/>
        </w:rPr>
        <w:t>InfoTAX</w:t>
      </w:r>
      <w:proofErr w:type="spellEnd"/>
      <w:r w:rsidRPr="00CC6508">
        <w:rPr>
          <w:rStyle w:val="a5"/>
          <w:color w:val="333333"/>
          <w:sz w:val="20"/>
          <w:szCs w:val="20"/>
        </w:rPr>
        <w:fldChar w:fldCharType="end"/>
      </w:r>
      <w:r w:rsidRPr="00CC6508">
        <w:rPr>
          <w:rStyle w:val="a5"/>
          <w:color w:val="333333"/>
          <w:sz w:val="20"/>
          <w:szCs w:val="20"/>
        </w:rPr>
        <w:t>»</w:t>
      </w:r>
    </w:p>
    <w:p w14:paraId="16F62C06" w14:textId="77777777" w:rsidR="00CC6508" w:rsidRPr="00CC6508" w:rsidRDefault="00CC6508" w:rsidP="00CC6508">
      <w:pPr>
        <w:pStyle w:val="a4"/>
        <w:shd w:val="clear" w:color="auto" w:fill="FFFFFF"/>
        <w:spacing w:before="0" w:beforeAutospacing="0" w:after="0" w:afterAutospacing="0"/>
        <w:rPr>
          <w:color w:val="333333"/>
          <w:sz w:val="20"/>
          <w:szCs w:val="20"/>
        </w:rPr>
      </w:pPr>
      <w:r w:rsidRPr="00CC6508">
        <w:rPr>
          <w:color w:val="333333"/>
          <w:sz w:val="20"/>
          <w:szCs w:val="20"/>
        </w:rPr>
        <w:t> </w:t>
      </w:r>
    </w:p>
    <w:p w14:paraId="773290EA" w14:textId="77777777" w:rsidR="00CC6508" w:rsidRPr="006E3DB0" w:rsidRDefault="00CC6508" w:rsidP="00CC6508">
      <w:pPr>
        <w:pStyle w:val="1"/>
        <w:shd w:val="clear" w:color="auto" w:fill="FFFFFF"/>
        <w:spacing w:before="0" w:beforeAutospacing="0" w:after="0" w:afterAutospacing="0"/>
        <w:rPr>
          <w:color w:val="333333"/>
          <w:sz w:val="20"/>
          <w:szCs w:val="20"/>
        </w:rPr>
      </w:pPr>
      <w:r w:rsidRPr="006E3DB0">
        <w:rPr>
          <w:color w:val="333333"/>
          <w:sz w:val="20"/>
          <w:szCs w:val="20"/>
        </w:rPr>
        <w:t>Затверджено переклад Таксономії фінансової звітності за міжнародними стандартами фінансової звітності</w:t>
      </w:r>
    </w:p>
    <w:p w14:paraId="787BCD4A" w14:textId="05F88271"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Міністерство фінансів України наказом від 13.11.2020 року № 709 (далі –  Наказ № 709) затвердило переклад Таксономії фінансової звітності за міжнародними стандартами фінансової звітності.</w:t>
      </w:r>
    </w:p>
    <w:p w14:paraId="407F91CF"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Наказ № 709 розроблено відповідно до Закону України «Про бухгалтерський облік та фінансову звітність в Україні».</w:t>
      </w:r>
    </w:p>
    <w:p w14:paraId="79098AD6"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Наказом № 709 встановлено, що фінансова звітність на основі Таксономії фінансової звітності за міжнародними стандартами фінансової звітності складається та подається в єдиному електронному форматі із застосуванням розширюваної мови ділової звітності (XBRL).</w:t>
      </w:r>
    </w:p>
    <w:p w14:paraId="7E202F5F"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Крім того, відповідно до Наказу № 709 втратив чинність наказ Міністерства фінансів України від 25.10.2019 № 452 «Про затвердження перекладу Таксономії фінансової звітності за міжнародними стандартами фінансової звітності».</w:t>
      </w:r>
    </w:p>
    <w:p w14:paraId="33C644A0"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Наказ набирає чинності з 01 січня 2021 року.</w:t>
      </w:r>
    </w:p>
    <w:p w14:paraId="5843845E"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Наказ № 709 розміщено на офіційному сайті Міністерства фінансів України за посиланням</w:t>
      </w:r>
    </w:p>
    <w:p w14:paraId="3139E69C" w14:textId="77777777" w:rsidR="00CC6508" w:rsidRPr="00CC6508" w:rsidRDefault="00F438B0" w:rsidP="00CC6508">
      <w:pPr>
        <w:pStyle w:val="a4"/>
        <w:shd w:val="clear" w:color="auto" w:fill="FFFFFF"/>
        <w:spacing w:before="0" w:beforeAutospacing="0" w:after="0" w:afterAutospacing="0"/>
        <w:jc w:val="both"/>
        <w:rPr>
          <w:color w:val="333333"/>
          <w:sz w:val="20"/>
          <w:szCs w:val="20"/>
        </w:rPr>
      </w:pPr>
      <w:hyperlink r:id="rId7" w:history="1">
        <w:r w:rsidR="00CC6508" w:rsidRPr="00CC6508">
          <w:rPr>
            <w:rStyle w:val="a3"/>
            <w:b/>
            <w:bCs/>
            <w:color w:val="00518C"/>
            <w:sz w:val="20"/>
            <w:szCs w:val="20"/>
          </w:rPr>
          <w:t>https://mof.gov.ua/storage/files/%D0%9D%D0%B0%D0%BA%D0%B0%D0%B7%20709.pdf</w:t>
        </w:r>
      </w:hyperlink>
    </w:p>
    <w:p w14:paraId="1550CE0F"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rStyle w:val="a5"/>
          <w:color w:val="333333"/>
          <w:sz w:val="20"/>
          <w:szCs w:val="20"/>
        </w:rPr>
        <w:t xml:space="preserve">Підписуйтесь на </w:t>
      </w:r>
      <w:proofErr w:type="spellStart"/>
      <w:r w:rsidRPr="00CC6508">
        <w:rPr>
          <w:rStyle w:val="a5"/>
          <w:color w:val="333333"/>
          <w:sz w:val="20"/>
          <w:szCs w:val="20"/>
        </w:rPr>
        <w:t>Telegram</w:t>
      </w:r>
      <w:proofErr w:type="spellEnd"/>
      <w:r w:rsidRPr="00CC6508">
        <w:rPr>
          <w:rStyle w:val="a5"/>
          <w:color w:val="333333"/>
          <w:sz w:val="20"/>
          <w:szCs w:val="20"/>
        </w:rPr>
        <w:t>-канал Державної податкової служби України</w:t>
      </w:r>
      <w:r w:rsidRPr="00CC6508">
        <w:rPr>
          <w:color w:val="333333"/>
          <w:sz w:val="20"/>
          <w:szCs w:val="20"/>
        </w:rPr>
        <w:t> </w:t>
      </w:r>
      <w:hyperlink r:id="rId8" w:tgtFrame="_blank" w:history="1">
        <w:r w:rsidRPr="00CC6508">
          <w:rPr>
            <w:rStyle w:val="a3"/>
            <w:color w:val="00518C"/>
            <w:sz w:val="20"/>
            <w:szCs w:val="20"/>
          </w:rPr>
          <w:t>https://t.me/tax_gov_ua</w:t>
        </w:r>
      </w:hyperlink>
    </w:p>
    <w:p w14:paraId="57FDD1B1"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rStyle w:val="a5"/>
          <w:color w:val="333333"/>
          <w:sz w:val="20"/>
          <w:szCs w:val="20"/>
        </w:rPr>
        <w:t>Спілкуйся з Податковою службою дистанційно за допомогою сервісу «</w:t>
      </w:r>
      <w:proofErr w:type="spellStart"/>
      <w:r w:rsidRPr="00CC6508">
        <w:rPr>
          <w:rStyle w:val="a5"/>
          <w:color w:val="333333"/>
          <w:sz w:val="20"/>
          <w:szCs w:val="20"/>
        </w:rPr>
        <w:fldChar w:fldCharType="begin"/>
      </w:r>
      <w:r w:rsidRPr="00CC6508">
        <w:rPr>
          <w:rStyle w:val="a5"/>
          <w:color w:val="333333"/>
          <w:sz w:val="20"/>
          <w:szCs w:val="20"/>
        </w:rPr>
        <w:instrText xml:space="preserve"> HYPERLINK "https://t.me/infoTAXbot" \t "_blank" </w:instrText>
      </w:r>
      <w:r w:rsidRPr="00CC6508">
        <w:rPr>
          <w:rStyle w:val="a5"/>
          <w:color w:val="333333"/>
          <w:sz w:val="20"/>
          <w:szCs w:val="20"/>
        </w:rPr>
        <w:fldChar w:fldCharType="separate"/>
      </w:r>
      <w:r w:rsidRPr="00CC6508">
        <w:rPr>
          <w:rStyle w:val="a3"/>
          <w:i/>
          <w:iCs/>
          <w:color w:val="00518C"/>
          <w:sz w:val="20"/>
          <w:szCs w:val="20"/>
        </w:rPr>
        <w:t>InfoTAX</w:t>
      </w:r>
      <w:proofErr w:type="spellEnd"/>
      <w:r w:rsidRPr="00CC6508">
        <w:rPr>
          <w:rStyle w:val="a5"/>
          <w:color w:val="333333"/>
          <w:sz w:val="20"/>
          <w:szCs w:val="20"/>
        </w:rPr>
        <w:fldChar w:fldCharType="end"/>
      </w:r>
      <w:r w:rsidRPr="00CC6508">
        <w:rPr>
          <w:rStyle w:val="a5"/>
          <w:color w:val="333333"/>
          <w:sz w:val="20"/>
          <w:szCs w:val="20"/>
        </w:rPr>
        <w:t>»</w:t>
      </w:r>
    </w:p>
    <w:p w14:paraId="10A1A401" w14:textId="77777777" w:rsidR="00CC6508" w:rsidRPr="00CC6508" w:rsidRDefault="00CC6508" w:rsidP="00CC6508">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p>
    <w:p w14:paraId="2DF1E964" w14:textId="77777777" w:rsidR="00CC6508" w:rsidRPr="006E3DB0" w:rsidRDefault="00CC6508" w:rsidP="00CC6508">
      <w:pPr>
        <w:pStyle w:val="1"/>
        <w:shd w:val="clear" w:color="auto" w:fill="FFFFFF"/>
        <w:spacing w:before="0" w:beforeAutospacing="0" w:after="0" w:afterAutospacing="0"/>
        <w:rPr>
          <w:color w:val="333333"/>
          <w:sz w:val="20"/>
          <w:szCs w:val="20"/>
        </w:rPr>
      </w:pPr>
      <w:r w:rsidRPr="006E3DB0">
        <w:rPr>
          <w:color w:val="333333"/>
          <w:sz w:val="20"/>
          <w:szCs w:val="20"/>
        </w:rPr>
        <w:t>Закони України щодо лібералізації та підтримки бізнесу набрали чинності</w:t>
      </w:r>
    </w:p>
    <w:p w14:paraId="15E98BD4" w14:textId="2A559B5E" w:rsidR="00CC6508" w:rsidRPr="00CC6508" w:rsidRDefault="00CC6508" w:rsidP="00CC6508">
      <w:pPr>
        <w:pStyle w:val="a4"/>
        <w:shd w:val="clear" w:color="auto" w:fill="FFFFFF"/>
        <w:spacing w:before="0" w:beforeAutospacing="0" w:after="0" w:afterAutospacing="0"/>
        <w:jc w:val="both"/>
        <w:rPr>
          <w:color w:val="333333"/>
          <w:sz w:val="20"/>
          <w:szCs w:val="20"/>
        </w:rPr>
      </w:pPr>
      <w:r>
        <w:rPr>
          <w:color w:val="333333"/>
          <w:sz w:val="20"/>
          <w:szCs w:val="20"/>
        </w:rPr>
        <w:t>Д</w:t>
      </w:r>
      <w:r w:rsidRPr="00CC6508">
        <w:rPr>
          <w:color w:val="333333"/>
          <w:sz w:val="20"/>
          <w:szCs w:val="20"/>
        </w:rPr>
        <w:t>оводи</w:t>
      </w:r>
      <w:r>
        <w:rPr>
          <w:color w:val="333333"/>
          <w:sz w:val="20"/>
          <w:szCs w:val="20"/>
        </w:rPr>
        <w:t>мо</w:t>
      </w:r>
      <w:r w:rsidRPr="00CC6508">
        <w:rPr>
          <w:color w:val="333333"/>
          <w:sz w:val="20"/>
          <w:szCs w:val="20"/>
        </w:rPr>
        <w:t xml:space="preserve"> до відома платників, що у офіційному виданні «Голос України» від 09.12.2020 № 228 опубліковано три важливих закони для підтримки бізнесу під час карантину, а саме:</w:t>
      </w:r>
    </w:p>
    <w:p w14:paraId="3BA60820"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Закон України від 01грудня 2020 року № 1017-ІХ «Про внесення змін до Податкового кодексу України та інших законів України щодо лібералізації застосування реєстраторів розрахункових операцій платниками єдиного податку та скасування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штрафних санкцій» (далі – Закон № 1017).</w:t>
      </w:r>
    </w:p>
    <w:p w14:paraId="6B9291BC"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Закон № 1017 визначає граничні обсяги доходів, </w:t>
      </w:r>
      <w:proofErr w:type="spellStart"/>
      <w:r w:rsidRPr="00CC6508">
        <w:rPr>
          <w:color w:val="333333"/>
          <w:sz w:val="20"/>
          <w:szCs w:val="20"/>
        </w:rPr>
        <w:t>неперевищення</w:t>
      </w:r>
      <w:proofErr w:type="spellEnd"/>
      <w:r w:rsidRPr="00CC6508">
        <w:rPr>
          <w:color w:val="333333"/>
          <w:sz w:val="20"/>
          <w:szCs w:val="20"/>
        </w:rPr>
        <w:t xml:space="preserve"> яких є однією з умов застосування суб’єктами спрощеної системи оподаткування відповідних груп платників єдиного податку, зважаючи на встановлені законом розміри мінімальної заробітної плати, що дасть змогу враховувати під час реалізації відповідних норм зміни в економічній ситуації.</w:t>
      </w:r>
    </w:p>
    <w:p w14:paraId="70EDB887"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Крім того, виключено норми щодо застосування механізму компенсації покупцям (споживачам) за скаргами щодо порушення встановленого порядку проведення розрахункових операцій частини суми застосованих до суб’єктів господарювання штрафних (фінансових) санкцій.</w:t>
      </w:r>
    </w:p>
    <w:p w14:paraId="6ACD0E26"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До 1 січня 2022 року відтерміновано обов’язкове застосування реєстраторів розрахункових операцій (РРО)/програмних РРО для фізичних осіб – підприємців (далі – ФОП), які є платниками єдиного податку другої – четвертої груп та обсяг доходу яких протягом календарного року не перевищує граничного обсягу доходу, встановленого для першої групи платників єдиного податку, </w:t>
      </w:r>
      <w:r w:rsidRPr="00CC6508">
        <w:rPr>
          <w:rStyle w:val="a5"/>
          <w:color w:val="333333"/>
          <w:sz w:val="20"/>
          <w:szCs w:val="20"/>
        </w:rPr>
        <w:t>крім тих, які провадять діяльність у сферах з істотними ризиками ухилення від оподаткування</w:t>
      </w:r>
      <w:r w:rsidRPr="00CC6508">
        <w:rPr>
          <w:color w:val="333333"/>
          <w:sz w:val="20"/>
          <w:szCs w:val="20"/>
        </w:rPr>
        <w:t>.</w:t>
      </w:r>
    </w:p>
    <w:p w14:paraId="57A4B26D"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 Закон України від 04 грудня 2020 року № 1071-ІХ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C6508">
        <w:rPr>
          <w:color w:val="333333"/>
          <w:sz w:val="20"/>
          <w:szCs w:val="20"/>
        </w:rPr>
        <w:t>коронавірусом</w:t>
      </w:r>
      <w:proofErr w:type="spellEnd"/>
      <w:r w:rsidRPr="00CC6508">
        <w:rPr>
          <w:color w:val="333333"/>
          <w:sz w:val="20"/>
          <w:szCs w:val="20"/>
        </w:rPr>
        <w:t xml:space="preserve"> SARS-</w:t>
      </w:r>
      <w:proofErr w:type="spellStart"/>
      <w:r w:rsidRPr="00CC6508">
        <w:rPr>
          <w:color w:val="333333"/>
          <w:sz w:val="20"/>
          <w:szCs w:val="20"/>
        </w:rPr>
        <w:t>Co</w:t>
      </w:r>
      <w:proofErr w:type="spellEnd"/>
      <w:r w:rsidRPr="00CC6508">
        <w:rPr>
          <w:color w:val="333333"/>
          <w:sz w:val="20"/>
          <w:szCs w:val="20"/>
        </w:rPr>
        <w:t xml:space="preserve"> V-2» (далі – Закон № 1071).</w:t>
      </w:r>
    </w:p>
    <w:p w14:paraId="645DEBB8"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lastRenderedPageBreak/>
        <w:t>Законом № 1071 передбачено надання одноразової матеріальної допомоги у розмірі 8 тис. грн найманим працівникам, які втратили частину заробітної платні внаслідок запровадження карантинних обмежень, та ФОП, які втратили частину доходу внаслідок карантину.</w:t>
      </w:r>
    </w:p>
    <w:p w14:paraId="0228CFCF"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Допомога ФОП не надається, якщо вони:</w:t>
      </w:r>
    </w:p>
    <w:p w14:paraId="72B8E321"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зареєстровані менше ніж за три місяці до набрання чинності цим законом;</w:t>
      </w:r>
    </w:p>
    <w:p w14:paraId="39EE6C44"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у 2020 році сплатили єдиний внесок на загальнообов’язкове державне соціальне страхування (далі – єдиний внесок) за себе менше ніж за три місяці, а також якщо їхній вид діяльності не підпадає під карантинні обмеження.</w:t>
      </w:r>
    </w:p>
    <w:p w14:paraId="0ABC4040"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Крім того, Закон № 1071 передбачає надання одноразової матеріальної допомоги компаніям для виплат найманим працівникам у разі скорочення штату під час дії карантину. Ця норма стосується підприємств, які (на час набуття чинності законом) вимушено скоротили або можуть скоротити тривалість робочого часу працівників через простій у зв'язку з впровадженням карантину.</w:t>
      </w:r>
    </w:p>
    <w:p w14:paraId="72F99F07"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Розмір допомоги вираховується </w:t>
      </w:r>
      <w:proofErr w:type="spellStart"/>
      <w:r w:rsidRPr="00CC6508">
        <w:rPr>
          <w:color w:val="333333"/>
          <w:sz w:val="20"/>
          <w:szCs w:val="20"/>
        </w:rPr>
        <w:t>пропорційно</w:t>
      </w:r>
      <w:proofErr w:type="spellEnd"/>
      <w:r w:rsidRPr="00CC6508">
        <w:rPr>
          <w:color w:val="333333"/>
          <w:sz w:val="20"/>
          <w:szCs w:val="20"/>
        </w:rPr>
        <w:t xml:space="preserve"> скороченню робочого часу працівника, але не може перевищувати 8 тис. гривень.</w:t>
      </w:r>
    </w:p>
    <w:p w14:paraId="6D56D031"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Законом № 1071 також передбачається одноразова компенсацію суб’єктам господарювання з метою відшкодування витрат, понесених на сплату єдиного внеску. Розмір одноразової компенсації становитиме середньомісячну суму єдиного внеску з розрахунків останніх 10 місяців.</w:t>
      </w:r>
    </w:p>
    <w:p w14:paraId="367DE35C"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 Закон України від 04.12.2020 р.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Pr="00CC6508">
        <w:rPr>
          <w:color w:val="333333"/>
          <w:sz w:val="20"/>
          <w:szCs w:val="20"/>
        </w:rPr>
        <w:t>коронавірусом</w:t>
      </w:r>
      <w:proofErr w:type="spellEnd"/>
      <w:r w:rsidRPr="00CC6508">
        <w:rPr>
          <w:color w:val="333333"/>
          <w:sz w:val="20"/>
          <w:szCs w:val="20"/>
        </w:rPr>
        <w:t xml:space="preserve"> SARS-</w:t>
      </w:r>
      <w:proofErr w:type="spellStart"/>
      <w:r w:rsidRPr="00CC6508">
        <w:rPr>
          <w:color w:val="333333"/>
          <w:sz w:val="20"/>
          <w:szCs w:val="20"/>
        </w:rPr>
        <w:t>Co</w:t>
      </w:r>
      <w:proofErr w:type="spellEnd"/>
      <w:r w:rsidRPr="00CC6508">
        <w:rPr>
          <w:color w:val="333333"/>
          <w:sz w:val="20"/>
          <w:szCs w:val="20"/>
        </w:rPr>
        <w:t xml:space="preserve"> V-2»(Далі – Закон № 1072).</w:t>
      </w:r>
    </w:p>
    <w:p w14:paraId="16880822"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Законом № 1072 передбачено:</w:t>
      </w:r>
    </w:p>
    <w:p w14:paraId="7BACAD4E"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звільнення платників єдиного податку I групи від сплати цього податку за грудень 2020 року та січень – травень 2021 року;</w:t>
      </w:r>
    </w:p>
    <w:p w14:paraId="2A8188F1"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звільнення від нарахування, обчислення та сплати єдиного внеску платників єдиного податку першої групи в частині сум, що підлягають нарахуванню, обчисленню та сплаті такими особами за періоди з 01 по 31 грудня 2020 року, з    01 по 31 січня, з 01 по 28 лютого, з 01 по 31 березня, з 01 по 30 квітня та з 01 по   31 травня 2021 року за себе, та визначити, що такі періоди включаються до страхового стажу;</w:t>
      </w:r>
    </w:p>
    <w:p w14:paraId="466F45EA"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списання податкового боргу платникам податків у разі, якщо сукупний розмір боргу платника за усіма податками і зборами не перевищує 3 060 грн та його не погашено станом на 01.11.2020;</w:t>
      </w:r>
    </w:p>
    <w:p w14:paraId="35D9FCF9"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 відстрочення до 29 грудня 2021 року погашення податкового боргу платників податків – фізичних осіб, у тому числі </w:t>
      </w:r>
      <w:proofErr w:type="spellStart"/>
      <w:r w:rsidRPr="00CC6508">
        <w:rPr>
          <w:color w:val="333333"/>
          <w:sz w:val="20"/>
          <w:szCs w:val="20"/>
        </w:rPr>
        <w:t>самозайнятих</w:t>
      </w:r>
      <w:proofErr w:type="spellEnd"/>
      <w:r w:rsidRPr="00CC6508">
        <w:rPr>
          <w:color w:val="333333"/>
          <w:sz w:val="20"/>
          <w:szCs w:val="20"/>
        </w:rPr>
        <w:t xml:space="preserve"> осіб, що у загальній сумі не перевищує 6800 гривень тощо.</w:t>
      </w:r>
    </w:p>
    <w:p w14:paraId="06CAA391"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Вищезазначені закони набирають чинності з дня, наступного за днем їх опублікуванням, тобто 10.12.2020. Розділ I Закону № 1017 щодо нових лімітів доходу для платників єдиного податку та правил застосування РРО у 2021 році набере чинності з 01 січня 2021 року.</w:t>
      </w:r>
    </w:p>
    <w:p w14:paraId="26F1B39D"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rStyle w:val="a5"/>
          <w:color w:val="333333"/>
          <w:sz w:val="20"/>
          <w:szCs w:val="20"/>
        </w:rPr>
        <w:t xml:space="preserve">Підписуйтесь на </w:t>
      </w:r>
      <w:proofErr w:type="spellStart"/>
      <w:r w:rsidRPr="00CC6508">
        <w:rPr>
          <w:rStyle w:val="a5"/>
          <w:color w:val="333333"/>
          <w:sz w:val="20"/>
          <w:szCs w:val="20"/>
        </w:rPr>
        <w:t>Telegram</w:t>
      </w:r>
      <w:proofErr w:type="spellEnd"/>
      <w:r w:rsidRPr="00CC6508">
        <w:rPr>
          <w:rStyle w:val="a5"/>
          <w:color w:val="333333"/>
          <w:sz w:val="20"/>
          <w:szCs w:val="20"/>
        </w:rPr>
        <w:t>-канал Державної податкової служби України</w:t>
      </w:r>
      <w:r w:rsidRPr="00CC6508">
        <w:rPr>
          <w:color w:val="333333"/>
          <w:sz w:val="20"/>
          <w:szCs w:val="20"/>
        </w:rPr>
        <w:t> </w:t>
      </w:r>
      <w:hyperlink r:id="rId9" w:tgtFrame="_blank" w:history="1">
        <w:r w:rsidRPr="00CC6508">
          <w:rPr>
            <w:rStyle w:val="a3"/>
            <w:color w:val="00518C"/>
            <w:sz w:val="20"/>
            <w:szCs w:val="20"/>
          </w:rPr>
          <w:t>https://t.me/tax_gov_ua</w:t>
        </w:r>
      </w:hyperlink>
    </w:p>
    <w:p w14:paraId="218461E2" w14:textId="3136200B" w:rsidR="00CC6508" w:rsidRDefault="00CC6508" w:rsidP="00CC6508">
      <w:pPr>
        <w:pStyle w:val="a4"/>
        <w:shd w:val="clear" w:color="auto" w:fill="FFFFFF"/>
        <w:spacing w:before="0" w:beforeAutospacing="0" w:after="0" w:afterAutospacing="0"/>
        <w:jc w:val="both"/>
        <w:rPr>
          <w:rStyle w:val="a5"/>
          <w:color w:val="333333"/>
          <w:sz w:val="20"/>
          <w:szCs w:val="20"/>
        </w:rPr>
      </w:pPr>
      <w:r w:rsidRPr="00CC6508">
        <w:rPr>
          <w:rStyle w:val="a5"/>
          <w:color w:val="333333"/>
          <w:sz w:val="20"/>
          <w:szCs w:val="20"/>
        </w:rPr>
        <w:t>Спілкуйся з Податковою службою дистанційно за допомогою сервісу «</w:t>
      </w:r>
      <w:proofErr w:type="spellStart"/>
      <w:r w:rsidRPr="00CC6508">
        <w:rPr>
          <w:rStyle w:val="a5"/>
          <w:color w:val="333333"/>
          <w:sz w:val="20"/>
          <w:szCs w:val="20"/>
        </w:rPr>
        <w:fldChar w:fldCharType="begin"/>
      </w:r>
      <w:r w:rsidRPr="00CC6508">
        <w:rPr>
          <w:rStyle w:val="a5"/>
          <w:color w:val="333333"/>
          <w:sz w:val="20"/>
          <w:szCs w:val="20"/>
        </w:rPr>
        <w:instrText xml:space="preserve"> HYPERLINK "https://t.me/infoTAXbot" \t "_blank" </w:instrText>
      </w:r>
      <w:r w:rsidRPr="00CC6508">
        <w:rPr>
          <w:rStyle w:val="a5"/>
          <w:color w:val="333333"/>
          <w:sz w:val="20"/>
          <w:szCs w:val="20"/>
        </w:rPr>
        <w:fldChar w:fldCharType="separate"/>
      </w:r>
      <w:r w:rsidRPr="00CC6508">
        <w:rPr>
          <w:rStyle w:val="a3"/>
          <w:i/>
          <w:iCs/>
          <w:color w:val="00518C"/>
          <w:sz w:val="20"/>
          <w:szCs w:val="20"/>
        </w:rPr>
        <w:t>InfoTAX</w:t>
      </w:r>
      <w:proofErr w:type="spellEnd"/>
      <w:r w:rsidRPr="00CC6508">
        <w:rPr>
          <w:rStyle w:val="a5"/>
          <w:color w:val="333333"/>
          <w:sz w:val="20"/>
          <w:szCs w:val="20"/>
        </w:rPr>
        <w:fldChar w:fldCharType="end"/>
      </w:r>
      <w:r w:rsidRPr="00CC6508">
        <w:rPr>
          <w:rStyle w:val="a5"/>
          <w:color w:val="333333"/>
          <w:sz w:val="20"/>
          <w:szCs w:val="20"/>
        </w:rPr>
        <w:t>»</w:t>
      </w:r>
    </w:p>
    <w:p w14:paraId="059A12DB"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p>
    <w:p w14:paraId="6F931447" w14:textId="77777777" w:rsidR="00CC6508" w:rsidRPr="00CC6508" w:rsidRDefault="00CC6508" w:rsidP="00CC6508">
      <w:pPr>
        <w:pStyle w:val="1"/>
        <w:shd w:val="clear" w:color="auto" w:fill="FFFFFF"/>
        <w:spacing w:before="0" w:beforeAutospacing="0" w:after="0" w:afterAutospacing="0"/>
        <w:rPr>
          <w:color w:val="333333"/>
          <w:sz w:val="20"/>
          <w:szCs w:val="20"/>
        </w:rPr>
      </w:pPr>
      <w:r w:rsidRPr="00CC6508">
        <w:rPr>
          <w:color w:val="333333"/>
          <w:sz w:val="20"/>
          <w:szCs w:val="20"/>
        </w:rPr>
        <w:t xml:space="preserve">Для податкової служби України на сьогодні пріоритетом є розвиток сервісної складової та </w:t>
      </w:r>
      <w:proofErr w:type="spellStart"/>
      <w:r w:rsidRPr="00CC6508">
        <w:rPr>
          <w:color w:val="333333"/>
          <w:sz w:val="20"/>
          <w:szCs w:val="20"/>
        </w:rPr>
        <w:t>цифровізація</w:t>
      </w:r>
      <w:proofErr w:type="spellEnd"/>
      <w:r w:rsidRPr="00CC6508">
        <w:rPr>
          <w:color w:val="333333"/>
          <w:sz w:val="20"/>
          <w:szCs w:val="20"/>
        </w:rPr>
        <w:t xml:space="preserve"> адміністративних послуг для платників</w:t>
      </w:r>
    </w:p>
    <w:p w14:paraId="38656039"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Найбільшу кількість адміністративних послуг в Україні надає саме податкова служба. На сьогодні 37 Центрів обслуговування платників при державних податкових інспекціях та мобільний ЦОП ГУ ДПС у Дніпропетровській області та надають 40 адміністративних послуг, 30 з яких надаються безкоштовно.</w:t>
      </w:r>
    </w:p>
    <w:p w14:paraId="24294C0A"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Протягом січня – жовтня 2020 року ЦОП Дніпропетровської області:</w:t>
      </w:r>
    </w:p>
    <w:tbl>
      <w:tblPr>
        <w:tblW w:w="6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
        <w:gridCol w:w="2377"/>
        <w:gridCol w:w="2070"/>
        <w:gridCol w:w="1528"/>
      </w:tblGrid>
      <w:tr w:rsidR="006E3DB0" w:rsidRPr="00CC6508" w14:paraId="11015D43" w14:textId="77777777" w:rsidTr="006E3DB0">
        <w:tc>
          <w:tcPr>
            <w:tcW w:w="900" w:type="dxa"/>
            <w:tcBorders>
              <w:top w:val="outset" w:sz="6" w:space="0" w:color="auto"/>
              <w:left w:val="outset" w:sz="6" w:space="0" w:color="auto"/>
              <w:bottom w:val="outset" w:sz="6" w:space="0" w:color="auto"/>
              <w:right w:val="outset" w:sz="6" w:space="0" w:color="auto"/>
            </w:tcBorders>
            <w:hideMark/>
          </w:tcPr>
          <w:p w14:paraId="5F56F399"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 </w:t>
            </w:r>
          </w:p>
        </w:tc>
        <w:tc>
          <w:tcPr>
            <w:tcW w:w="4035" w:type="dxa"/>
            <w:tcBorders>
              <w:top w:val="outset" w:sz="6" w:space="0" w:color="auto"/>
              <w:left w:val="outset" w:sz="6" w:space="0" w:color="auto"/>
              <w:bottom w:val="outset" w:sz="6" w:space="0" w:color="auto"/>
              <w:right w:val="outset" w:sz="6" w:space="0" w:color="auto"/>
            </w:tcBorders>
            <w:hideMark/>
          </w:tcPr>
          <w:p w14:paraId="25CC17DD" w14:textId="77777777" w:rsidR="006E3DB0" w:rsidRPr="00CC6508" w:rsidRDefault="006E3DB0" w:rsidP="006E3DB0">
            <w:pPr>
              <w:pStyle w:val="a4"/>
              <w:spacing w:before="0" w:beforeAutospacing="0" w:after="0" w:afterAutospacing="0"/>
              <w:jc w:val="center"/>
              <w:rPr>
                <w:color w:val="333333"/>
                <w:sz w:val="20"/>
                <w:szCs w:val="20"/>
              </w:rPr>
            </w:pPr>
            <w:r w:rsidRPr="00CC6508">
              <w:rPr>
                <w:color w:val="333333"/>
                <w:sz w:val="20"/>
                <w:szCs w:val="20"/>
              </w:rPr>
              <w:t>опрацьовано звернень у сфері надання адміністративних та інших послуг</w:t>
            </w:r>
          </w:p>
        </w:tc>
        <w:tc>
          <w:tcPr>
            <w:tcW w:w="3135" w:type="dxa"/>
            <w:tcBorders>
              <w:top w:val="outset" w:sz="6" w:space="0" w:color="auto"/>
              <w:left w:val="outset" w:sz="6" w:space="0" w:color="auto"/>
              <w:bottom w:val="outset" w:sz="6" w:space="0" w:color="auto"/>
              <w:right w:val="outset" w:sz="6" w:space="0" w:color="auto"/>
            </w:tcBorders>
            <w:hideMark/>
          </w:tcPr>
          <w:p w14:paraId="21BC469D" w14:textId="77777777" w:rsidR="006E3DB0" w:rsidRPr="00CC6508" w:rsidRDefault="006E3DB0" w:rsidP="006E3DB0">
            <w:pPr>
              <w:pStyle w:val="a4"/>
              <w:spacing w:before="0" w:beforeAutospacing="0" w:after="0" w:afterAutospacing="0"/>
              <w:jc w:val="center"/>
              <w:rPr>
                <w:color w:val="333333"/>
                <w:sz w:val="20"/>
                <w:szCs w:val="20"/>
              </w:rPr>
            </w:pPr>
            <w:r w:rsidRPr="00CC6508">
              <w:rPr>
                <w:color w:val="333333"/>
                <w:sz w:val="20"/>
                <w:szCs w:val="20"/>
              </w:rPr>
              <w:t>надано адміністративних послуг</w:t>
            </w:r>
          </w:p>
        </w:tc>
        <w:tc>
          <w:tcPr>
            <w:tcW w:w="2445" w:type="dxa"/>
            <w:tcBorders>
              <w:top w:val="outset" w:sz="6" w:space="0" w:color="auto"/>
              <w:left w:val="outset" w:sz="6" w:space="0" w:color="auto"/>
              <w:bottom w:val="outset" w:sz="6" w:space="0" w:color="auto"/>
              <w:right w:val="outset" w:sz="6" w:space="0" w:color="auto"/>
            </w:tcBorders>
            <w:hideMark/>
          </w:tcPr>
          <w:p w14:paraId="4EEDB9E5" w14:textId="77777777" w:rsidR="006E3DB0" w:rsidRPr="00CC6508" w:rsidRDefault="006E3DB0" w:rsidP="006E3DB0">
            <w:pPr>
              <w:pStyle w:val="a4"/>
              <w:spacing w:before="0" w:beforeAutospacing="0" w:after="0" w:afterAutospacing="0"/>
              <w:jc w:val="center"/>
              <w:rPr>
                <w:color w:val="333333"/>
                <w:sz w:val="20"/>
                <w:szCs w:val="20"/>
              </w:rPr>
            </w:pPr>
            <w:r w:rsidRPr="00CC6508">
              <w:rPr>
                <w:color w:val="333333"/>
                <w:sz w:val="20"/>
                <w:szCs w:val="20"/>
              </w:rPr>
              <w:t>у тому числі в електронній формі</w:t>
            </w:r>
          </w:p>
        </w:tc>
      </w:tr>
      <w:tr w:rsidR="006E3DB0" w:rsidRPr="00CC6508" w14:paraId="74D010DF" w14:textId="77777777" w:rsidTr="006E3DB0">
        <w:tc>
          <w:tcPr>
            <w:tcW w:w="900" w:type="dxa"/>
            <w:tcBorders>
              <w:top w:val="outset" w:sz="6" w:space="0" w:color="auto"/>
              <w:left w:val="outset" w:sz="6" w:space="0" w:color="auto"/>
              <w:bottom w:val="outset" w:sz="6" w:space="0" w:color="auto"/>
              <w:right w:val="outset" w:sz="6" w:space="0" w:color="auto"/>
            </w:tcBorders>
            <w:hideMark/>
          </w:tcPr>
          <w:p w14:paraId="7C63895C"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2020</w:t>
            </w:r>
          </w:p>
        </w:tc>
        <w:tc>
          <w:tcPr>
            <w:tcW w:w="4035" w:type="dxa"/>
            <w:tcBorders>
              <w:top w:val="outset" w:sz="6" w:space="0" w:color="auto"/>
              <w:left w:val="outset" w:sz="6" w:space="0" w:color="auto"/>
              <w:bottom w:val="outset" w:sz="6" w:space="0" w:color="auto"/>
              <w:right w:val="outset" w:sz="6" w:space="0" w:color="auto"/>
            </w:tcBorders>
            <w:hideMark/>
          </w:tcPr>
          <w:p w14:paraId="11998D34"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225191</w:t>
            </w:r>
          </w:p>
        </w:tc>
        <w:tc>
          <w:tcPr>
            <w:tcW w:w="3135" w:type="dxa"/>
            <w:tcBorders>
              <w:top w:val="outset" w:sz="6" w:space="0" w:color="auto"/>
              <w:left w:val="outset" w:sz="6" w:space="0" w:color="auto"/>
              <w:bottom w:val="outset" w:sz="6" w:space="0" w:color="auto"/>
              <w:right w:val="outset" w:sz="6" w:space="0" w:color="auto"/>
            </w:tcBorders>
            <w:hideMark/>
          </w:tcPr>
          <w:p w14:paraId="4ACAC441"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219198</w:t>
            </w:r>
          </w:p>
        </w:tc>
        <w:tc>
          <w:tcPr>
            <w:tcW w:w="2445" w:type="dxa"/>
            <w:tcBorders>
              <w:top w:val="outset" w:sz="6" w:space="0" w:color="auto"/>
              <w:left w:val="outset" w:sz="6" w:space="0" w:color="auto"/>
              <w:bottom w:val="outset" w:sz="6" w:space="0" w:color="auto"/>
              <w:right w:val="outset" w:sz="6" w:space="0" w:color="auto"/>
            </w:tcBorders>
            <w:hideMark/>
          </w:tcPr>
          <w:p w14:paraId="5FD7CC93"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41272 (18,8%)</w:t>
            </w:r>
          </w:p>
        </w:tc>
      </w:tr>
    </w:tbl>
    <w:p w14:paraId="6D24234F"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w:t>
      </w:r>
    </w:p>
    <w:p w14:paraId="1E6B87E9"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В зв’язку із прийняттям постанови Кабінету Міністрів України від 20 травня 2020 року №392 «Про встановлення карантину з метою запобігання поширенню на території України гострої респіраторної хвороби COVID-19, спричиненої </w:t>
      </w:r>
      <w:proofErr w:type="spellStart"/>
      <w:r w:rsidRPr="00CC6508">
        <w:rPr>
          <w:color w:val="333333"/>
          <w:sz w:val="20"/>
          <w:szCs w:val="20"/>
        </w:rPr>
        <w:t>коронавірусом</w:t>
      </w:r>
      <w:proofErr w:type="spellEnd"/>
      <w:r w:rsidRPr="00CC6508">
        <w:rPr>
          <w:color w:val="333333"/>
          <w:sz w:val="20"/>
          <w:szCs w:val="20"/>
        </w:rPr>
        <w:t xml:space="preserve"> SARS-Co-V-2, та етапів послаблення протиепідемічних заходів», прийом звернень у сфері надання адміністративних та інших послуг платників в ЦОП у цьому році частіше здійснюється дистанційно, у тому числі за допомогою електронних сервісів. Тому кількість відвідувачів ЦОП зі зверненнями у сфері надання адміністративних та інших послуг зменшилась на 18,5% у порівняні з 2019 роком, проте кількість поданих звернень щодо отримання адміністративної послуги та отриманих адміністративних послуг в електронній формі в порівнянні з аналогічним періодом 2019 року – збільшилась майже вдвічі.</w:t>
      </w:r>
    </w:p>
    <w:p w14:paraId="1E49B303"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За аналогічний період  2019 року ЦОП Дніпропетровської області:</w:t>
      </w:r>
    </w:p>
    <w:tbl>
      <w:tblPr>
        <w:tblW w:w="6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5"/>
        <w:gridCol w:w="2352"/>
        <w:gridCol w:w="2054"/>
        <w:gridCol w:w="1514"/>
      </w:tblGrid>
      <w:tr w:rsidR="006E3DB0" w:rsidRPr="00CC6508" w14:paraId="268CCA5B" w14:textId="77777777" w:rsidTr="006E3DB0">
        <w:tc>
          <w:tcPr>
            <w:tcW w:w="900" w:type="dxa"/>
            <w:tcBorders>
              <w:top w:val="outset" w:sz="6" w:space="0" w:color="auto"/>
              <w:left w:val="outset" w:sz="6" w:space="0" w:color="auto"/>
              <w:bottom w:val="outset" w:sz="6" w:space="0" w:color="auto"/>
              <w:right w:val="outset" w:sz="6" w:space="0" w:color="auto"/>
            </w:tcBorders>
            <w:hideMark/>
          </w:tcPr>
          <w:p w14:paraId="0C654ADE"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 </w:t>
            </w:r>
          </w:p>
        </w:tc>
        <w:tc>
          <w:tcPr>
            <w:tcW w:w="4035" w:type="dxa"/>
            <w:tcBorders>
              <w:top w:val="outset" w:sz="6" w:space="0" w:color="auto"/>
              <w:left w:val="outset" w:sz="6" w:space="0" w:color="auto"/>
              <w:bottom w:val="outset" w:sz="6" w:space="0" w:color="auto"/>
              <w:right w:val="outset" w:sz="6" w:space="0" w:color="auto"/>
            </w:tcBorders>
            <w:hideMark/>
          </w:tcPr>
          <w:p w14:paraId="24F5D2C8" w14:textId="77777777" w:rsidR="006E3DB0" w:rsidRPr="00CC6508" w:rsidRDefault="006E3DB0" w:rsidP="006E3DB0">
            <w:pPr>
              <w:pStyle w:val="a4"/>
              <w:spacing w:before="0" w:beforeAutospacing="0" w:after="0" w:afterAutospacing="0"/>
              <w:jc w:val="center"/>
              <w:rPr>
                <w:color w:val="333333"/>
                <w:sz w:val="20"/>
                <w:szCs w:val="20"/>
              </w:rPr>
            </w:pPr>
            <w:r w:rsidRPr="00CC6508">
              <w:rPr>
                <w:color w:val="333333"/>
                <w:sz w:val="20"/>
                <w:szCs w:val="20"/>
              </w:rPr>
              <w:t>опрацьовано звернень у сфері надання адміністративних та інших послуг</w:t>
            </w:r>
          </w:p>
        </w:tc>
        <w:tc>
          <w:tcPr>
            <w:tcW w:w="3135" w:type="dxa"/>
            <w:tcBorders>
              <w:top w:val="outset" w:sz="6" w:space="0" w:color="auto"/>
              <w:left w:val="outset" w:sz="6" w:space="0" w:color="auto"/>
              <w:bottom w:val="outset" w:sz="6" w:space="0" w:color="auto"/>
              <w:right w:val="outset" w:sz="6" w:space="0" w:color="auto"/>
            </w:tcBorders>
            <w:hideMark/>
          </w:tcPr>
          <w:p w14:paraId="05A41BFA" w14:textId="77777777" w:rsidR="006E3DB0" w:rsidRPr="00CC6508" w:rsidRDefault="006E3DB0" w:rsidP="006E3DB0">
            <w:pPr>
              <w:pStyle w:val="a4"/>
              <w:spacing w:before="0" w:beforeAutospacing="0" w:after="0" w:afterAutospacing="0"/>
              <w:jc w:val="center"/>
              <w:rPr>
                <w:color w:val="333333"/>
                <w:sz w:val="20"/>
                <w:szCs w:val="20"/>
              </w:rPr>
            </w:pPr>
            <w:r w:rsidRPr="00CC6508">
              <w:rPr>
                <w:color w:val="333333"/>
                <w:sz w:val="20"/>
                <w:szCs w:val="20"/>
              </w:rPr>
              <w:t>надано адміністративних послуг</w:t>
            </w:r>
          </w:p>
        </w:tc>
        <w:tc>
          <w:tcPr>
            <w:tcW w:w="2445" w:type="dxa"/>
            <w:tcBorders>
              <w:top w:val="outset" w:sz="6" w:space="0" w:color="auto"/>
              <w:left w:val="outset" w:sz="6" w:space="0" w:color="auto"/>
              <w:bottom w:val="outset" w:sz="6" w:space="0" w:color="auto"/>
              <w:right w:val="outset" w:sz="6" w:space="0" w:color="auto"/>
            </w:tcBorders>
            <w:hideMark/>
          </w:tcPr>
          <w:p w14:paraId="03D1E6B8" w14:textId="77777777" w:rsidR="006E3DB0" w:rsidRPr="00CC6508" w:rsidRDefault="006E3DB0" w:rsidP="006E3DB0">
            <w:pPr>
              <w:pStyle w:val="a4"/>
              <w:spacing w:before="0" w:beforeAutospacing="0" w:after="0" w:afterAutospacing="0"/>
              <w:jc w:val="center"/>
              <w:rPr>
                <w:color w:val="333333"/>
                <w:sz w:val="20"/>
                <w:szCs w:val="20"/>
              </w:rPr>
            </w:pPr>
            <w:r w:rsidRPr="00CC6508">
              <w:rPr>
                <w:color w:val="333333"/>
                <w:sz w:val="20"/>
                <w:szCs w:val="20"/>
              </w:rPr>
              <w:t>у тому числі в електронній формі</w:t>
            </w:r>
          </w:p>
        </w:tc>
      </w:tr>
      <w:tr w:rsidR="006E3DB0" w:rsidRPr="00CC6508" w14:paraId="01B672AA" w14:textId="77777777" w:rsidTr="006E3DB0">
        <w:tc>
          <w:tcPr>
            <w:tcW w:w="900" w:type="dxa"/>
            <w:tcBorders>
              <w:top w:val="outset" w:sz="6" w:space="0" w:color="auto"/>
              <w:left w:val="outset" w:sz="6" w:space="0" w:color="auto"/>
              <w:bottom w:val="outset" w:sz="6" w:space="0" w:color="auto"/>
              <w:right w:val="outset" w:sz="6" w:space="0" w:color="auto"/>
            </w:tcBorders>
            <w:hideMark/>
          </w:tcPr>
          <w:p w14:paraId="023BD0AA"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2019</w:t>
            </w:r>
          </w:p>
        </w:tc>
        <w:tc>
          <w:tcPr>
            <w:tcW w:w="4035" w:type="dxa"/>
            <w:tcBorders>
              <w:top w:val="outset" w:sz="6" w:space="0" w:color="auto"/>
              <w:left w:val="outset" w:sz="6" w:space="0" w:color="auto"/>
              <w:bottom w:val="outset" w:sz="6" w:space="0" w:color="auto"/>
              <w:right w:val="outset" w:sz="6" w:space="0" w:color="auto"/>
            </w:tcBorders>
            <w:hideMark/>
          </w:tcPr>
          <w:p w14:paraId="4BC0C7CC"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276177</w:t>
            </w:r>
          </w:p>
        </w:tc>
        <w:tc>
          <w:tcPr>
            <w:tcW w:w="3135" w:type="dxa"/>
            <w:tcBorders>
              <w:top w:val="outset" w:sz="6" w:space="0" w:color="auto"/>
              <w:left w:val="outset" w:sz="6" w:space="0" w:color="auto"/>
              <w:bottom w:val="outset" w:sz="6" w:space="0" w:color="auto"/>
              <w:right w:val="outset" w:sz="6" w:space="0" w:color="auto"/>
            </w:tcBorders>
            <w:hideMark/>
          </w:tcPr>
          <w:p w14:paraId="3DBDC63D"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277831</w:t>
            </w:r>
          </w:p>
        </w:tc>
        <w:tc>
          <w:tcPr>
            <w:tcW w:w="2445" w:type="dxa"/>
            <w:tcBorders>
              <w:top w:val="outset" w:sz="6" w:space="0" w:color="auto"/>
              <w:left w:val="outset" w:sz="6" w:space="0" w:color="auto"/>
              <w:bottom w:val="outset" w:sz="6" w:space="0" w:color="auto"/>
              <w:right w:val="outset" w:sz="6" w:space="0" w:color="auto"/>
            </w:tcBorders>
            <w:hideMark/>
          </w:tcPr>
          <w:p w14:paraId="346AD692" w14:textId="77777777" w:rsidR="006E3DB0" w:rsidRPr="00CC6508" w:rsidRDefault="006E3DB0" w:rsidP="006E3DB0">
            <w:pPr>
              <w:pStyle w:val="a4"/>
              <w:spacing w:before="0" w:beforeAutospacing="0" w:after="0" w:afterAutospacing="0"/>
              <w:rPr>
                <w:color w:val="333333"/>
                <w:sz w:val="20"/>
                <w:szCs w:val="20"/>
              </w:rPr>
            </w:pPr>
            <w:r w:rsidRPr="00CC6508">
              <w:rPr>
                <w:color w:val="333333"/>
                <w:sz w:val="20"/>
                <w:szCs w:val="20"/>
              </w:rPr>
              <w:t>22165 (8%)</w:t>
            </w:r>
          </w:p>
        </w:tc>
      </w:tr>
    </w:tbl>
    <w:p w14:paraId="4F598C25"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w:t>
      </w:r>
    </w:p>
    <w:p w14:paraId="39623D9D"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Найбільш запитуваною серед адміністративних послуг, які надає податкова, є видача картки платника податків, внесення до паспорта громадянина України (у формі книжечки) даних про реєстраційний номер облікової картки платника податків </w:t>
      </w:r>
      <w:r w:rsidRPr="00CC6508">
        <w:rPr>
          <w:color w:val="333333"/>
          <w:sz w:val="20"/>
          <w:szCs w:val="20"/>
        </w:rPr>
        <w:lastRenderedPageBreak/>
        <w:t>з Державного реєстру фізичних осіб – платників податків. За 10 місяців 2020 року ГУ ДПС у Дніпропетровській області було надано понад 73 тис. таких послуг.</w:t>
      </w:r>
    </w:p>
    <w:p w14:paraId="08E2762C"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З початку 2020 року Державна податкова служба України є активним учасником співпраці в експериментальному проекті «Е-Малятко» - реєстрація особи в Державному реєстрі фізичних осіб – платників податків під час державної реєстрації народження дитини, затвердженого постановою Кабінету Міністрів України від 10 липня 2019 року № 691 «Про реалізацію експериментального проекту щодо створення сприятливих умов для реалізації прав дитини», який стартував у нашій області на початку 2020 року, що дозволяє батькам зареєструвати новонароджену дитину в Державному реєстрі фізичних осіб – платників податків під час державної реєстрації народження.</w:t>
      </w:r>
    </w:p>
    <w:p w14:paraId="72DC2A0F"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Після того, як в родину приходить таке щастя, як народження дитини, відразу після цього треба оформлювати велику купу документів, отримувати від держави ті чи інші послуги. Спільно з </w:t>
      </w:r>
      <w:proofErr w:type="spellStart"/>
      <w:r w:rsidRPr="00CC6508">
        <w:rPr>
          <w:color w:val="333333"/>
          <w:sz w:val="20"/>
          <w:szCs w:val="20"/>
        </w:rPr>
        <w:t>Мінцифри</w:t>
      </w:r>
      <w:proofErr w:type="spellEnd"/>
      <w:r w:rsidRPr="00CC6508">
        <w:rPr>
          <w:color w:val="333333"/>
          <w:sz w:val="20"/>
          <w:szCs w:val="20"/>
        </w:rPr>
        <w:t xml:space="preserve"> ДПС України реалізовано послуг «Е-Малятко» та зареєстровано в Державному реєстрі фізичних осіб – платників податків 34,8 тис. малюків, з них не відвідуючи податкові органи Дніпропетровської області - 4,2 тис. осіб (12% від загальної кількості).</w:t>
      </w:r>
    </w:p>
    <w:p w14:paraId="03466482"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З метою досягнення істотного поліпшення якості функціонування, податкова докорінно змінює підхід до надання послуг. Цей процес називається реінжиніринг. Саме завдяки йому </w:t>
      </w:r>
      <w:proofErr w:type="spellStart"/>
      <w:r w:rsidRPr="00CC6508">
        <w:rPr>
          <w:color w:val="333333"/>
          <w:sz w:val="20"/>
          <w:szCs w:val="20"/>
        </w:rPr>
        <w:t>Мінцифри</w:t>
      </w:r>
      <w:proofErr w:type="spellEnd"/>
      <w:r w:rsidRPr="00CC6508">
        <w:rPr>
          <w:color w:val="333333"/>
          <w:sz w:val="20"/>
          <w:szCs w:val="20"/>
        </w:rPr>
        <w:t xml:space="preserve"> вдалося об’єднати у «Е-Малятко» 9 послуг та надавати їх онлайн за однією заявою.</w:t>
      </w:r>
    </w:p>
    <w:p w14:paraId="3E8A87CC"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Дві із доступних послуг є базовими — державна реєстрація народження, за результатами якої видається свідоцтво про народження дитини, та визначення походження дитини. Ще 7 послуг залишаються </w:t>
      </w:r>
      <w:proofErr w:type="spellStart"/>
      <w:r w:rsidRPr="00CC6508">
        <w:rPr>
          <w:color w:val="333333"/>
          <w:sz w:val="20"/>
          <w:szCs w:val="20"/>
        </w:rPr>
        <w:t>опціональними</w:t>
      </w:r>
      <w:proofErr w:type="spellEnd"/>
      <w:r w:rsidRPr="00CC6508">
        <w:rPr>
          <w:color w:val="333333"/>
          <w:sz w:val="20"/>
          <w:szCs w:val="20"/>
        </w:rPr>
        <w:t>: присвоєння податкового номера, внесення до Демографічного реєстру з присвоєнням унікального номера запису (УНЗР), визначення належності дитини до громадянства України, реєстрація місця проживання, внесення відомостей до Реєстру пацієнтів, призначення допомоги при народженні та призначення допомоги на дитину з багатодітної сім’ї.</w:t>
      </w:r>
    </w:p>
    <w:p w14:paraId="63887C45"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До початку функціонування проекту «Е-Малятко»  для отримання свідоцтва про народження, оформлення соціальної допомоги на дитину та її прописку за </w:t>
      </w:r>
      <w:proofErr w:type="spellStart"/>
      <w:r w:rsidRPr="00CC6508">
        <w:rPr>
          <w:color w:val="333333"/>
          <w:sz w:val="20"/>
          <w:szCs w:val="20"/>
        </w:rPr>
        <w:t>адресою</w:t>
      </w:r>
      <w:proofErr w:type="spellEnd"/>
      <w:r w:rsidRPr="00CC6508">
        <w:rPr>
          <w:color w:val="333333"/>
          <w:sz w:val="20"/>
          <w:szCs w:val="20"/>
        </w:rPr>
        <w:t xml:space="preserve"> проживання батьків (або одного з них) потрібно було зібрати 8 документів і відвідати 3 державні установи. Строк отримання усіх документів, які батьки повинні оформити після народження дитини, складав 10 робочих днів.</w:t>
      </w:r>
    </w:p>
    <w:p w14:paraId="061447C6"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Сьогодні скористатися послугою «Е-Малятко» мати або батько дитини можуть використовуючи один з таких способів:</w:t>
      </w:r>
    </w:p>
    <w:p w14:paraId="53122F33"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1. подати електронну заяву в пологовому будинку або </w:t>
      </w:r>
      <w:proofErr w:type="spellStart"/>
      <w:r w:rsidRPr="00CC6508">
        <w:rPr>
          <w:color w:val="333333"/>
          <w:sz w:val="20"/>
          <w:szCs w:val="20"/>
        </w:rPr>
        <w:t>перинатальному</w:t>
      </w:r>
      <w:proofErr w:type="spellEnd"/>
      <w:r w:rsidRPr="00CC6508">
        <w:rPr>
          <w:color w:val="333333"/>
          <w:sz w:val="20"/>
          <w:szCs w:val="20"/>
        </w:rPr>
        <w:t xml:space="preserve"> центрі (для новонароджених);</w:t>
      </w:r>
    </w:p>
    <w:p w14:paraId="7BA9A12C"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2. подати електронну заяву в Центрі надання адміністративних послуг (ЦНАП) або відділі ДРАЦС (за місцем народження дитини або місцем реєстрації батьків);</w:t>
      </w:r>
    </w:p>
    <w:p w14:paraId="35991989"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3. за допомогою мобільного телефону (смартфону) через додаток онлайн-послуг «Дія»</w:t>
      </w:r>
    </w:p>
    <w:p w14:paraId="4D755CAF"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Інформування заявника про надання послуги або відмову у задоволенні електронної заяви здійснюється одним з таких засобів:</w:t>
      </w:r>
    </w:p>
    <w:p w14:paraId="2A717D18"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1. за допомогою </w:t>
      </w:r>
      <w:proofErr w:type="spellStart"/>
      <w:r w:rsidRPr="00CC6508">
        <w:rPr>
          <w:color w:val="333333"/>
          <w:sz w:val="20"/>
          <w:szCs w:val="20"/>
        </w:rPr>
        <w:t>смс</w:t>
      </w:r>
      <w:proofErr w:type="spellEnd"/>
      <w:r w:rsidRPr="00CC6508">
        <w:rPr>
          <w:color w:val="333333"/>
          <w:sz w:val="20"/>
          <w:szCs w:val="20"/>
        </w:rPr>
        <w:t>-повідомлення;</w:t>
      </w:r>
    </w:p>
    <w:p w14:paraId="5ED8BB30"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2. шляхом відправки листа електронною поштою;</w:t>
      </w:r>
    </w:p>
    <w:p w14:paraId="3B92067E"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3. через мобільний застосунок «Дія» у телефоні (смартфоні).</w:t>
      </w:r>
    </w:p>
    <w:p w14:paraId="6C0FD262"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Звертаю увагу, якщо батьки не скористались послугою «Е-Малятко» в пологовому будинку, то можуть скористатися онлайн-сервісом. «Е-Малятко» — це не окремий сайт (не треба його шукати), а комплексна система цифрових послуг, які входять до загальнодержавного онлайн-сервісу «Дія», та можуть бути отримані як через мережу Інтернет, так і </w:t>
      </w:r>
      <w:proofErr w:type="spellStart"/>
      <w:r w:rsidRPr="00CC6508">
        <w:rPr>
          <w:color w:val="333333"/>
          <w:sz w:val="20"/>
          <w:szCs w:val="20"/>
        </w:rPr>
        <w:t>офлайн</w:t>
      </w:r>
      <w:proofErr w:type="spellEnd"/>
      <w:r w:rsidRPr="00CC6508">
        <w:rPr>
          <w:color w:val="333333"/>
          <w:sz w:val="20"/>
          <w:szCs w:val="20"/>
        </w:rPr>
        <w:t>.</w:t>
      </w:r>
    </w:p>
    <w:p w14:paraId="3606E5CD"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Щоб скористатися комплексною послугою «Е-Малятко» онлайн, необхідно мати кваліфікований електронний підпис, який також можна отримати віддалено у будь якого надавача електронних довірчих послуг. Уся інформація, якою володіє держава про громадянина, автоматично підтягнеться в електронному кабінеті громадянина. Користувачу потрібно просто </w:t>
      </w:r>
      <w:proofErr w:type="spellStart"/>
      <w:r w:rsidRPr="00CC6508">
        <w:rPr>
          <w:color w:val="333333"/>
          <w:sz w:val="20"/>
          <w:szCs w:val="20"/>
        </w:rPr>
        <w:t>дозаповнити</w:t>
      </w:r>
      <w:proofErr w:type="spellEnd"/>
      <w:r w:rsidRPr="00CC6508">
        <w:rPr>
          <w:color w:val="333333"/>
          <w:sz w:val="20"/>
          <w:szCs w:val="20"/>
        </w:rPr>
        <w:t xml:space="preserve"> вільні поля заяви — зробити це може як мати дитини, так і батько. Всі послуги можна замовити в один час в одному місці.  До заяви вносяться відомості про батьків та дитину, а навпроти послуг, які бажаєте отримати, ставиться галочка. Орієнтовний час заповнення заяви з адміністратором «Е-Малятко» — 15-20 хв.  </w:t>
      </w:r>
    </w:p>
    <w:p w14:paraId="41AAA80A"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Для замовлення комплексної послуги потрібні мінімум документів: </w:t>
      </w:r>
    </w:p>
    <w:p w14:paraId="4AFD54CF" w14:textId="77777777" w:rsidR="006E3DB0" w:rsidRPr="00CC6508" w:rsidRDefault="006E3DB0" w:rsidP="006E3DB0">
      <w:pPr>
        <w:pStyle w:val="a4"/>
        <w:numPr>
          <w:ilvl w:val="0"/>
          <w:numId w:val="1"/>
        </w:numPr>
        <w:shd w:val="clear" w:color="auto" w:fill="FFFFFF"/>
        <w:spacing w:before="0" w:beforeAutospacing="0" w:after="0" w:afterAutospacing="0"/>
        <w:jc w:val="both"/>
        <w:rPr>
          <w:color w:val="333333"/>
          <w:sz w:val="20"/>
          <w:szCs w:val="20"/>
        </w:rPr>
      </w:pPr>
      <w:r w:rsidRPr="00CC6508">
        <w:rPr>
          <w:color w:val="333333"/>
          <w:sz w:val="20"/>
          <w:szCs w:val="20"/>
        </w:rPr>
        <w:t>оригінали паспортів батьків (або інших документів, що посвідчують особу);</w:t>
      </w:r>
    </w:p>
    <w:p w14:paraId="73AB667B" w14:textId="77777777" w:rsidR="006E3DB0" w:rsidRPr="00CC6508" w:rsidRDefault="006E3DB0" w:rsidP="006E3DB0">
      <w:pPr>
        <w:pStyle w:val="a4"/>
        <w:numPr>
          <w:ilvl w:val="0"/>
          <w:numId w:val="1"/>
        </w:numPr>
        <w:shd w:val="clear" w:color="auto" w:fill="FFFFFF"/>
        <w:spacing w:before="0" w:beforeAutospacing="0" w:after="0" w:afterAutospacing="0"/>
        <w:jc w:val="both"/>
        <w:rPr>
          <w:color w:val="333333"/>
          <w:sz w:val="20"/>
          <w:szCs w:val="20"/>
        </w:rPr>
      </w:pPr>
      <w:r w:rsidRPr="00CC6508">
        <w:rPr>
          <w:color w:val="333333"/>
          <w:sz w:val="20"/>
          <w:szCs w:val="20"/>
        </w:rPr>
        <w:t>оригінал медичного свідоцтва про народження (форма 103/о, видається у пологовому будинку);</w:t>
      </w:r>
    </w:p>
    <w:p w14:paraId="1187825C" w14:textId="77777777" w:rsidR="006E3DB0" w:rsidRPr="00CC6508" w:rsidRDefault="006E3DB0" w:rsidP="006E3DB0">
      <w:pPr>
        <w:pStyle w:val="a4"/>
        <w:numPr>
          <w:ilvl w:val="0"/>
          <w:numId w:val="1"/>
        </w:numPr>
        <w:shd w:val="clear" w:color="auto" w:fill="FFFFFF"/>
        <w:spacing w:before="0" w:beforeAutospacing="0" w:after="0" w:afterAutospacing="0"/>
        <w:jc w:val="both"/>
        <w:rPr>
          <w:color w:val="333333"/>
          <w:sz w:val="20"/>
          <w:szCs w:val="20"/>
        </w:rPr>
      </w:pPr>
      <w:r w:rsidRPr="00CC6508">
        <w:rPr>
          <w:color w:val="333333"/>
          <w:sz w:val="20"/>
          <w:szCs w:val="20"/>
        </w:rPr>
        <w:t xml:space="preserve">податкові номери обох батьків — оригінали не потрібні, достатньо мати </w:t>
      </w:r>
      <w:proofErr w:type="spellStart"/>
      <w:r w:rsidRPr="00CC6508">
        <w:rPr>
          <w:color w:val="333333"/>
          <w:sz w:val="20"/>
          <w:szCs w:val="20"/>
        </w:rPr>
        <w:t>сканкопії</w:t>
      </w:r>
      <w:proofErr w:type="spellEnd"/>
      <w:r w:rsidRPr="00CC6508">
        <w:rPr>
          <w:color w:val="333333"/>
          <w:sz w:val="20"/>
          <w:szCs w:val="20"/>
        </w:rPr>
        <w:t xml:space="preserve"> або фото;</w:t>
      </w:r>
    </w:p>
    <w:p w14:paraId="16A0B8B3" w14:textId="77777777" w:rsidR="006E3DB0" w:rsidRPr="00CC6508" w:rsidRDefault="006E3DB0" w:rsidP="006E3DB0">
      <w:pPr>
        <w:pStyle w:val="a4"/>
        <w:numPr>
          <w:ilvl w:val="0"/>
          <w:numId w:val="1"/>
        </w:numPr>
        <w:shd w:val="clear" w:color="auto" w:fill="FFFFFF"/>
        <w:spacing w:before="0" w:beforeAutospacing="0" w:after="0" w:afterAutospacing="0"/>
        <w:jc w:val="both"/>
        <w:rPr>
          <w:color w:val="333333"/>
          <w:sz w:val="20"/>
          <w:szCs w:val="20"/>
        </w:rPr>
      </w:pPr>
      <w:r w:rsidRPr="00CC6508">
        <w:rPr>
          <w:color w:val="333333"/>
          <w:sz w:val="20"/>
          <w:szCs w:val="20"/>
        </w:rPr>
        <w:t xml:space="preserve">інформація про дату, місто та орган, що уклав шлюб (якщо батьки перебувають у шлюбі) — оригінали не потрібні, достатньо мати </w:t>
      </w:r>
      <w:proofErr w:type="spellStart"/>
      <w:r w:rsidRPr="00CC6508">
        <w:rPr>
          <w:color w:val="333333"/>
          <w:sz w:val="20"/>
          <w:szCs w:val="20"/>
        </w:rPr>
        <w:t>сканкопії</w:t>
      </w:r>
      <w:proofErr w:type="spellEnd"/>
      <w:r w:rsidRPr="00CC6508">
        <w:rPr>
          <w:color w:val="333333"/>
          <w:sz w:val="20"/>
          <w:szCs w:val="20"/>
        </w:rPr>
        <w:t xml:space="preserve"> або фото.</w:t>
      </w:r>
    </w:p>
    <w:p w14:paraId="2EDA6420"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Користуючись сервісом «Е-Малятко», ви отримаєте такі переваги: економите час, заповнюєте лише одну заяву у пологовому будинку, ЦНАП, відділі ДРАЦС (за місцем народження дитини або місцем реєстрації батьків) або за допомогою мережі Інтернет, пред’являючи мінімум документів.</w:t>
      </w:r>
    </w:p>
    <w:p w14:paraId="0B3FE2D7" w14:textId="77777777" w:rsidR="006E3DB0" w:rsidRDefault="006E3DB0" w:rsidP="006E3DB0">
      <w:pPr>
        <w:pStyle w:val="a4"/>
        <w:shd w:val="clear" w:color="auto" w:fill="FFFFFF"/>
        <w:spacing w:before="0" w:beforeAutospacing="0" w:after="0" w:afterAutospacing="0"/>
        <w:jc w:val="both"/>
        <w:rPr>
          <w:color w:val="333333"/>
          <w:sz w:val="20"/>
          <w:szCs w:val="20"/>
        </w:rPr>
      </w:pPr>
      <w:r w:rsidRPr="00CC6508">
        <w:rPr>
          <w:color w:val="333333"/>
          <w:sz w:val="20"/>
          <w:szCs w:val="20"/>
        </w:rPr>
        <w:t>Закликаємо батьків Дніпропетровської області, пам’ятайте та користуйтеся комплексною електронною послугою «Е-Малятко».</w:t>
      </w:r>
    </w:p>
    <w:p w14:paraId="44B34E7B" w14:textId="2DD69323" w:rsidR="006E3DB0" w:rsidRDefault="006E3DB0" w:rsidP="006E3DB0">
      <w:pPr>
        <w:pStyle w:val="a4"/>
        <w:shd w:val="clear" w:color="auto" w:fill="FFFFFF"/>
        <w:spacing w:before="0" w:beforeAutospacing="0" w:after="0" w:afterAutospacing="0"/>
        <w:jc w:val="both"/>
        <w:rPr>
          <w:color w:val="333333"/>
          <w:sz w:val="20"/>
          <w:szCs w:val="20"/>
        </w:rPr>
      </w:pPr>
    </w:p>
    <w:p w14:paraId="308B12B5" w14:textId="77777777" w:rsidR="006E3DB0" w:rsidRPr="00CC6508" w:rsidRDefault="006E3DB0" w:rsidP="006E3DB0">
      <w:pPr>
        <w:pStyle w:val="1"/>
        <w:shd w:val="clear" w:color="auto" w:fill="FFFFFF"/>
        <w:spacing w:before="0" w:beforeAutospacing="0" w:after="0" w:afterAutospacing="0"/>
        <w:rPr>
          <w:color w:val="333333"/>
          <w:sz w:val="20"/>
          <w:szCs w:val="20"/>
        </w:rPr>
      </w:pPr>
      <w:r w:rsidRPr="00CC6508">
        <w:rPr>
          <w:color w:val="333333"/>
          <w:sz w:val="20"/>
          <w:szCs w:val="20"/>
        </w:rPr>
        <w:t>У разі зміни даних щодо РРО/(КОРО), через які здійснюється реалізація пального, до контролюючого органу необхідно подати заяву</w:t>
      </w:r>
    </w:p>
    <w:p w14:paraId="62596565" w14:textId="77777777" w:rsidR="006E3DB0" w:rsidRPr="00CC6508" w:rsidRDefault="006E3DB0" w:rsidP="006E3DB0">
      <w:pPr>
        <w:pStyle w:val="a4"/>
        <w:shd w:val="clear" w:color="auto" w:fill="FFFFFF"/>
        <w:spacing w:before="0" w:beforeAutospacing="0" w:after="0" w:afterAutospacing="0"/>
        <w:jc w:val="both"/>
        <w:rPr>
          <w:color w:val="333333"/>
          <w:sz w:val="20"/>
          <w:szCs w:val="20"/>
        </w:rPr>
      </w:pPr>
      <w:r>
        <w:rPr>
          <w:color w:val="333333"/>
          <w:sz w:val="20"/>
          <w:szCs w:val="20"/>
        </w:rPr>
        <w:t>І</w:t>
      </w:r>
      <w:r w:rsidRPr="00CC6508">
        <w:rPr>
          <w:color w:val="333333"/>
          <w:sz w:val="20"/>
          <w:szCs w:val="20"/>
        </w:rPr>
        <w:t>нформує</w:t>
      </w:r>
      <w:r>
        <w:rPr>
          <w:color w:val="333333"/>
          <w:sz w:val="20"/>
          <w:szCs w:val="20"/>
        </w:rPr>
        <w:t>мо</w:t>
      </w:r>
      <w:r w:rsidRPr="00CC6508">
        <w:rPr>
          <w:color w:val="333333"/>
          <w:sz w:val="20"/>
          <w:szCs w:val="20"/>
        </w:rPr>
        <w:t>, що роздрібна торгівля, зокрема, пальним може здійснюватися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Адміністративна послуга - результат здійснення владних повноважень суб'єктом надання адміністративних послуг за заявою фізичної або юридичної особи, спрямований на набуття, зміну чи припинення прав та/або обов'язків такої особи відповідно до закону (відповідно до Закону ВР України від 06.09.2012 № 5203 "Про адміністративні послуги").</w:t>
      </w:r>
    </w:p>
    <w:p w14:paraId="3F6D3F2A" w14:textId="31D36548" w:rsidR="00CC6508" w:rsidRPr="00CC6508" w:rsidRDefault="006E3DB0" w:rsidP="00CC6508">
      <w:pPr>
        <w:pStyle w:val="a4"/>
        <w:shd w:val="clear" w:color="auto" w:fill="FFFFFF"/>
        <w:spacing w:before="0" w:beforeAutospacing="0" w:after="0" w:afterAutospacing="0"/>
        <w:jc w:val="both"/>
        <w:rPr>
          <w:color w:val="333333"/>
          <w:sz w:val="20"/>
          <w:szCs w:val="20"/>
        </w:rPr>
      </w:pPr>
      <w:r w:rsidRPr="006E3DB0">
        <w:rPr>
          <w:color w:val="333333"/>
          <w:sz w:val="20"/>
          <w:szCs w:val="20"/>
        </w:rPr>
        <w:t>Н</w:t>
      </w:r>
      <w:r w:rsidR="00CC6508" w:rsidRPr="00CC6508">
        <w:rPr>
          <w:color w:val="333333"/>
          <w:sz w:val="20"/>
          <w:szCs w:val="20"/>
        </w:rPr>
        <w:t>орми визначені частиною двадцятою 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w:t>
      </w:r>
    </w:p>
    <w:p w14:paraId="5D1CF810"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 xml:space="preserve">Згідно із частиною тридцять сьомою ст. 15 Закону № 481 у додатку до ліцензії на роздрібну торгівлю алкогольними напоями або пальним суб’єктом господарювання зазначається адреса місця торгівлі і вказуються перелік електронних </w:t>
      </w:r>
      <w:r w:rsidRPr="00CC6508">
        <w:rPr>
          <w:color w:val="333333"/>
          <w:sz w:val="20"/>
          <w:szCs w:val="20"/>
        </w:rPr>
        <w:lastRenderedPageBreak/>
        <w:t>контрольно-касових апаратів та інформація про них: модель, модифікація, заводський номер, виробник, дата виготовлення; реєстраційні номери книг обліку розрахункових операцій (далі – КОРО), які знаходяться у місці торгівлі, фіскальні номери програмних реєстраторів розрахункових операцій.</w:t>
      </w:r>
    </w:p>
    <w:p w14:paraId="3B65546E"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Частиною п’ятдесят першою ст. 15 Закону № 481 встановлено, що у разі зміни відомостей, зазначених у виданій суб’єкту господарювання (у тому числі іноземному суб’єкту господарювання, який діє через своє зареєстроване постійне представництво) ліцензії (за винятком змін, пов’язаних з реорганізацією суб’єкта господарювання (у тому числі іноземного суб’єкта господарювання, який діє через своє зареєстроване постійне представництво) та/або зміною типу акціонерного товариства), орган, який видав ліцензію, на підставі заяви суб’єкта господарювання (у тому числі іноземного суб’єкта господарювання, який діє через своє зареєстроване постійне представництво) протягом трьох робочих днів видає суб’єкту господарювання ліцензію з урахуванням змін.</w:t>
      </w:r>
    </w:p>
    <w:p w14:paraId="3964D8E7"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Законом № 481 не встановлено окремих вимог до заяви та пакету документів, які подаються для внесення змін щодо реєстратора розрахункових операцій (далі – РРО), через який здійснюється реалізація пального, зазначених у додатку до ліцензії на право роздрібної торгівлі пальним.</w:t>
      </w:r>
    </w:p>
    <w:p w14:paraId="6CE1E0B2"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Тому для внесення змін у додаток до ліцензії на право роздрібної торгівлі пальним щодо РРО (КОРО), необхідно подати заяву довільної форми із зазначенням адреси місця торгівлі, переліку РРО, програмних РРО (КОРО), які знаходяться у місці торгівлі та інформації про них: модель, модифікація, заводський номер, виробник, дата виготовлення; реєстраційні номери посвідчень РРО (КОРО), які знаходяться у місці торгівлі, фіскальні номери програмних РРО, дату початку їх обліку в контролюючих органах, а також документи, які потребують внесення змін (ліцензія з додатком).</w:t>
      </w:r>
    </w:p>
    <w:p w14:paraId="3075F125"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Орган ліцензування на підставі такої заяви протягом трьох робочих днів видає суб’єкту господарювання переоформлену ліцензію з урахуванням змін (у разі, якщо в результаті внесення таких змін у суб’єкта господарювання кількість РРО (КОРО) залишається незмінною або зменшується).</w:t>
      </w:r>
    </w:p>
    <w:p w14:paraId="37B0E23F"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Плата за ліцензії на право роздрібної торгівлі пальним справляється щорічно і зараховується до місцевих бюджетів згідно із законодавством.</w:t>
      </w:r>
    </w:p>
    <w:p w14:paraId="17E46182"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При цьому, відповідно до абзацу десятого частини другої ст. 17 Закону № 481 у разі роздрібної торгівлі пальним через РРО (КОРО), не зазначені у ліцензії, до суб’єктів господарювання (у тому числі іноземних суб’єктів господарювання, які діють через свої зареєстровані постійні представництва) застосовуються фінансові санкції у вигляді штрафів у розмірі 200 відсотків вартості реалізованої через такі РРО (КОРО) продукції, але не менше 10 000 гривень.</w:t>
      </w:r>
    </w:p>
    <w:p w14:paraId="2F7D6ACE"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rStyle w:val="a5"/>
          <w:color w:val="333333"/>
          <w:sz w:val="20"/>
          <w:szCs w:val="20"/>
        </w:rPr>
        <w:t xml:space="preserve">Підписуйтесь на </w:t>
      </w:r>
      <w:proofErr w:type="spellStart"/>
      <w:r w:rsidRPr="00CC6508">
        <w:rPr>
          <w:rStyle w:val="a5"/>
          <w:color w:val="333333"/>
          <w:sz w:val="20"/>
          <w:szCs w:val="20"/>
        </w:rPr>
        <w:t>Telegram</w:t>
      </w:r>
      <w:proofErr w:type="spellEnd"/>
      <w:r w:rsidRPr="00CC6508">
        <w:rPr>
          <w:rStyle w:val="a5"/>
          <w:color w:val="333333"/>
          <w:sz w:val="20"/>
          <w:szCs w:val="20"/>
        </w:rPr>
        <w:t>-канал Державної податкової служби України</w:t>
      </w:r>
      <w:r w:rsidRPr="00CC6508">
        <w:rPr>
          <w:color w:val="333333"/>
          <w:sz w:val="20"/>
          <w:szCs w:val="20"/>
        </w:rPr>
        <w:t> </w:t>
      </w:r>
      <w:hyperlink r:id="rId10" w:tgtFrame="_blank" w:history="1">
        <w:r w:rsidRPr="00CC6508">
          <w:rPr>
            <w:rStyle w:val="a3"/>
            <w:color w:val="00518C"/>
            <w:sz w:val="20"/>
            <w:szCs w:val="20"/>
          </w:rPr>
          <w:t>https://t.me/tax_gov_ua</w:t>
        </w:r>
      </w:hyperlink>
    </w:p>
    <w:p w14:paraId="79772B9C" w14:textId="29388946" w:rsidR="00CC6508" w:rsidRDefault="00CC6508" w:rsidP="00CC6508">
      <w:pPr>
        <w:pStyle w:val="a4"/>
        <w:shd w:val="clear" w:color="auto" w:fill="FFFFFF"/>
        <w:spacing w:before="0" w:beforeAutospacing="0" w:after="0" w:afterAutospacing="0"/>
        <w:jc w:val="both"/>
        <w:rPr>
          <w:rStyle w:val="a5"/>
          <w:color w:val="333333"/>
          <w:sz w:val="20"/>
          <w:szCs w:val="20"/>
        </w:rPr>
      </w:pPr>
      <w:r w:rsidRPr="00CC6508">
        <w:rPr>
          <w:rStyle w:val="a5"/>
          <w:color w:val="333333"/>
          <w:sz w:val="20"/>
          <w:szCs w:val="20"/>
        </w:rPr>
        <w:t>Спілкуйся з Податковою службою дистанційно за допомогою сервісу «</w:t>
      </w:r>
      <w:proofErr w:type="spellStart"/>
      <w:r w:rsidRPr="00CC6508">
        <w:rPr>
          <w:rStyle w:val="a5"/>
          <w:color w:val="333333"/>
          <w:sz w:val="20"/>
          <w:szCs w:val="20"/>
        </w:rPr>
        <w:fldChar w:fldCharType="begin"/>
      </w:r>
      <w:r w:rsidRPr="00CC6508">
        <w:rPr>
          <w:rStyle w:val="a5"/>
          <w:color w:val="333333"/>
          <w:sz w:val="20"/>
          <w:szCs w:val="20"/>
        </w:rPr>
        <w:instrText xml:space="preserve"> HYPERLINK "https://t.me/infoTAXbot" \t "_blank" </w:instrText>
      </w:r>
      <w:r w:rsidRPr="00CC6508">
        <w:rPr>
          <w:rStyle w:val="a5"/>
          <w:color w:val="333333"/>
          <w:sz w:val="20"/>
          <w:szCs w:val="20"/>
        </w:rPr>
        <w:fldChar w:fldCharType="separate"/>
      </w:r>
      <w:r w:rsidRPr="00CC6508">
        <w:rPr>
          <w:rStyle w:val="a3"/>
          <w:i/>
          <w:iCs/>
          <w:color w:val="00518C"/>
          <w:sz w:val="20"/>
          <w:szCs w:val="20"/>
        </w:rPr>
        <w:t>InfoTAX</w:t>
      </w:r>
      <w:proofErr w:type="spellEnd"/>
      <w:r w:rsidRPr="00CC6508">
        <w:rPr>
          <w:rStyle w:val="a5"/>
          <w:color w:val="333333"/>
          <w:sz w:val="20"/>
          <w:szCs w:val="20"/>
        </w:rPr>
        <w:fldChar w:fldCharType="end"/>
      </w:r>
      <w:r w:rsidRPr="00CC6508">
        <w:rPr>
          <w:rStyle w:val="a5"/>
          <w:color w:val="333333"/>
          <w:sz w:val="20"/>
          <w:szCs w:val="20"/>
        </w:rPr>
        <w:t>»</w:t>
      </w:r>
    </w:p>
    <w:p w14:paraId="1B2BF613"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p>
    <w:p w14:paraId="23A7AF5B" w14:textId="77777777" w:rsidR="00CC6508" w:rsidRPr="00CC6508" w:rsidRDefault="00CC6508" w:rsidP="00CC6508">
      <w:pPr>
        <w:pStyle w:val="1"/>
        <w:shd w:val="clear" w:color="auto" w:fill="FFFFFF"/>
        <w:spacing w:before="0" w:beforeAutospacing="0" w:after="0" w:afterAutospacing="0"/>
        <w:rPr>
          <w:color w:val="333333"/>
          <w:sz w:val="20"/>
          <w:szCs w:val="20"/>
        </w:rPr>
      </w:pPr>
      <w:r w:rsidRPr="00CC6508">
        <w:rPr>
          <w:color w:val="333333"/>
          <w:sz w:val="20"/>
          <w:szCs w:val="20"/>
        </w:rPr>
        <w:t>Отримана на розрахунковий рахунок ФОП сума кредиту не включається до доходу</w:t>
      </w:r>
    </w:p>
    <w:p w14:paraId="3CDE2A11" w14:textId="21DD2CE0" w:rsidR="00CC6508" w:rsidRPr="00CC6508" w:rsidRDefault="00CC6508" w:rsidP="00CC6508">
      <w:pPr>
        <w:pStyle w:val="a4"/>
        <w:shd w:val="clear" w:color="auto" w:fill="FFFFFF"/>
        <w:spacing w:before="0" w:beforeAutospacing="0" w:after="0" w:afterAutospacing="0"/>
        <w:jc w:val="both"/>
        <w:rPr>
          <w:color w:val="333333"/>
          <w:sz w:val="20"/>
          <w:szCs w:val="20"/>
        </w:rPr>
      </w:pPr>
      <w:r>
        <w:rPr>
          <w:color w:val="333333"/>
          <w:sz w:val="20"/>
          <w:szCs w:val="20"/>
        </w:rPr>
        <w:t>І</w:t>
      </w:r>
      <w:r w:rsidRPr="00CC6508">
        <w:rPr>
          <w:color w:val="333333"/>
          <w:sz w:val="20"/>
          <w:szCs w:val="20"/>
        </w:rPr>
        <w:t>нформує</w:t>
      </w:r>
      <w:r>
        <w:rPr>
          <w:color w:val="333333"/>
          <w:sz w:val="20"/>
          <w:szCs w:val="20"/>
        </w:rPr>
        <w:t>мо</w:t>
      </w:r>
      <w:r w:rsidRPr="00CC6508">
        <w:rPr>
          <w:color w:val="333333"/>
          <w:sz w:val="20"/>
          <w:szCs w:val="20"/>
        </w:rPr>
        <w:t>, що фінансовий кредит – це кошти, що надаються банком-резидентом або нерезидентом, що кваліфікується як банківська установа згідно із законодавством країни перебування нерезидента, або резидентами і нерезидентами, які мають згідно з відповідним законодавством статус небанківських фінансових установ, а також іноземною державою або його офіційними агентствами, міжнародними фінансовими організаціями та іншими кредиторами – нерезидентами юридичній чи фізичній особі на визначений строк для цільового використання та під процент.</w:t>
      </w:r>
    </w:p>
    <w:p w14:paraId="3200943C"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Норми встановлені п.п.14.1.258 п.14.1 ст.14 Податкового кодексу України (далі – ПКУ).</w:t>
      </w:r>
    </w:p>
    <w:p w14:paraId="5B439544"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Згідно із п. 177.1 ст. 177 розділу IV ПКУ оподаткуванню підлягають доходи фізичних осіб – підприємців (далі – ФОП), які отримані протягом календарного року від провадження господарської діяльності.</w:t>
      </w:r>
    </w:p>
    <w:p w14:paraId="4AC238E1"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Якщо ФОП отримав кредит на свій розрахунковий рахунок, враховуючи те, що отримання ФОП кредиту відповідно до умов договору підлягає обов’язковому поверненню у визначені строки, то протягом дії договору кредиту сума кредиту не включається до складу доходу такого суб’єкта господарювання.</w:t>
      </w:r>
    </w:p>
    <w:p w14:paraId="180CEE27"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color w:val="333333"/>
          <w:sz w:val="20"/>
          <w:szCs w:val="20"/>
        </w:rPr>
        <w:t>При цьому слід зазначити, якщо сума кредиту не повертається у визначений у договорі термін, то вона включається до складу доходів ФОП та оподатковується на загальних підставах.</w:t>
      </w:r>
    </w:p>
    <w:p w14:paraId="4318FC8C"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rStyle w:val="a5"/>
          <w:color w:val="333333"/>
          <w:sz w:val="20"/>
          <w:szCs w:val="20"/>
        </w:rPr>
        <w:t xml:space="preserve">Підписуйтесь на </w:t>
      </w:r>
      <w:proofErr w:type="spellStart"/>
      <w:r w:rsidRPr="00CC6508">
        <w:rPr>
          <w:rStyle w:val="a5"/>
          <w:color w:val="333333"/>
          <w:sz w:val="20"/>
          <w:szCs w:val="20"/>
        </w:rPr>
        <w:t>Telegram</w:t>
      </w:r>
      <w:proofErr w:type="spellEnd"/>
      <w:r w:rsidRPr="00CC6508">
        <w:rPr>
          <w:rStyle w:val="a5"/>
          <w:color w:val="333333"/>
          <w:sz w:val="20"/>
          <w:szCs w:val="20"/>
        </w:rPr>
        <w:t>-канал Державної податкової служби України</w:t>
      </w:r>
      <w:r w:rsidRPr="00CC6508">
        <w:rPr>
          <w:color w:val="333333"/>
          <w:sz w:val="20"/>
          <w:szCs w:val="20"/>
        </w:rPr>
        <w:t> </w:t>
      </w:r>
      <w:hyperlink r:id="rId11" w:tgtFrame="_blank" w:history="1">
        <w:r w:rsidRPr="00CC6508">
          <w:rPr>
            <w:rStyle w:val="a3"/>
            <w:color w:val="00518C"/>
            <w:sz w:val="20"/>
            <w:szCs w:val="20"/>
          </w:rPr>
          <w:t>https://t.me/tax_gov_ua</w:t>
        </w:r>
      </w:hyperlink>
    </w:p>
    <w:p w14:paraId="309D7169" w14:textId="77777777" w:rsidR="00CC6508" w:rsidRPr="00CC6508" w:rsidRDefault="00CC6508" w:rsidP="00CC6508">
      <w:pPr>
        <w:pStyle w:val="a4"/>
        <w:shd w:val="clear" w:color="auto" w:fill="FFFFFF"/>
        <w:spacing w:before="0" w:beforeAutospacing="0" w:after="0" w:afterAutospacing="0"/>
        <w:jc w:val="both"/>
        <w:rPr>
          <w:color w:val="333333"/>
          <w:sz w:val="20"/>
          <w:szCs w:val="20"/>
        </w:rPr>
      </w:pPr>
      <w:r w:rsidRPr="00CC6508">
        <w:rPr>
          <w:rStyle w:val="a5"/>
          <w:color w:val="333333"/>
          <w:sz w:val="20"/>
          <w:szCs w:val="20"/>
        </w:rPr>
        <w:t>Спілкуйся з Податковою службою дистанційно за допомогою сервісу «</w:t>
      </w:r>
      <w:proofErr w:type="spellStart"/>
      <w:r w:rsidRPr="00CC6508">
        <w:rPr>
          <w:rStyle w:val="a5"/>
          <w:color w:val="333333"/>
          <w:sz w:val="20"/>
          <w:szCs w:val="20"/>
        </w:rPr>
        <w:fldChar w:fldCharType="begin"/>
      </w:r>
      <w:r w:rsidRPr="00CC6508">
        <w:rPr>
          <w:rStyle w:val="a5"/>
          <w:color w:val="333333"/>
          <w:sz w:val="20"/>
          <w:szCs w:val="20"/>
        </w:rPr>
        <w:instrText xml:space="preserve"> HYPERLINK "https://t.me/infoTAXbot" \t "_blank" </w:instrText>
      </w:r>
      <w:r w:rsidRPr="00CC6508">
        <w:rPr>
          <w:rStyle w:val="a5"/>
          <w:color w:val="333333"/>
          <w:sz w:val="20"/>
          <w:szCs w:val="20"/>
        </w:rPr>
        <w:fldChar w:fldCharType="separate"/>
      </w:r>
      <w:r w:rsidRPr="00CC6508">
        <w:rPr>
          <w:rStyle w:val="a3"/>
          <w:i/>
          <w:iCs/>
          <w:color w:val="00518C"/>
          <w:sz w:val="20"/>
          <w:szCs w:val="20"/>
        </w:rPr>
        <w:t>InfoTAX</w:t>
      </w:r>
      <w:proofErr w:type="spellEnd"/>
      <w:r w:rsidRPr="00CC6508">
        <w:rPr>
          <w:rStyle w:val="a5"/>
          <w:color w:val="333333"/>
          <w:sz w:val="20"/>
          <w:szCs w:val="20"/>
        </w:rPr>
        <w:fldChar w:fldCharType="end"/>
      </w:r>
      <w:r w:rsidRPr="00CC6508">
        <w:rPr>
          <w:rStyle w:val="a5"/>
          <w:color w:val="333333"/>
          <w:sz w:val="20"/>
          <w:szCs w:val="20"/>
        </w:rPr>
        <w:t>»</w:t>
      </w:r>
    </w:p>
    <w:p w14:paraId="19DB241E" w14:textId="77777777" w:rsidR="00CC6508" w:rsidRPr="00DF02AD" w:rsidRDefault="00CC6508" w:rsidP="003F1829">
      <w:pPr>
        <w:shd w:val="clear" w:color="auto" w:fill="FFFFFF"/>
        <w:spacing w:after="0" w:line="240" w:lineRule="auto"/>
        <w:outlineLvl w:val="0"/>
        <w:rPr>
          <w:rFonts w:ascii="Times New Roman" w:eastAsia="Times New Roman" w:hAnsi="Times New Roman" w:cs="Times New Roman"/>
          <w:color w:val="333333"/>
          <w:kern w:val="36"/>
          <w:sz w:val="20"/>
          <w:szCs w:val="20"/>
          <w:lang w:eastAsia="ru-RU"/>
        </w:rPr>
      </w:pPr>
    </w:p>
    <w:p w14:paraId="49C704FB" w14:textId="1C9B90F0"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Фізична особа – громадянин, яка не має КЕП, для отримання інформації щодо стану розрахунків за податками і зборами подає письмову заяву</w:t>
      </w:r>
    </w:p>
    <w:p w14:paraId="526B2988" w14:textId="10D73B91" w:rsidR="001A66B0" w:rsidRPr="00DF02AD" w:rsidRDefault="003F182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З</w:t>
      </w:r>
      <w:r w:rsidR="001A66B0" w:rsidRPr="00DF02AD">
        <w:rPr>
          <w:rFonts w:ascii="Times New Roman" w:eastAsia="Times New Roman" w:hAnsi="Times New Roman" w:cs="Times New Roman"/>
          <w:color w:val="333333"/>
          <w:sz w:val="20"/>
          <w:szCs w:val="20"/>
          <w:lang w:eastAsia="ru-RU"/>
        </w:rPr>
        <w:t>вертає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xml:space="preserve"> увагу, що за кожним платником та кожним видом платежу, які повинні сплачуватися такими платниками з метою обліку нарахованих і сплачених сум податків, зборів, митних та інших платежів до бюджетів, єдиного внеску на загальнообов’язкове державне соціальне страхування органами ДПС відкриваються інтегровані картки платників (далі – ІКП).</w:t>
      </w:r>
    </w:p>
    <w:p w14:paraId="74251D6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Норми визначені п. 1 глави 1 розділу ІІ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(далі – Порядок).</w:t>
      </w:r>
    </w:p>
    <w:p w14:paraId="4EE5A77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ІКП містить інформацію про облікові операції та облікові показники, які характеризують стан розрахунків платника податків з бюджетами та цільовими фондами за відповідним видом платежу.</w:t>
      </w:r>
    </w:p>
    <w:p w14:paraId="5B56A97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Відповідно до п. 2 глави 1 розділу ІІ Порядку ІКП відкривається, зокрема:</w:t>
      </w:r>
    </w:p>
    <w:p w14:paraId="26B12D2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за місцем проживання фізичних осіб (основне місце обліку);</w:t>
      </w:r>
    </w:p>
    <w:p w14:paraId="72AAD74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 за місцем розташування рухомого та нерухомого майна, об’єктів </w:t>
      </w:r>
      <w:proofErr w:type="spellStart"/>
      <w:r w:rsidRPr="00DF02AD">
        <w:rPr>
          <w:rFonts w:ascii="Times New Roman" w:eastAsia="Times New Roman" w:hAnsi="Times New Roman" w:cs="Times New Roman"/>
          <w:color w:val="333333"/>
          <w:sz w:val="20"/>
          <w:szCs w:val="20"/>
          <w:lang w:eastAsia="ru-RU"/>
        </w:rPr>
        <w:t>опод</w:t>
      </w:r>
      <w:proofErr w:type="spellEnd"/>
    </w:p>
    <w:p w14:paraId="761D031B" w14:textId="61F0EC6C"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roofErr w:type="spellStart"/>
      <w:r w:rsidRPr="00DF02AD">
        <w:rPr>
          <w:rFonts w:ascii="Times New Roman" w:eastAsia="Times New Roman" w:hAnsi="Times New Roman" w:cs="Times New Roman"/>
          <w:color w:val="333333"/>
          <w:sz w:val="20"/>
          <w:szCs w:val="20"/>
          <w:lang w:eastAsia="ru-RU"/>
        </w:rPr>
        <w:t>аткування</w:t>
      </w:r>
      <w:proofErr w:type="spellEnd"/>
      <w:r w:rsidRPr="00DF02AD">
        <w:rPr>
          <w:rFonts w:ascii="Times New Roman" w:eastAsia="Times New Roman" w:hAnsi="Times New Roman" w:cs="Times New Roman"/>
          <w:color w:val="333333"/>
          <w:sz w:val="20"/>
          <w:szCs w:val="20"/>
          <w:lang w:eastAsia="ru-RU"/>
        </w:rPr>
        <w:t xml:space="preserve"> або об’єктів, які пов’язані з оподаткуванням, або через які проводиться діяльність (неосновне місце обліку).</w:t>
      </w:r>
    </w:p>
    <w:p w14:paraId="520D24E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Згідно зі ст. 1 Закону України від 02 жовтня 1996 року № 393/96-ВР «Про звернення громадян» із змінами та доповненнями (далі – Закон № 393) громадяни України мають право звернутися до органів державної влади, зокрема із заявою або клопотанням щодо реалізації своїх соціально-економічних та особистих прав і законних інтересів.</w:t>
      </w:r>
    </w:p>
    <w:p w14:paraId="5D4CD88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При цьому звернення розглядаються і вирішуються у термін не більше одного місяця від дня їх надходження, а ті, які не потребують додаткового вивчення, – невідкладно, але не пізніше п’ятнадцяти днів від дня їх отримання (ст. 20 Закону № 393).</w:t>
      </w:r>
    </w:p>
    <w:p w14:paraId="681B987E" w14:textId="2C14DB21" w:rsidR="001A66B0"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lastRenderedPageBreak/>
        <w:t>Отже, фізична особа – громадянин, яка не має кваліфікованого електронного підпису, для отримання інформації щодо стану розрахунків за податками та зборами має звернутися з письмовою заявою до контролюючого органу за місцем своєї реєстрації в органах ДПС.</w:t>
      </w:r>
    </w:p>
    <w:p w14:paraId="7B27D072" w14:textId="77777777" w:rsidR="003F1829" w:rsidRPr="003F1829" w:rsidRDefault="003F182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3F1829">
        <w:rPr>
          <w:rFonts w:ascii="Times New Roman" w:eastAsia="Times New Roman" w:hAnsi="Times New Roman" w:cs="Times New Roman"/>
          <w:color w:val="333333"/>
          <w:sz w:val="20"/>
          <w:szCs w:val="20"/>
          <w:lang w:eastAsia="ru-RU"/>
        </w:rPr>
        <w:t>Криворізький північний відділ організації роботи ГУ ДПС у Дніпропетровській області</w:t>
      </w:r>
    </w:p>
    <w:p w14:paraId="05B617BB" w14:textId="77777777" w:rsidR="001A66B0" w:rsidRPr="003F1829"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3F1829">
        <w:rPr>
          <w:rFonts w:ascii="Times New Roman" w:eastAsia="Times New Roman" w:hAnsi="Times New Roman" w:cs="Times New Roman"/>
          <w:color w:val="333333"/>
          <w:sz w:val="20"/>
          <w:szCs w:val="20"/>
          <w:lang w:eastAsia="ru-RU"/>
        </w:rPr>
        <w:t>Контролюючий орган за письмовою заявою фізичної особи – громадянина надає письмовий документ щодо стану розрахунків цього платника за податками, зборами у довільній формі.</w:t>
      </w:r>
    </w:p>
    <w:p w14:paraId="35B9215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Такий письмовий документ видається не пізніше п’ятнадцяти робочих днів з дня отримання заяви, в якій фізичною особою – громадянином зазначено платежі і період щодо яких здійснюється звірка стану розрахунків з бюджетами.</w:t>
      </w:r>
    </w:p>
    <w:p w14:paraId="1A421B7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2"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7523A766" w14:textId="41748FE3"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2FC0D5A7" w14:textId="77777777" w:rsidR="003F1829" w:rsidRPr="003F1829" w:rsidRDefault="003F182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07209448" w14:textId="77777777" w:rsidR="001A66B0" w:rsidRPr="003F182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3F1829">
        <w:rPr>
          <w:rFonts w:ascii="Times New Roman" w:eastAsia="Times New Roman" w:hAnsi="Times New Roman" w:cs="Times New Roman"/>
          <w:b/>
          <w:bCs/>
          <w:color w:val="333333"/>
          <w:kern w:val="36"/>
          <w:sz w:val="20"/>
          <w:szCs w:val="20"/>
          <w:lang w:eastAsia="ru-RU"/>
        </w:rPr>
        <w:t xml:space="preserve">Платники Дніпропетровщини спрямували до бюджетів усіх рівнів та єдиного внеску за </w:t>
      </w:r>
      <w:proofErr w:type="spellStart"/>
      <w:r w:rsidRPr="003F1829">
        <w:rPr>
          <w:rFonts w:ascii="Times New Roman" w:eastAsia="Times New Roman" w:hAnsi="Times New Roman" w:cs="Times New Roman"/>
          <w:b/>
          <w:bCs/>
          <w:color w:val="333333"/>
          <w:kern w:val="36"/>
          <w:sz w:val="20"/>
          <w:szCs w:val="20"/>
          <w:lang w:eastAsia="ru-RU"/>
        </w:rPr>
        <w:t>одиннадцять</w:t>
      </w:r>
      <w:proofErr w:type="spellEnd"/>
      <w:r w:rsidRPr="003F1829">
        <w:rPr>
          <w:rFonts w:ascii="Times New Roman" w:eastAsia="Times New Roman" w:hAnsi="Times New Roman" w:cs="Times New Roman"/>
          <w:b/>
          <w:bCs/>
          <w:color w:val="333333"/>
          <w:kern w:val="36"/>
          <w:sz w:val="20"/>
          <w:szCs w:val="20"/>
          <w:lang w:eastAsia="ru-RU"/>
        </w:rPr>
        <w:t xml:space="preserve"> місяців 2020 року майже 58 мільярдів 70 мільйонів гривень</w:t>
      </w:r>
    </w:p>
    <w:p w14:paraId="0224C93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Платниками Дніпропетровщини спрямовано до бюджетів усіх рівнів за січень – листопад 2020 року (без урахування єдиного внеску на загальнообов’язкове державне соціальне страхування) 58 млрд 68,4 млн гривень.</w:t>
      </w:r>
    </w:p>
    <w:p w14:paraId="5848FAA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Так, до державного бюджету надійшло 20 млрд 325,5 млн грн, що на 111,4 млн грн більше у порівнянні з аналогічним періодом 2019 року.</w:t>
      </w:r>
    </w:p>
    <w:p w14:paraId="02C5D70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До місцевих бюджетів надійшло 22 млрд 639,1 млн грн, що на 580,8 млн грн більше відповідного періоду 2019 року.</w:t>
      </w:r>
    </w:p>
    <w:p w14:paraId="7AD71503" w14:textId="59E576C6" w:rsidR="001A66B0"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За підсумками одинадцяти місяців поточного року єдиного внеску на загальнообов’язкове державне соціальне страхування надійшло 15 млрд 103,9 млн грн, що перевищує минулорічні показники на 709,1 млн гривень.</w:t>
      </w:r>
    </w:p>
    <w:p w14:paraId="530A6DE2" w14:textId="77777777" w:rsidR="003F1829" w:rsidRPr="003F1829" w:rsidRDefault="003F182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48AD6E39" w14:textId="77777777" w:rsidR="001A66B0" w:rsidRPr="003F182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3F1829">
        <w:rPr>
          <w:rFonts w:ascii="Times New Roman" w:eastAsia="Times New Roman" w:hAnsi="Times New Roman" w:cs="Times New Roman"/>
          <w:b/>
          <w:bCs/>
          <w:color w:val="333333"/>
          <w:kern w:val="36"/>
          <w:sz w:val="20"/>
          <w:szCs w:val="20"/>
          <w:lang w:eastAsia="ru-RU"/>
        </w:rPr>
        <w:t>До уваги платників ПДВ!</w:t>
      </w:r>
    </w:p>
    <w:p w14:paraId="48ADF1BA" w14:textId="0547FC14" w:rsidR="001A66B0" w:rsidRPr="00DF02AD" w:rsidRDefault="003F182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З</w:t>
      </w:r>
      <w:r w:rsidR="001A66B0" w:rsidRPr="00DF02AD">
        <w:rPr>
          <w:rFonts w:ascii="Times New Roman" w:eastAsia="Times New Roman" w:hAnsi="Times New Roman" w:cs="Times New Roman"/>
          <w:color w:val="333333"/>
          <w:sz w:val="20"/>
          <w:szCs w:val="20"/>
          <w:lang w:eastAsia="ru-RU"/>
        </w:rPr>
        <w:t>вертає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xml:space="preserve"> увагу платників ПДВ, що у разі зупинення реєстрації податкової накладної/розрахунку коригування (далі – ПН/РК) в Єдиному реєстрі податкових накладних (далі – ЄРПН) платник ПДВ відповідно до п. 4 Порядку прийняття рішень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із змінами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w:t>
      </w:r>
    </w:p>
    <w:p w14:paraId="541F4CE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Пояснення та копії документів подаються у вигляді Повідомлення про подання пояснень та копій документів щодо податкових накладних/розрахунків коригування, реєстрацію яких </w:t>
      </w:r>
      <w:proofErr w:type="spellStart"/>
      <w:r w:rsidRPr="00DF02AD">
        <w:rPr>
          <w:rFonts w:ascii="Times New Roman" w:eastAsia="Times New Roman" w:hAnsi="Times New Roman" w:cs="Times New Roman"/>
          <w:color w:val="333333"/>
          <w:sz w:val="20"/>
          <w:szCs w:val="20"/>
          <w:lang w:eastAsia="ru-RU"/>
        </w:rPr>
        <w:t>зупинено</w:t>
      </w:r>
      <w:proofErr w:type="spellEnd"/>
      <w:r w:rsidRPr="00DF02AD">
        <w:rPr>
          <w:rFonts w:ascii="Times New Roman" w:eastAsia="Times New Roman" w:hAnsi="Times New Roman" w:cs="Times New Roman"/>
          <w:color w:val="333333"/>
          <w:sz w:val="20"/>
          <w:szCs w:val="20"/>
          <w:lang w:eastAsia="ru-RU"/>
        </w:rPr>
        <w:t xml:space="preserve"> (далі – Повідомлення).</w:t>
      </w:r>
    </w:p>
    <w:p w14:paraId="4FD71090"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Відповідно до форми Повідомлення, в графах з 2 по 9 зазначається інформація щодо реквізитів ПН/РК, реєстрацію яких </w:t>
      </w:r>
      <w:proofErr w:type="spellStart"/>
      <w:r w:rsidRPr="00DF02AD">
        <w:rPr>
          <w:rFonts w:ascii="Times New Roman" w:eastAsia="Times New Roman" w:hAnsi="Times New Roman" w:cs="Times New Roman"/>
          <w:color w:val="333333"/>
          <w:sz w:val="20"/>
          <w:szCs w:val="20"/>
          <w:lang w:eastAsia="ru-RU"/>
        </w:rPr>
        <w:t>зупинено</w:t>
      </w:r>
      <w:proofErr w:type="spellEnd"/>
      <w:r w:rsidRPr="00DF02AD">
        <w:rPr>
          <w:rFonts w:ascii="Times New Roman" w:eastAsia="Times New Roman" w:hAnsi="Times New Roman" w:cs="Times New Roman"/>
          <w:color w:val="333333"/>
          <w:sz w:val="20"/>
          <w:szCs w:val="20"/>
          <w:lang w:eastAsia="ru-RU"/>
        </w:rPr>
        <w:t>, зокрема, у графі 8 зазначається обсяг постачання (коригування обсягів постачання) без урахування ПДВ (грн), у графі 9 – сума ПДВ (сума коригування податкових зобов’язань та податкового кредиту) (грн).</w:t>
      </w:r>
    </w:p>
    <w:p w14:paraId="08A356C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Водночас, якщо за наслідками складання РК, складеного з метою коригування показників, зазначених у ПН, не змінюються обсяги постачання, зазначені в розділі Б ПН (в РК зазначена причина коригування «104»), то відповідно коригування обсягів постачання та сума коригування податкових зобов’язань та податкового кредиту дорівнює нулю.</w:t>
      </w:r>
    </w:p>
    <w:p w14:paraId="7D45E54A"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У разі зупинення реєстрації в ЄРПН розрахунку коригування, за наслідками складання якого обсяги постачання не змінюються (код причини «104»), у графах 8 та 9 Повідомлення зазначається «0».</w:t>
      </w:r>
    </w:p>
    <w:p w14:paraId="7D7A3A8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3"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5523FD39" w14:textId="359E445D"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13B16700" w14:textId="77777777" w:rsidR="003F1829" w:rsidRPr="003F1829" w:rsidRDefault="003F182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7AFDC9DF" w14:textId="77777777" w:rsidR="001A66B0" w:rsidRPr="003F182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3F1829">
        <w:rPr>
          <w:rFonts w:ascii="Times New Roman" w:eastAsia="Times New Roman" w:hAnsi="Times New Roman" w:cs="Times New Roman"/>
          <w:b/>
          <w:bCs/>
          <w:color w:val="333333"/>
          <w:kern w:val="36"/>
          <w:sz w:val="20"/>
          <w:szCs w:val="20"/>
          <w:lang w:eastAsia="ru-RU"/>
        </w:rPr>
        <w:t>Продаж алкогольних напоїв на розлив для споживання на місці дозволяється тільки суб’єктам господарювання громадського харчування</w:t>
      </w:r>
    </w:p>
    <w:p w14:paraId="44B81CF0" w14:textId="0B0BD463" w:rsidR="001A66B0" w:rsidRPr="00DF02AD" w:rsidRDefault="003F182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Н</w:t>
      </w:r>
      <w:r w:rsidR="001A66B0" w:rsidRPr="00DF02AD">
        <w:rPr>
          <w:rFonts w:ascii="Times New Roman" w:eastAsia="Times New Roman" w:hAnsi="Times New Roman" w:cs="Times New Roman"/>
          <w:color w:val="333333"/>
          <w:sz w:val="20"/>
          <w:szCs w:val="20"/>
          <w:lang w:eastAsia="ru-RU"/>
        </w:rPr>
        <w:t>агадує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що продаж алкогольних напоїв на розлив для споживання на місці дозволяється тільки суб’єктам господарювання (у тому числі іноземним суб’єктам господарювання, які діють через свої зареєстровані постійні представництва) громадського харчування та спеціалізованим відділам, що мають статус суб’єктів господарювання громадського харчування, суб’єктів господарювання з універсальним асортиментом товарів.</w:t>
      </w:r>
    </w:p>
    <w:p w14:paraId="663AF2D6"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Норми встановлені ст. 15</w:t>
      </w:r>
      <w:r w:rsidRPr="00DF02AD">
        <w:rPr>
          <w:rFonts w:ascii="Times New Roman" w:eastAsia="Times New Roman" w:hAnsi="Times New Roman" w:cs="Times New Roman"/>
          <w:color w:val="333333"/>
          <w:sz w:val="20"/>
          <w:szCs w:val="20"/>
          <w:vertAlign w:val="superscript"/>
          <w:lang w:eastAsia="ru-RU"/>
        </w:rPr>
        <w:t>3</w:t>
      </w:r>
      <w:r w:rsidRPr="00DF02AD">
        <w:rPr>
          <w:rFonts w:ascii="Times New Roman" w:eastAsia="Times New Roman" w:hAnsi="Times New Roman" w:cs="Times New Roman"/>
          <w:color w:val="333333"/>
          <w:sz w:val="20"/>
          <w:szCs w:val="20"/>
          <w:lang w:eastAsia="ru-RU"/>
        </w:rPr>
        <w:t>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зі змінами та доповненнями (далі – Закон № 481).</w:t>
      </w:r>
    </w:p>
    <w:p w14:paraId="7E82D8C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До суб’єктів господарювання (у тому числі іноземних суб’єктів господарювання, які діють через свої зареєстровані постійні представництва) застосовуються фінансові санкції у вигляді штрафів у разі порушення вимог ст. 15</w:t>
      </w:r>
      <w:r w:rsidRPr="00DF02AD">
        <w:rPr>
          <w:rFonts w:ascii="Times New Roman" w:eastAsia="Times New Roman" w:hAnsi="Times New Roman" w:cs="Times New Roman"/>
          <w:color w:val="333333"/>
          <w:sz w:val="20"/>
          <w:szCs w:val="20"/>
          <w:vertAlign w:val="superscript"/>
          <w:lang w:eastAsia="ru-RU"/>
        </w:rPr>
        <w:t>3</w:t>
      </w:r>
      <w:r w:rsidRPr="00DF02AD">
        <w:rPr>
          <w:rFonts w:ascii="Times New Roman" w:eastAsia="Times New Roman" w:hAnsi="Times New Roman" w:cs="Times New Roman"/>
          <w:color w:val="333333"/>
          <w:sz w:val="20"/>
          <w:szCs w:val="20"/>
          <w:lang w:eastAsia="ru-RU"/>
        </w:rPr>
        <w:t> Закону № 481 – 6 800 гривень (ст. 17 Закону № 481).</w:t>
      </w:r>
    </w:p>
    <w:p w14:paraId="7CC4213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4"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0B3C093D" w14:textId="6570CAE1"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3323F587"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3727427E" w14:textId="77777777" w:rsidR="001A66B0" w:rsidRPr="001B7878"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1B7878">
        <w:rPr>
          <w:rFonts w:ascii="Times New Roman" w:eastAsia="Times New Roman" w:hAnsi="Times New Roman" w:cs="Times New Roman"/>
          <w:b/>
          <w:bCs/>
          <w:color w:val="333333"/>
          <w:kern w:val="36"/>
          <w:sz w:val="20"/>
          <w:szCs w:val="20"/>
          <w:lang w:eastAsia="ru-RU"/>
        </w:rPr>
        <w:t>Порядок оформлення трудових відносин з найманими працівниками є однаковим для всіх роботодавців</w:t>
      </w:r>
    </w:p>
    <w:p w14:paraId="31BB0810" w14:textId="5C407595" w:rsidR="001A66B0" w:rsidRPr="00DF02AD"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І</w:t>
      </w:r>
      <w:r w:rsidR="001A66B0" w:rsidRPr="00DF02AD">
        <w:rPr>
          <w:rFonts w:ascii="Times New Roman" w:eastAsia="Times New Roman" w:hAnsi="Times New Roman" w:cs="Times New Roman"/>
          <w:color w:val="333333"/>
          <w:sz w:val="20"/>
          <w:szCs w:val="20"/>
          <w:lang w:eastAsia="ru-RU"/>
        </w:rPr>
        <w:t>нформує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що всі роботодавці мають дотримуватися законодавства про працю.</w:t>
      </w:r>
    </w:p>
    <w:p w14:paraId="6F31245A"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Відповідно до норм Кодексу законів про працю України порядок оформлення трудових відносин з найманими працівниками є однаковим для всіх роботодавців – юридичних і фізичних осіб. Він включає три основні кроки:</w:t>
      </w:r>
    </w:p>
    <w:p w14:paraId="4B4C8908"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укладення трудового договору;</w:t>
      </w:r>
    </w:p>
    <w:p w14:paraId="5231C6F4"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оформлення наказу про прийняття на роботу;</w:t>
      </w:r>
    </w:p>
    <w:p w14:paraId="5AAA70A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повідомлення до Державної податкової служби.</w:t>
      </w:r>
    </w:p>
    <w:p w14:paraId="57B1AE9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Для укладання трудового договору працівник має надати:</w:t>
      </w:r>
    </w:p>
    <w:p w14:paraId="56836F2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паспорт або інший документ, що посвідчує особу;</w:t>
      </w:r>
    </w:p>
    <w:p w14:paraId="0B4B3F80"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реєстраційний номер облікової картки платника податків;</w:t>
      </w:r>
    </w:p>
    <w:p w14:paraId="60CFC44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трудову книжку (за наявності).</w:t>
      </w:r>
    </w:p>
    <w:p w14:paraId="1DAA9DA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якщо необхідно для роботи, надаються документи про освіту, довідка про стан здоров’я тощо.</w:t>
      </w:r>
    </w:p>
    <w:p w14:paraId="356F0E26"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lastRenderedPageBreak/>
        <w:t>Трудовий договір можна укласти в усній або письмовій формі.</w:t>
      </w:r>
    </w:p>
    <w:p w14:paraId="007E92AA"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Письмова форма обов’язкова:</w:t>
      </w:r>
    </w:p>
    <w:p w14:paraId="12CD227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якщо на цьому наполягає працівник;</w:t>
      </w:r>
    </w:p>
    <w:p w14:paraId="62B08E4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у разі організованого набора працівників;</w:t>
      </w:r>
    </w:p>
    <w:p w14:paraId="2A4FAEC6"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у разі роботи в районах з особливими природними умовами та високим ризиком для здоров’я (наприклад, радіоактивно забруднена територія);</w:t>
      </w:r>
    </w:p>
    <w:p w14:paraId="4DF0A3B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при укладенні контракту;</w:t>
      </w:r>
    </w:p>
    <w:p w14:paraId="23C58FC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при укладенні договору з неповнолітнім;</w:t>
      </w:r>
    </w:p>
    <w:p w14:paraId="6D28A4A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якщо роботодавцем є фізична особа – підприємець або фізична особа;</w:t>
      </w:r>
    </w:p>
    <w:p w14:paraId="4B413D5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для працівників релігійних організацій;</w:t>
      </w:r>
    </w:p>
    <w:p w14:paraId="20DBD02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для працівників, які проходять альтернативну службу;</w:t>
      </w:r>
    </w:p>
    <w:p w14:paraId="2BCD714A"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для працівників, які беруть участь у громадських роботах;</w:t>
      </w:r>
    </w:p>
    <w:p w14:paraId="037FE6C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для працівників фермерських господарств.</w:t>
      </w:r>
    </w:p>
    <w:p w14:paraId="5CC5DB73"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 інших випадках укладається усний договір. Для цього працівнику потрібно написати заяву про прийняття на роботу на ім’я керівника. В свою чергу, керівник візує заяву.</w:t>
      </w:r>
    </w:p>
    <w:p w14:paraId="2D80C596"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Трудовий договір може бути безстроковим, на визначений строк, на час виконання певної роботи.</w:t>
      </w:r>
    </w:p>
    <w:p w14:paraId="4028DA2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Після укладення трудового договору роботодавець видає наказ або розпорядження про прийняття працівника на роботу.</w:t>
      </w:r>
    </w:p>
    <w:p w14:paraId="7A4672D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Після укладення трудового договору необхідно повідомити Державну податкову службу України про прийняття працівника на роботу за формою, затвердженою постановою Кабінету Міністрів України від 17 червня 2015 року  № 413 із змінами.</w:t>
      </w:r>
    </w:p>
    <w:p w14:paraId="7BAFBBE6"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5"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1FC8700D" w14:textId="2FEBCE70"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045B7B74"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0D9457EA" w14:textId="77777777" w:rsidR="001A66B0" w:rsidRPr="001B7878"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1B7878">
        <w:rPr>
          <w:rFonts w:ascii="Times New Roman" w:eastAsia="Times New Roman" w:hAnsi="Times New Roman" w:cs="Times New Roman"/>
          <w:b/>
          <w:bCs/>
          <w:color w:val="333333"/>
          <w:kern w:val="36"/>
          <w:sz w:val="20"/>
          <w:szCs w:val="20"/>
          <w:lang w:eastAsia="ru-RU"/>
        </w:rPr>
        <w:t>Оподаткування ПДФО новорічних подарунків</w:t>
      </w:r>
    </w:p>
    <w:p w14:paraId="2B8F4F56" w14:textId="5CFBC387" w:rsidR="001A66B0" w:rsidRPr="00DF02AD"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Н</w:t>
      </w:r>
      <w:r w:rsidR="001A66B0" w:rsidRPr="00DF02AD">
        <w:rPr>
          <w:rFonts w:ascii="Times New Roman" w:eastAsia="Times New Roman" w:hAnsi="Times New Roman" w:cs="Times New Roman"/>
          <w:color w:val="333333"/>
          <w:sz w:val="20"/>
          <w:szCs w:val="20"/>
          <w:lang w:eastAsia="ru-RU"/>
        </w:rPr>
        <w:t>агадує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що об’єктом оподаткування податком на доходи фізичних осіб фізичної (далі – ПДФО) особи – резидента є загальний місячний (річний) оподатковуваний дохід.</w:t>
      </w:r>
    </w:p>
    <w:p w14:paraId="33E372E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Норми визначені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163.1.1 п. 163.1 ст. 163 Податкового кодексу України (далі – ПКУ).</w:t>
      </w:r>
    </w:p>
    <w:p w14:paraId="37BCE263"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Водночас,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165.1.39 п. 165.1 ст. 165 ПКУ встановлено, що не включається до розрахунку загального місячного (річного) оподатковуваного доходу ПДФО вартість дарунків (а також призів переможцям та призерам спортивних змагань) – у частині, що не перевищує 25 відсотків однієї мінімальної заробітної плати (у розрахунку на місяць), встановленої на 1 січня звітного податкового року, за винятком грошових виплат у будь-якій сумі.</w:t>
      </w:r>
    </w:p>
    <w:p w14:paraId="6445C63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Отже, якщо платником ПДФО отримано новорічні подарунки у вартості, що не перевищує 25 відсотків однієї мінімальної заробітної плати (у розрахунку на місяць), встановленої на 1 січня звітного податкового року, то вартість таких подарунків не включається до оподатковуваного доходу. При цьому, якщо вартість подарунків перевищить 25 відсотків однієї мінімальної заробітної плати (у розрахунку на місяць), то сума перевищення включається до розрахунку загального місячного (річного) оподатковуваного доходу ПДФО.</w:t>
      </w:r>
    </w:p>
    <w:p w14:paraId="63D1BBB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Звертаємо увагу, якщо новорічні подарунки планується дарувати у 2020 році (тобто, нарахування такого доходу відбудеться у 2020 році), то вартість неоподатковуваних подарунків обчислюватиметься виходячи з розміру мінімальної заробітної плати, встановленої на 01.01.2020, а якщо – у 2021, то – з нового розміру мінімальної заробітної плати, встановленої на 01.01.2021.</w:t>
      </w:r>
    </w:p>
    <w:p w14:paraId="001B3AD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Порядок заповнення та подання податковими агентами Податкового розрахунку сум доходу, нарахованого (сплаченого) на користь фізичних осіб, і сум утриманого з них податку за формою № 1ДФ затверджено наказом Міністерства фінансів України від 13.01.2015 № 4 із змінами та доповненнями (далі – Порядок № 4).</w:t>
      </w:r>
    </w:p>
    <w:p w14:paraId="2FAE12E4"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Згідно з Довідником ознак доходів, наведеним у додатку до Порядку № 4 вартість подарунків, якщо їх вартість не вище встановленого співвідношення до однієї мінімальної заробітної плати (у розрахунку на місяць), встановленої на      01 січня звітного податкового року, за винятком грошових виплат у будь-якій сумі відображається в податковому розрахунку за формою № 1ДФ під ознакою доходу «160».</w:t>
      </w:r>
    </w:p>
    <w:p w14:paraId="4417902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Якщо вартість подарунків, перевищує вказаний розмір, то сума такого перевищення відображається у податковому розрахунку за формою № 1ДФ під ознакою доходу «126».</w:t>
      </w:r>
    </w:p>
    <w:p w14:paraId="5702939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6"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18E4FD1F" w14:textId="4188F15A"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3D9FE555"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05D72B17" w14:textId="77777777" w:rsidR="001A66B0" w:rsidRPr="001B7878"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1B7878">
        <w:rPr>
          <w:rFonts w:ascii="Times New Roman" w:eastAsia="Times New Roman" w:hAnsi="Times New Roman" w:cs="Times New Roman"/>
          <w:b/>
          <w:bCs/>
          <w:color w:val="333333"/>
          <w:kern w:val="36"/>
          <w:sz w:val="20"/>
          <w:szCs w:val="20"/>
          <w:lang w:eastAsia="ru-RU"/>
        </w:rPr>
        <w:t>ФОП – «</w:t>
      </w:r>
      <w:proofErr w:type="spellStart"/>
      <w:r w:rsidRPr="001B7878">
        <w:rPr>
          <w:rFonts w:ascii="Times New Roman" w:eastAsia="Times New Roman" w:hAnsi="Times New Roman" w:cs="Times New Roman"/>
          <w:b/>
          <w:bCs/>
          <w:color w:val="333333"/>
          <w:kern w:val="36"/>
          <w:sz w:val="20"/>
          <w:szCs w:val="20"/>
          <w:lang w:eastAsia="ru-RU"/>
        </w:rPr>
        <w:t>єдинник</w:t>
      </w:r>
      <w:proofErr w:type="spellEnd"/>
      <w:r w:rsidRPr="001B7878">
        <w:rPr>
          <w:rFonts w:ascii="Times New Roman" w:eastAsia="Times New Roman" w:hAnsi="Times New Roman" w:cs="Times New Roman"/>
          <w:b/>
          <w:bCs/>
          <w:color w:val="333333"/>
          <w:kern w:val="36"/>
          <w:sz w:val="20"/>
          <w:szCs w:val="20"/>
          <w:lang w:eastAsia="ru-RU"/>
        </w:rPr>
        <w:t xml:space="preserve">» ІІ групи надає послуги </w:t>
      </w:r>
      <w:proofErr w:type="spellStart"/>
      <w:r w:rsidRPr="001B7878">
        <w:rPr>
          <w:rFonts w:ascii="Times New Roman" w:eastAsia="Times New Roman" w:hAnsi="Times New Roman" w:cs="Times New Roman"/>
          <w:b/>
          <w:bCs/>
          <w:color w:val="333333"/>
          <w:kern w:val="36"/>
          <w:sz w:val="20"/>
          <w:szCs w:val="20"/>
          <w:lang w:eastAsia="ru-RU"/>
        </w:rPr>
        <w:t>фізособі</w:t>
      </w:r>
      <w:proofErr w:type="spellEnd"/>
      <w:r w:rsidRPr="001B7878">
        <w:rPr>
          <w:rFonts w:ascii="Times New Roman" w:eastAsia="Times New Roman" w:hAnsi="Times New Roman" w:cs="Times New Roman"/>
          <w:b/>
          <w:bCs/>
          <w:color w:val="333333"/>
          <w:kern w:val="36"/>
          <w:sz w:val="20"/>
          <w:szCs w:val="20"/>
          <w:lang w:eastAsia="ru-RU"/>
        </w:rPr>
        <w:t xml:space="preserve">, але оплата вартості послуг здійснюється </w:t>
      </w:r>
      <w:proofErr w:type="spellStart"/>
      <w:r w:rsidRPr="001B7878">
        <w:rPr>
          <w:rFonts w:ascii="Times New Roman" w:eastAsia="Times New Roman" w:hAnsi="Times New Roman" w:cs="Times New Roman"/>
          <w:b/>
          <w:bCs/>
          <w:color w:val="333333"/>
          <w:kern w:val="36"/>
          <w:sz w:val="20"/>
          <w:szCs w:val="20"/>
          <w:lang w:eastAsia="ru-RU"/>
        </w:rPr>
        <w:t>юрособою</w:t>
      </w:r>
      <w:proofErr w:type="spellEnd"/>
      <w:r w:rsidRPr="001B7878">
        <w:rPr>
          <w:rFonts w:ascii="Times New Roman" w:eastAsia="Times New Roman" w:hAnsi="Times New Roman" w:cs="Times New Roman"/>
          <w:b/>
          <w:bCs/>
          <w:color w:val="333333"/>
          <w:kern w:val="36"/>
          <w:sz w:val="20"/>
          <w:szCs w:val="20"/>
          <w:lang w:eastAsia="ru-RU"/>
        </w:rPr>
        <w:t xml:space="preserve"> – «</w:t>
      </w:r>
      <w:proofErr w:type="spellStart"/>
      <w:r w:rsidRPr="001B7878">
        <w:rPr>
          <w:rFonts w:ascii="Times New Roman" w:eastAsia="Times New Roman" w:hAnsi="Times New Roman" w:cs="Times New Roman"/>
          <w:b/>
          <w:bCs/>
          <w:color w:val="333333"/>
          <w:kern w:val="36"/>
          <w:sz w:val="20"/>
          <w:szCs w:val="20"/>
          <w:lang w:eastAsia="ru-RU"/>
        </w:rPr>
        <w:t>загальносистемником</w:t>
      </w:r>
      <w:proofErr w:type="spellEnd"/>
      <w:r w:rsidRPr="001B7878">
        <w:rPr>
          <w:rFonts w:ascii="Times New Roman" w:eastAsia="Times New Roman" w:hAnsi="Times New Roman" w:cs="Times New Roman"/>
          <w:b/>
          <w:bCs/>
          <w:color w:val="333333"/>
          <w:kern w:val="36"/>
          <w:sz w:val="20"/>
          <w:szCs w:val="20"/>
          <w:lang w:eastAsia="ru-RU"/>
        </w:rPr>
        <w:t>»: що з єдиним податком?</w:t>
      </w:r>
    </w:p>
    <w:p w14:paraId="5C37C58A" w14:textId="056E947C" w:rsidR="001A66B0" w:rsidRPr="00DF02AD"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П</w:t>
      </w:r>
      <w:r w:rsidR="001A66B0" w:rsidRPr="00DF02AD">
        <w:rPr>
          <w:rFonts w:ascii="Times New Roman" w:eastAsia="Times New Roman" w:hAnsi="Times New Roman" w:cs="Times New Roman"/>
          <w:color w:val="333333"/>
          <w:sz w:val="20"/>
          <w:szCs w:val="20"/>
          <w:lang w:eastAsia="ru-RU"/>
        </w:rPr>
        <w:t>овідомляє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що однією з умов перебування фізичних осіб – підприємців (далі – ФОП) на другій групі платників єдиного податку є здійснення господарської діяльності з надання послуг, у тому числі побутових, виключно платникам єдиного податку та/або населенню.</w:t>
      </w:r>
    </w:p>
    <w:p w14:paraId="62A2296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Норми встановлені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2 п. 291.4 ст. 291 Податкового кодексу України (далі – ПКУ).</w:t>
      </w:r>
    </w:p>
    <w:p w14:paraId="021A5DD0"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Згідно зі ст. 901 Цивільного кодексу України від 16 січня 2003 року № 435-IV із змінами та доповненнями (далі – ЦКУ) за договором про надання послуг одна сторона (виконавець) зобов’язується за завданням другої сторони (замовника) надати послугу, яка споживається в процесі вчинення певної дії або здійснення певної діяльності, а замовник зобов’язується оплатити виконавцеві зазначену послугу, якщо інше не встановлено договором.</w:t>
      </w:r>
    </w:p>
    <w:p w14:paraId="488D936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Сторонами договору про надання послуг виступають замовник (</w:t>
      </w:r>
      <w:proofErr w:type="spellStart"/>
      <w:r w:rsidRPr="00DF02AD">
        <w:rPr>
          <w:rFonts w:ascii="Times New Roman" w:eastAsia="Times New Roman" w:hAnsi="Times New Roman" w:cs="Times New Roman"/>
          <w:color w:val="333333"/>
          <w:sz w:val="20"/>
          <w:szCs w:val="20"/>
          <w:lang w:eastAsia="ru-RU"/>
        </w:rPr>
        <w:t>послугоотримувач</w:t>
      </w:r>
      <w:proofErr w:type="spellEnd"/>
      <w:r w:rsidRPr="00DF02AD">
        <w:rPr>
          <w:rFonts w:ascii="Times New Roman" w:eastAsia="Times New Roman" w:hAnsi="Times New Roman" w:cs="Times New Roman"/>
          <w:color w:val="333333"/>
          <w:sz w:val="20"/>
          <w:szCs w:val="20"/>
          <w:lang w:eastAsia="ru-RU"/>
        </w:rPr>
        <w:t>) та виконавець (</w:t>
      </w:r>
      <w:proofErr w:type="spellStart"/>
      <w:r w:rsidRPr="00DF02AD">
        <w:rPr>
          <w:rFonts w:ascii="Times New Roman" w:eastAsia="Times New Roman" w:hAnsi="Times New Roman" w:cs="Times New Roman"/>
          <w:color w:val="333333"/>
          <w:sz w:val="20"/>
          <w:szCs w:val="20"/>
          <w:lang w:eastAsia="ru-RU"/>
        </w:rPr>
        <w:t>послугонадавач</w:t>
      </w:r>
      <w:proofErr w:type="spellEnd"/>
      <w:r w:rsidRPr="00DF02AD">
        <w:rPr>
          <w:rFonts w:ascii="Times New Roman" w:eastAsia="Times New Roman" w:hAnsi="Times New Roman" w:cs="Times New Roman"/>
          <w:color w:val="333333"/>
          <w:sz w:val="20"/>
          <w:szCs w:val="20"/>
          <w:lang w:eastAsia="ru-RU"/>
        </w:rPr>
        <w:t>).</w:t>
      </w:r>
    </w:p>
    <w:p w14:paraId="7A5DDCD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Отже, нормами законодавства передбачено, що договір про надання послуг є складним зобов’язанням, що складається з двох зобов’язань: правовідношення, в якому виконавець повинен надати послугу, а замовник має право вимагати виконання цього обов’язку, та правовідношення, в якому замовник зобов’язаний оплатити надану послугу, а виконавець має право вимагати від замовника відповідної оплати.</w:t>
      </w:r>
    </w:p>
    <w:p w14:paraId="7DEF35C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lastRenderedPageBreak/>
        <w:t>Враховуючи вищевикладене, якщо ФОП – платник єдиного податку другої групи надає послуги відповідно до договору, яким визначено, що замовником є фізична особа, яка підписує акт виконаних робіт, але вартість виконаних послуг для фізичної особи оплачує юридична особа, яка не є платником єдиного податку, то такий ФОП має право здійснювати діяльність на другій групі платників єдиного податку.</w:t>
      </w:r>
    </w:p>
    <w:p w14:paraId="5CEFA468"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Якщо ФОП – платник єдиного податку другої групи надає послуги відповідно до договору, яким визначено, що замовником є юридична особа – не платник єдиного податку, яка підписує акт виконаних робіт та оплачує вартість виконаних послуг, то такий ФОП порушує умови, передбачені ПКУ для другої групи платників єдиного податку і якщо такий ФОП не планує змінювати систему оподаткування, то він має обрати третю групу єдиного податку.</w:t>
      </w:r>
    </w:p>
    <w:p w14:paraId="708306C4"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7"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6DA77700" w14:textId="7E431489"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6E77D483"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59B71538" w14:textId="77777777" w:rsidR="001A66B0" w:rsidRPr="001B7878"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1B7878">
        <w:rPr>
          <w:rFonts w:ascii="Times New Roman" w:eastAsia="Times New Roman" w:hAnsi="Times New Roman" w:cs="Times New Roman"/>
          <w:b/>
          <w:bCs/>
          <w:color w:val="333333"/>
          <w:kern w:val="36"/>
          <w:sz w:val="20"/>
          <w:szCs w:val="20"/>
          <w:lang w:eastAsia="ru-RU"/>
        </w:rPr>
        <w:t>Постійні представництва з метою оподаткування прирівнюються до платників податку на прибуток</w:t>
      </w:r>
    </w:p>
    <w:p w14:paraId="603154E2" w14:textId="4DE1EF72" w:rsidR="001A66B0" w:rsidRPr="00DF02AD"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З</w:t>
      </w:r>
      <w:r w:rsidR="001A66B0" w:rsidRPr="00DF02AD">
        <w:rPr>
          <w:rFonts w:ascii="Times New Roman" w:eastAsia="Times New Roman" w:hAnsi="Times New Roman" w:cs="Times New Roman"/>
          <w:color w:val="333333"/>
          <w:sz w:val="20"/>
          <w:szCs w:val="20"/>
          <w:lang w:eastAsia="ru-RU"/>
        </w:rPr>
        <w:t>вертає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xml:space="preserve"> увагу, що відповідно до </w:t>
      </w:r>
      <w:proofErr w:type="spellStart"/>
      <w:r w:rsidR="001A66B0" w:rsidRPr="00DF02AD">
        <w:rPr>
          <w:rFonts w:ascii="Times New Roman" w:eastAsia="Times New Roman" w:hAnsi="Times New Roman" w:cs="Times New Roman"/>
          <w:color w:val="333333"/>
          <w:sz w:val="20"/>
          <w:szCs w:val="20"/>
          <w:lang w:eastAsia="ru-RU"/>
        </w:rPr>
        <w:t>п.п</w:t>
      </w:r>
      <w:proofErr w:type="spellEnd"/>
      <w:r w:rsidR="001A66B0" w:rsidRPr="00DF02AD">
        <w:rPr>
          <w:rFonts w:ascii="Times New Roman" w:eastAsia="Times New Roman" w:hAnsi="Times New Roman" w:cs="Times New Roman"/>
          <w:color w:val="333333"/>
          <w:sz w:val="20"/>
          <w:szCs w:val="20"/>
          <w:lang w:eastAsia="ru-RU"/>
        </w:rPr>
        <w:t>. 133.2.2 п. 133.2 ст. 133 Податкового кодексу України (далі – ПКУ) нерезиденти, які здійснюють господарську діяльність на території України через постійне представництво та/або отримують доходи із джерелом походження з України, та інші нерезиденти, на яких покладено обов’язок сплачувати податок у порядку, встановленому розділом ІІІ ПКУ, є платниками податку на прибуток.</w:t>
      </w:r>
    </w:p>
    <w:p w14:paraId="5F923A9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Перелік доходів, отриманих нерезидентом із джерелом їх походження з України, визначено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141.4.1 п. 141.4 ст. 141 ПКУ.</w:t>
      </w:r>
    </w:p>
    <w:p w14:paraId="07DEA08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Згідно з абзацом першим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xml:space="preserve">. 141.4.2 п. 141.4 ст. 141 ПКУ резидент, у тому числі фізична особа підприємець, фізична особа, яка провадить незалежну професійну діяльність, або суб’єкт господарювання (юридична особа чи фізична особа підприємець), який обрав спрощену систему оподаткування, або інший нерезидент, який провадить господарську діяльність через постійне представництво на території України, які здійснюють на користь нерезидента або уповноваженої ним особи будь-яку виплату з доходу з джерелом його походження з України, отриманого таким нерезидентом (у тому числі на рахунки нерезидента, що ведуться в національній валюті), утримують податок з таких доходів, зазначених у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xml:space="preserve">. 141.4.1 п. 141.4 ст. 141 ПКУ, за ставкою в розмірі 15 </w:t>
      </w:r>
      <w:proofErr w:type="spellStart"/>
      <w:r w:rsidRPr="00DF02AD">
        <w:rPr>
          <w:rFonts w:ascii="Times New Roman" w:eastAsia="Times New Roman" w:hAnsi="Times New Roman" w:cs="Times New Roman"/>
          <w:color w:val="333333"/>
          <w:sz w:val="20"/>
          <w:szCs w:val="20"/>
          <w:lang w:eastAsia="ru-RU"/>
        </w:rPr>
        <w:t>відс</w:t>
      </w:r>
      <w:proofErr w:type="spellEnd"/>
      <w:r w:rsidRPr="00DF02AD">
        <w:rPr>
          <w:rFonts w:ascii="Times New Roman" w:eastAsia="Times New Roman" w:hAnsi="Times New Roman" w:cs="Times New Roman"/>
          <w:color w:val="333333"/>
          <w:sz w:val="20"/>
          <w:szCs w:val="20"/>
          <w:lang w:eastAsia="ru-RU"/>
        </w:rPr>
        <w:t>. </w:t>
      </w:r>
      <w:r w:rsidRPr="00DF02AD">
        <w:rPr>
          <w:rFonts w:ascii="Times New Roman" w:eastAsia="Times New Roman" w:hAnsi="Times New Roman" w:cs="Times New Roman"/>
          <w:i/>
          <w:iCs/>
          <w:color w:val="333333"/>
          <w:sz w:val="20"/>
          <w:szCs w:val="20"/>
          <w:lang w:eastAsia="ru-RU"/>
        </w:rPr>
        <w:t>(крім доходів, зазначених у підпунктах 141.4.3 – 141.4.6 та 141.4.11 п. 141.4 ст. 141 ПКУ)</w:t>
      </w:r>
      <w:r w:rsidRPr="00DF02AD">
        <w:rPr>
          <w:rFonts w:ascii="Times New Roman" w:eastAsia="Times New Roman" w:hAnsi="Times New Roman" w:cs="Times New Roman"/>
          <w:color w:val="333333"/>
          <w:sz w:val="20"/>
          <w:szCs w:val="20"/>
          <w:lang w:eastAsia="ru-RU"/>
        </w:rPr>
        <w:t> їх суми та за їх рахунок, що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 Вимоги цього абзацу не застосовуються до доходів нерезидентів, що отримуються ними через їх постійні представництва на території України.</w:t>
      </w:r>
    </w:p>
    <w:p w14:paraId="02C2181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Підпунктом 141.4.7 п. 141.4 ст. 141 ПКУ встановлено, що суми прибутків нерезидентів, які провадять свою діяльність на території України через постійне представництво, оподатковуються в загальному порядку. При цьому таке постійне представництво прирівнюється з метою оподаткування до платника податку, який провадить свою діяльність незалежно від такого нерезидента.</w:t>
      </w:r>
    </w:p>
    <w:p w14:paraId="6B220BA8"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Постійне представництво визначає обсяг оподатковуваного прибутку, отриманого протягом звітного (податкового) періоду, відповідно до принципу «витягнутої руки». Оподатковуваний прибуток постійного представництва має відповідати прибутку незалежного підприємства, що здійснює таку саму або аналогічну діяльність у таких самих або аналогічних умовах і діє в повній незалежності від нерезидента, постійним представництвом якого воно є.</w:t>
      </w:r>
    </w:p>
    <w:p w14:paraId="142610D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Обсяг оподатковуваного прибутку постійного представництва розраховується відповідно до положень ст. 39 ПКУ.</w:t>
      </w:r>
    </w:p>
    <w:p w14:paraId="135FD1C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Тобто, прибуток постійного представництва в Україні оподатковується за ставкою, встановленою п. 136.1 ст. 136 ПКУ.</w:t>
      </w:r>
    </w:p>
    <w:p w14:paraId="5E00A84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Базова (основна) ставка податку становить 18 відсотків (п. 136.1 ст. 136 ПКУ).</w:t>
      </w:r>
    </w:p>
    <w:p w14:paraId="5A454AF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Отже, оскільки постійні представництва з метою оподаткування прирівнюються до платників податку на прибуток, їх об’єкт оподаткування податком на прибуток обчислюється у загальному порядку.</w:t>
      </w:r>
    </w:p>
    <w:p w14:paraId="2F5AD4E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При виплаті нерезиденту доходу (прибутку) з джерелом походження з України через постійне представництво нерезидента, податок, визначений відповідно до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xml:space="preserve">. 141.4.2 п. 141.4 ст. 141 ПКУ, не стягується у разі, якщо такий дохід (прибуток), який виплачує представництво нерезиденту, був оподаткований податком на прибуток при визначенні доходу (прибутку) з джерелом походження з України від провадження нерезидентом господарської діяльності через своє постійне представництво в Україні відповідно до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141.4.7 п. 141.4 ст. 141 ПКУ.</w:t>
      </w:r>
    </w:p>
    <w:p w14:paraId="4AA59713"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8"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4DA19DDA" w14:textId="6FABC420"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2B8FE60E"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4E6A60EB"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Деякі особливості маркування алкогольних напоїв</w:t>
      </w:r>
    </w:p>
    <w:p w14:paraId="5898F4BC" w14:textId="007D600C" w:rsidR="001A66B0" w:rsidRPr="000869E9"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В</w:t>
      </w:r>
      <w:r w:rsidR="001A66B0" w:rsidRPr="000869E9">
        <w:rPr>
          <w:rFonts w:ascii="Times New Roman" w:eastAsia="Times New Roman" w:hAnsi="Times New Roman" w:cs="Times New Roman"/>
          <w:color w:val="333333"/>
          <w:sz w:val="20"/>
          <w:szCs w:val="20"/>
          <w:lang w:eastAsia="ru-RU"/>
        </w:rPr>
        <w:t>ідповідно до п. 1 ст. 15 Закону України від 12 травня 1991 року № 1023-</w:t>
      </w:r>
      <w:r w:rsidR="001A66B0" w:rsidRPr="00DF02AD">
        <w:rPr>
          <w:rFonts w:ascii="Times New Roman" w:eastAsia="Times New Roman" w:hAnsi="Times New Roman" w:cs="Times New Roman"/>
          <w:color w:val="333333"/>
          <w:sz w:val="20"/>
          <w:szCs w:val="20"/>
          <w:lang w:eastAsia="ru-RU"/>
        </w:rPr>
        <w:t>XII</w:t>
      </w:r>
      <w:r w:rsidR="001A66B0" w:rsidRPr="000869E9">
        <w:rPr>
          <w:rFonts w:ascii="Times New Roman" w:eastAsia="Times New Roman" w:hAnsi="Times New Roman" w:cs="Times New Roman"/>
          <w:color w:val="333333"/>
          <w:sz w:val="20"/>
          <w:szCs w:val="20"/>
          <w:lang w:eastAsia="ru-RU"/>
        </w:rPr>
        <w:t xml:space="preserve"> «Про захист прав споживачів» із змінами та доповненнями (далі – Закон № 1023) споживач має право на одержання необхідної, доступної, достовірної та своєчасної інформації про продукцію, що забезпечує можливість її свідомого і компетентного вибору.</w:t>
      </w:r>
    </w:p>
    <w:p w14:paraId="7EF1C4F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Інформація повинна бути надана споживачеві до придбання ним товару чи замовлення роботи (послуги).</w:t>
      </w:r>
    </w:p>
    <w:p w14:paraId="1C1DE41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Серед переліку відомостей, які мають бути зазначені в інформації про продукцію, зазначено дату виготовлення.</w:t>
      </w:r>
    </w:p>
    <w:p w14:paraId="41C40E36"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Згідно з п. 2 ст. 15 Закону № 1023 інформація, передбачена частиною першою ст. 15 Закону № 1023, доводиться до відома споживачів виробником (виконавцем, продавцем) у супровідній документації, що додається до продукції, на етикетці, а також у маркуванні чи іншим способом (у доступній наочній формі), прийнятим для окремих видів продукції або в окремих сферах обслуговування.</w:t>
      </w:r>
    </w:p>
    <w:p w14:paraId="19620EE0"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Статтею 11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 визначено вимоги щодо маркування алкогольних напоїв, зокрема згідно з пунктів 1 та 2 ст. 11 Закону № 481 на видимій стороні етикетки, або </w:t>
      </w:r>
      <w:proofErr w:type="spellStart"/>
      <w:r w:rsidRPr="00DF02AD">
        <w:rPr>
          <w:rFonts w:ascii="Times New Roman" w:eastAsia="Times New Roman" w:hAnsi="Times New Roman" w:cs="Times New Roman"/>
          <w:color w:val="333333"/>
          <w:sz w:val="20"/>
          <w:szCs w:val="20"/>
          <w:lang w:eastAsia="ru-RU"/>
        </w:rPr>
        <w:t>контретикетки</w:t>
      </w:r>
      <w:proofErr w:type="spellEnd"/>
      <w:r w:rsidRPr="00DF02AD">
        <w:rPr>
          <w:rFonts w:ascii="Times New Roman" w:eastAsia="Times New Roman" w:hAnsi="Times New Roman" w:cs="Times New Roman"/>
          <w:color w:val="333333"/>
          <w:sz w:val="20"/>
          <w:szCs w:val="20"/>
          <w:lang w:eastAsia="ru-RU"/>
        </w:rPr>
        <w:t xml:space="preserve">, або корка, або пляшки (іншого посуду) горілки, лікеро-горілчаних виробів, виноробної продукції, у тому числі сидру і </w:t>
      </w:r>
      <w:proofErr w:type="spellStart"/>
      <w:r w:rsidRPr="00DF02AD">
        <w:rPr>
          <w:rFonts w:ascii="Times New Roman" w:eastAsia="Times New Roman" w:hAnsi="Times New Roman" w:cs="Times New Roman"/>
          <w:color w:val="333333"/>
          <w:sz w:val="20"/>
          <w:szCs w:val="20"/>
          <w:lang w:eastAsia="ru-RU"/>
        </w:rPr>
        <w:t>перрі</w:t>
      </w:r>
      <w:proofErr w:type="spellEnd"/>
      <w:r w:rsidRPr="00DF02AD">
        <w:rPr>
          <w:rFonts w:ascii="Times New Roman" w:eastAsia="Times New Roman" w:hAnsi="Times New Roman" w:cs="Times New Roman"/>
          <w:color w:val="333333"/>
          <w:sz w:val="20"/>
          <w:szCs w:val="20"/>
          <w:lang w:eastAsia="ru-RU"/>
        </w:rPr>
        <w:t xml:space="preserve"> (без додання спирту), які реалізуються в Україні, в обов’язковому порядку зазначається дата виготовлення виробу.</w:t>
      </w:r>
    </w:p>
    <w:p w14:paraId="61E1785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19"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21D3BBEA" w14:textId="64DA6BD2"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2A6751BA"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7CA9BC78" w14:textId="77777777" w:rsidR="001A66B0" w:rsidRPr="001B7878"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1B7878">
        <w:rPr>
          <w:rFonts w:ascii="Times New Roman" w:eastAsia="Times New Roman" w:hAnsi="Times New Roman" w:cs="Times New Roman"/>
          <w:b/>
          <w:bCs/>
          <w:color w:val="333333"/>
          <w:kern w:val="36"/>
          <w:sz w:val="20"/>
          <w:szCs w:val="20"/>
          <w:lang w:eastAsia="ru-RU"/>
        </w:rPr>
        <w:t>Про процедуру скасування кваліфікованого сертифіката ключа</w:t>
      </w:r>
    </w:p>
    <w:p w14:paraId="05181F57" w14:textId="79527C65" w:rsidR="001A66B0" w:rsidRPr="00DF02AD"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Д</w:t>
      </w:r>
      <w:r w:rsidR="001A66B0" w:rsidRPr="00DF02AD">
        <w:rPr>
          <w:rFonts w:ascii="Times New Roman" w:eastAsia="Times New Roman" w:hAnsi="Times New Roman" w:cs="Times New Roman"/>
          <w:color w:val="333333"/>
          <w:sz w:val="20"/>
          <w:szCs w:val="20"/>
          <w:lang w:eastAsia="ru-RU"/>
        </w:rPr>
        <w:t>оводи</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xml:space="preserve"> до відома платників, що скасування кваліфікованого сертифіката ключа є достроковим припиненням його чинності. Скасовані сертифікати ключів поновленню не підлягають.</w:t>
      </w:r>
    </w:p>
    <w:p w14:paraId="09770AC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Часом скасування кваліфікованого сертифіката ключа вважається час зміни його статусу в реєстрі сертифікатів Кваліфікованого надавача електронних довірчих послуг </w:t>
      </w:r>
      <w:proofErr w:type="spellStart"/>
      <w:r w:rsidRPr="00DF02AD">
        <w:rPr>
          <w:rFonts w:ascii="Times New Roman" w:eastAsia="Times New Roman" w:hAnsi="Times New Roman" w:cs="Times New Roman"/>
          <w:color w:val="333333"/>
          <w:sz w:val="20"/>
          <w:szCs w:val="20"/>
          <w:lang w:eastAsia="ru-RU"/>
        </w:rPr>
        <w:t>Інформаціно</w:t>
      </w:r>
      <w:proofErr w:type="spellEnd"/>
      <w:r w:rsidRPr="00DF02AD">
        <w:rPr>
          <w:rFonts w:ascii="Times New Roman" w:eastAsia="Times New Roman" w:hAnsi="Times New Roman" w:cs="Times New Roman"/>
          <w:color w:val="333333"/>
          <w:sz w:val="20"/>
          <w:szCs w:val="20"/>
          <w:lang w:eastAsia="ru-RU"/>
        </w:rPr>
        <w:t>-довідкового департаменту ДПС (далі – КН ЕДП ІДД ДПС).</w:t>
      </w:r>
    </w:p>
    <w:p w14:paraId="36E604C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Клієнт зобов’язаний невідкладно звернутися до КН ЕДП ІДД ДПС за скасуванням кваліфікованого сертифіката у разі:</w:t>
      </w:r>
    </w:p>
    <w:p w14:paraId="315344BA"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компрометації особистого ключа користувача (факт або обґрунтована підозра того, що особистий ключ став відомий іншим особам, втрата можливості подальшого використання особистого ключа із будь-яких обставин, зокрема, втрата або пошкодження носія ключової інформації тощо);</w:t>
      </w:r>
    </w:p>
    <w:p w14:paraId="6280710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зміни відомостей, зазначених у кваліфікованому сертифікаті;</w:t>
      </w:r>
    </w:p>
    <w:p w14:paraId="747C209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виявлення помилок у реквізитах кваліфікованого сертифіката тощо.</w:t>
      </w:r>
    </w:p>
    <w:p w14:paraId="58FBD41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Скасування кваліфікованого сертифіката здійснюється:</w:t>
      </w:r>
    </w:p>
    <w:p w14:paraId="5003707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b/>
          <w:bCs/>
          <w:color w:val="333333"/>
          <w:sz w:val="20"/>
          <w:szCs w:val="20"/>
          <w:lang w:eastAsia="ru-RU"/>
        </w:rPr>
        <w:t>1. За електронним запитом.</w:t>
      </w:r>
    </w:p>
    <w:p w14:paraId="2EFE220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Скасування кваліфікованого сертифіката за електронним запитом не потребує оформлення паперових документів та відвідування відокремленого пункту реєстрації КН ІДД ДПС.</w:t>
      </w:r>
    </w:p>
    <w:p w14:paraId="666B509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Зазначена процедура здійснюється цілодобово за допомогою кваліфікованого засобу електронного підпису чи </w:t>
      </w:r>
      <w:proofErr w:type="spellStart"/>
      <w:r w:rsidRPr="00DF02AD">
        <w:rPr>
          <w:rFonts w:ascii="Times New Roman" w:eastAsia="Times New Roman" w:hAnsi="Times New Roman" w:cs="Times New Roman"/>
          <w:color w:val="333333"/>
          <w:sz w:val="20"/>
          <w:szCs w:val="20"/>
          <w:lang w:eastAsia="ru-RU"/>
        </w:rPr>
        <w:t>печатки</w:t>
      </w:r>
      <w:hyperlink r:id="rId20" w:history="1">
        <w:r w:rsidRPr="00DF02AD">
          <w:rPr>
            <w:rFonts w:ascii="Times New Roman" w:eastAsia="Times New Roman" w:hAnsi="Times New Roman" w:cs="Times New Roman"/>
            <w:color w:val="00518C"/>
            <w:sz w:val="20"/>
            <w:szCs w:val="20"/>
            <w:u w:val="single"/>
            <w:lang w:eastAsia="ru-RU"/>
          </w:rPr>
          <w:t>«ІІТ</w:t>
        </w:r>
        <w:proofErr w:type="spellEnd"/>
        <w:r w:rsidRPr="00DF02AD">
          <w:rPr>
            <w:rFonts w:ascii="Times New Roman" w:eastAsia="Times New Roman" w:hAnsi="Times New Roman" w:cs="Times New Roman"/>
            <w:color w:val="00518C"/>
            <w:sz w:val="20"/>
            <w:szCs w:val="20"/>
            <w:u w:val="single"/>
            <w:lang w:eastAsia="ru-RU"/>
          </w:rPr>
          <w:t xml:space="preserve"> Користувач ЦСК-1»</w:t>
        </w:r>
      </w:hyperlink>
      <w:r w:rsidRPr="00DF02AD">
        <w:rPr>
          <w:rFonts w:ascii="Times New Roman" w:eastAsia="Times New Roman" w:hAnsi="Times New Roman" w:cs="Times New Roman"/>
          <w:color w:val="333333"/>
          <w:sz w:val="20"/>
          <w:szCs w:val="20"/>
          <w:lang w:eastAsia="ru-RU"/>
        </w:rPr>
        <w:t> та особистого ключа користувача.</w:t>
      </w:r>
    </w:p>
    <w:p w14:paraId="3E005F1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Процедуру </w:t>
      </w:r>
      <w:proofErr w:type="spellStart"/>
      <w:r w:rsidRPr="00DF02AD">
        <w:rPr>
          <w:rFonts w:ascii="Times New Roman" w:eastAsia="Times New Roman" w:hAnsi="Times New Roman" w:cs="Times New Roman"/>
          <w:color w:val="333333"/>
          <w:sz w:val="20"/>
          <w:szCs w:val="20"/>
          <w:lang w:eastAsia="ru-RU"/>
        </w:rPr>
        <w:t>cкасування</w:t>
      </w:r>
      <w:proofErr w:type="spellEnd"/>
      <w:r w:rsidRPr="00DF02AD">
        <w:rPr>
          <w:rFonts w:ascii="Times New Roman" w:eastAsia="Times New Roman" w:hAnsi="Times New Roman" w:cs="Times New Roman"/>
          <w:color w:val="333333"/>
          <w:sz w:val="20"/>
          <w:szCs w:val="20"/>
          <w:lang w:eastAsia="ru-RU"/>
        </w:rPr>
        <w:t xml:space="preserve"> власного кваліфікованого сертифіката за електронним запитом наведено в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5.11. п.5 </w:t>
      </w:r>
      <w:hyperlink r:id="rId21" w:anchor="page=63" w:history="1">
        <w:r w:rsidRPr="00DF02AD">
          <w:rPr>
            <w:rFonts w:ascii="Times New Roman" w:eastAsia="Times New Roman" w:hAnsi="Times New Roman" w:cs="Times New Roman"/>
            <w:color w:val="00518C"/>
            <w:sz w:val="20"/>
            <w:szCs w:val="20"/>
            <w:u w:val="single"/>
            <w:lang w:eastAsia="ru-RU"/>
          </w:rPr>
          <w:t>Настанови користувача «ІІТ Користувач ЦСК-1»</w:t>
        </w:r>
      </w:hyperlink>
      <w:r w:rsidRPr="00DF02AD">
        <w:rPr>
          <w:rFonts w:ascii="Times New Roman" w:eastAsia="Times New Roman" w:hAnsi="Times New Roman" w:cs="Times New Roman"/>
          <w:color w:val="333333"/>
          <w:sz w:val="20"/>
          <w:szCs w:val="20"/>
          <w:lang w:eastAsia="ru-RU"/>
        </w:rPr>
        <w:t> та у </w:t>
      </w:r>
      <w:hyperlink r:id="rId22" w:history="1">
        <w:r w:rsidRPr="00DF02AD">
          <w:rPr>
            <w:rFonts w:ascii="Times New Roman" w:eastAsia="Times New Roman" w:hAnsi="Times New Roman" w:cs="Times New Roman"/>
            <w:color w:val="00518C"/>
            <w:sz w:val="20"/>
            <w:szCs w:val="20"/>
            <w:u w:val="single"/>
            <w:lang w:eastAsia="ru-RU"/>
          </w:rPr>
          <w:t>«</w:t>
        </w:r>
        <w:proofErr w:type="spellStart"/>
        <w:r w:rsidRPr="00DF02AD">
          <w:rPr>
            <w:rFonts w:ascii="Times New Roman" w:eastAsia="Times New Roman" w:hAnsi="Times New Roman" w:cs="Times New Roman"/>
            <w:color w:val="00518C"/>
            <w:sz w:val="20"/>
            <w:szCs w:val="20"/>
            <w:u w:val="single"/>
            <w:lang w:eastAsia="ru-RU"/>
          </w:rPr>
          <w:t>Відеоінструкції</w:t>
        </w:r>
        <w:proofErr w:type="spellEnd"/>
        <w:r w:rsidRPr="00DF02AD">
          <w:rPr>
            <w:rFonts w:ascii="Times New Roman" w:eastAsia="Times New Roman" w:hAnsi="Times New Roman" w:cs="Times New Roman"/>
            <w:color w:val="00518C"/>
            <w:sz w:val="20"/>
            <w:szCs w:val="20"/>
            <w:u w:val="single"/>
            <w:lang w:eastAsia="ru-RU"/>
          </w:rPr>
          <w:t xml:space="preserve"> по скасуванню кваліфікованих сертифікатів за електронним запитом».</w:t>
        </w:r>
      </w:hyperlink>
    </w:p>
    <w:p w14:paraId="2F4DD1B3"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Інформування користувача про скасування здійснюються в режимі реального часу.</w:t>
      </w:r>
    </w:p>
    <w:p w14:paraId="577284A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b/>
          <w:bCs/>
          <w:color w:val="333333"/>
          <w:sz w:val="20"/>
          <w:szCs w:val="20"/>
          <w:lang w:eastAsia="ru-RU"/>
        </w:rPr>
        <w:t>2. За заявою у письмовій формі.</w:t>
      </w:r>
    </w:p>
    <w:p w14:paraId="5F582FE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Письмова заява подається до КН  ЕДП ІДД ДПС за встановленою формою.</w:t>
      </w:r>
    </w:p>
    <w:p w14:paraId="5533331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Подання заяви на скасування кваліфікованого сертифіката здійснюється тільки протягом робочого дня КН ЕДП ІДД ДПС.</w:t>
      </w:r>
    </w:p>
    <w:p w14:paraId="283D038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Додатково надається засвідчена власником копія* паспорта громадянина України або іншого документа, який унеможливлює виникнення будь-яких сумнівів щодо особи, відповідно до законодавства про Єдиний державний демографічний реєстр та про документи, що посвідчують особу, підтверджують громадянство України чи спеціальний статус особи.</w:t>
      </w:r>
    </w:p>
    <w:p w14:paraId="47BE2984"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Обробка такої заяви та інформування клієнта здійснюється протягом двох годин з моменту отримання заяви.</w:t>
      </w:r>
    </w:p>
    <w:p w14:paraId="654B790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У разі подання заяви відповідальною особою державної установи, також надається відповідним чином засвідчена копія** наказу про призначення такої особи.</w:t>
      </w:r>
    </w:p>
    <w:p w14:paraId="1B6E033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Документи, що були підставою для скасування кваліфікованого сертифіката, фіксуються та зберігаються в Кваліфікованого надавача ЕДП ІДД ДПС.</w:t>
      </w:r>
    </w:p>
    <w:p w14:paraId="667E2560"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відмітка про засвідчення копії документа складається зі слів «Згідно з оригіналом», особистого підпису, ініціалів та прізвища, дати засвідчення копії.</w:t>
      </w:r>
    </w:p>
    <w:p w14:paraId="106CD04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відмітка про засвідчення копії документа складається зі слів «Згідно з оригіналом», назви посади співробітника відповідального за виготовлення, засвідчення та видавання копій, його особистого підпису, ініціалів та прізвища, дати засвідчення та скріплюється відбитком печатки (за наявності).</w:t>
      </w:r>
    </w:p>
    <w:p w14:paraId="397E3B8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b/>
          <w:bCs/>
          <w:color w:val="333333"/>
          <w:sz w:val="20"/>
          <w:szCs w:val="20"/>
          <w:lang w:eastAsia="ru-RU"/>
        </w:rPr>
        <w:t>3. У телефонному режимі.</w:t>
      </w:r>
    </w:p>
    <w:p w14:paraId="3ABEBC2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Заява в усній формі подається клієнтом (</w:t>
      </w:r>
      <w:proofErr w:type="spellStart"/>
      <w:r w:rsidRPr="00DF02AD">
        <w:rPr>
          <w:rFonts w:ascii="Times New Roman" w:eastAsia="Times New Roman" w:hAnsi="Times New Roman" w:cs="Times New Roman"/>
          <w:color w:val="333333"/>
          <w:sz w:val="20"/>
          <w:szCs w:val="20"/>
          <w:lang w:eastAsia="ru-RU"/>
        </w:rPr>
        <w:t>підписувачем</w:t>
      </w:r>
      <w:proofErr w:type="spellEnd"/>
      <w:r w:rsidRPr="00DF02AD">
        <w:rPr>
          <w:rFonts w:ascii="Times New Roman" w:eastAsia="Times New Roman" w:hAnsi="Times New Roman" w:cs="Times New Roman"/>
          <w:color w:val="333333"/>
          <w:sz w:val="20"/>
          <w:szCs w:val="20"/>
          <w:lang w:eastAsia="ru-RU"/>
        </w:rPr>
        <w:t>) до КН ЕДП ІДД ДПС засобами телефонного зв’язку за номером </w:t>
      </w:r>
      <w:r w:rsidRPr="00DF02AD">
        <w:rPr>
          <w:rFonts w:ascii="Times New Roman" w:eastAsia="Times New Roman" w:hAnsi="Times New Roman" w:cs="Times New Roman"/>
          <w:b/>
          <w:bCs/>
          <w:color w:val="333333"/>
          <w:sz w:val="20"/>
          <w:szCs w:val="20"/>
          <w:lang w:eastAsia="ru-RU"/>
        </w:rPr>
        <w:t>(044) 284-00-10</w:t>
      </w:r>
      <w:r w:rsidRPr="00DF02AD">
        <w:rPr>
          <w:rFonts w:ascii="Times New Roman" w:eastAsia="Times New Roman" w:hAnsi="Times New Roman" w:cs="Times New Roman"/>
          <w:color w:val="333333"/>
          <w:sz w:val="20"/>
          <w:szCs w:val="20"/>
          <w:lang w:eastAsia="ru-RU"/>
        </w:rPr>
        <w:t>, при цьому користувачу необхідно повідомити адміністратору реєстрації наступну інформацію:</w:t>
      </w:r>
    </w:p>
    <w:p w14:paraId="424505A6"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ідентифікаційні дані власника та серійний номер кваліфікованого сертифіката;</w:t>
      </w:r>
    </w:p>
    <w:p w14:paraId="6CF69734"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ключову фразу голосової автентифікації.</w:t>
      </w:r>
    </w:p>
    <w:p w14:paraId="4B13A74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b/>
          <w:bCs/>
          <w:color w:val="333333"/>
          <w:sz w:val="20"/>
          <w:szCs w:val="20"/>
          <w:lang w:eastAsia="ru-RU"/>
        </w:rPr>
        <w:t>Важливо:</w:t>
      </w:r>
      <w:r w:rsidRPr="00DF02AD">
        <w:rPr>
          <w:rFonts w:ascii="Times New Roman" w:eastAsia="Times New Roman" w:hAnsi="Times New Roman" w:cs="Times New Roman"/>
          <w:color w:val="333333"/>
          <w:sz w:val="20"/>
          <w:szCs w:val="20"/>
          <w:lang w:eastAsia="ru-RU"/>
        </w:rPr>
        <w:t> заява в усній формі приймається тільки у випадку позитивної автентифікації (збігу голосової фрази та ідентифікаційних даних користувача з інформацією в реєстрі сертифікатів).</w:t>
      </w:r>
    </w:p>
    <w:p w14:paraId="4C05B66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23"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12332BD8" w14:textId="6C7B3A81"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5025A734" w14:textId="77777777" w:rsidR="001A66B0" w:rsidRPr="00DF02AD" w:rsidRDefault="001A66B0" w:rsidP="003F1829">
      <w:pPr>
        <w:shd w:val="clear" w:color="auto" w:fill="FFFFFF"/>
        <w:spacing w:after="0" w:line="240" w:lineRule="auto"/>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w:t>
      </w:r>
    </w:p>
    <w:p w14:paraId="73353396" w14:textId="77777777" w:rsidR="001A66B0" w:rsidRPr="001B7878"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1B7878">
        <w:rPr>
          <w:rFonts w:ascii="Times New Roman" w:eastAsia="Times New Roman" w:hAnsi="Times New Roman" w:cs="Times New Roman"/>
          <w:b/>
          <w:bCs/>
          <w:color w:val="333333"/>
          <w:kern w:val="36"/>
          <w:sz w:val="20"/>
          <w:szCs w:val="20"/>
          <w:lang w:eastAsia="ru-RU"/>
        </w:rPr>
        <w:t>Наявність у «</w:t>
      </w:r>
      <w:proofErr w:type="spellStart"/>
      <w:r w:rsidRPr="001B7878">
        <w:rPr>
          <w:rFonts w:ascii="Times New Roman" w:eastAsia="Times New Roman" w:hAnsi="Times New Roman" w:cs="Times New Roman"/>
          <w:b/>
          <w:bCs/>
          <w:color w:val="333333"/>
          <w:kern w:val="36"/>
          <w:sz w:val="20"/>
          <w:szCs w:val="20"/>
          <w:lang w:eastAsia="ru-RU"/>
        </w:rPr>
        <w:t>єдинника</w:t>
      </w:r>
      <w:proofErr w:type="spellEnd"/>
      <w:r w:rsidRPr="001B7878">
        <w:rPr>
          <w:rFonts w:ascii="Times New Roman" w:eastAsia="Times New Roman" w:hAnsi="Times New Roman" w:cs="Times New Roman"/>
          <w:b/>
          <w:bCs/>
          <w:color w:val="333333"/>
          <w:kern w:val="36"/>
          <w:sz w:val="20"/>
          <w:szCs w:val="20"/>
          <w:lang w:eastAsia="ru-RU"/>
        </w:rPr>
        <w:t>» боргу понад 1020 грн протягом двох послідовних кварталів зобов’язує його відмовитись від спрощеної системи оподаткування</w:t>
      </w:r>
    </w:p>
    <w:p w14:paraId="7FD5A68C" w14:textId="2CF50C86" w:rsidR="001A66B0" w:rsidRPr="00DF02AD"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З</w:t>
      </w:r>
      <w:r w:rsidR="001A66B0" w:rsidRPr="00DF02AD">
        <w:rPr>
          <w:rFonts w:ascii="Times New Roman" w:eastAsia="Times New Roman" w:hAnsi="Times New Roman" w:cs="Times New Roman"/>
          <w:color w:val="333333"/>
          <w:sz w:val="20"/>
          <w:szCs w:val="20"/>
          <w:lang w:eastAsia="ru-RU"/>
        </w:rPr>
        <w:t xml:space="preserve">аконами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w:t>
      </w:r>
      <w:proofErr w:type="spellStart"/>
      <w:r w:rsidR="001A66B0" w:rsidRPr="00DF02AD">
        <w:rPr>
          <w:rFonts w:ascii="Times New Roman" w:eastAsia="Times New Roman" w:hAnsi="Times New Roman" w:cs="Times New Roman"/>
          <w:color w:val="333333"/>
          <w:sz w:val="20"/>
          <w:szCs w:val="20"/>
          <w:lang w:eastAsia="ru-RU"/>
        </w:rPr>
        <w:t>неузгодженостей</w:t>
      </w:r>
      <w:proofErr w:type="spellEnd"/>
      <w:r w:rsidR="001A66B0" w:rsidRPr="00DF02AD">
        <w:rPr>
          <w:rFonts w:ascii="Times New Roman" w:eastAsia="Times New Roman" w:hAnsi="Times New Roman" w:cs="Times New Roman"/>
          <w:color w:val="333333"/>
          <w:sz w:val="20"/>
          <w:szCs w:val="20"/>
          <w:lang w:eastAsia="ru-RU"/>
        </w:rPr>
        <w:t xml:space="preserve"> у податковому законодавстві» (набрав чинності 23.05.2020) (далі – Закон № 466), від 30 березня 2020 року № 540-ІХ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001A66B0" w:rsidRPr="00DF02AD">
        <w:rPr>
          <w:rFonts w:ascii="Times New Roman" w:eastAsia="Times New Roman" w:hAnsi="Times New Roman" w:cs="Times New Roman"/>
          <w:color w:val="333333"/>
          <w:sz w:val="20"/>
          <w:szCs w:val="20"/>
          <w:lang w:eastAsia="ru-RU"/>
        </w:rPr>
        <w:t>коронавірусної</w:t>
      </w:r>
      <w:proofErr w:type="spellEnd"/>
      <w:r w:rsidR="001A66B0" w:rsidRPr="00DF02AD">
        <w:rPr>
          <w:rFonts w:ascii="Times New Roman" w:eastAsia="Times New Roman" w:hAnsi="Times New Roman" w:cs="Times New Roman"/>
          <w:color w:val="333333"/>
          <w:sz w:val="20"/>
          <w:szCs w:val="20"/>
          <w:lang w:eastAsia="ru-RU"/>
        </w:rPr>
        <w:t xml:space="preserve"> хвороби (СОVID-19)» (набрав чинності 02.04.2020) (далі – Закон № 540) </w:t>
      </w:r>
      <w:proofErr w:type="spellStart"/>
      <w:r w:rsidR="001A66B0" w:rsidRPr="00DF02AD">
        <w:rPr>
          <w:rFonts w:ascii="Times New Roman" w:eastAsia="Times New Roman" w:hAnsi="Times New Roman" w:cs="Times New Roman"/>
          <w:color w:val="333333"/>
          <w:sz w:val="20"/>
          <w:szCs w:val="20"/>
          <w:lang w:eastAsia="ru-RU"/>
        </w:rPr>
        <w:t>внесено</w:t>
      </w:r>
      <w:proofErr w:type="spellEnd"/>
      <w:r w:rsidR="001A66B0" w:rsidRPr="00DF02AD">
        <w:rPr>
          <w:rFonts w:ascii="Times New Roman" w:eastAsia="Times New Roman" w:hAnsi="Times New Roman" w:cs="Times New Roman"/>
          <w:color w:val="333333"/>
          <w:sz w:val="20"/>
          <w:szCs w:val="20"/>
          <w:lang w:eastAsia="ru-RU"/>
        </w:rPr>
        <w:t xml:space="preserve"> зміни, зокрема, до глави 1 розділу XIV Податкового кодексу України (далі – ПКУ).</w:t>
      </w:r>
    </w:p>
    <w:p w14:paraId="42634DC8"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З урахуванням змін, внесених Законом № 540, та відповідно до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3 п. 291.4 ст. 291 ПКУ з 02.04.2020 збільшено граничний обсяг доходу для юридичних осіб –  платників єдиного податку третьої групи (далі – платники податку) з 5 до 7 млн гривень.</w:t>
      </w:r>
    </w:p>
    <w:p w14:paraId="76ABD47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Таким чином, платники єдиного податку третьої групи, які за результатами господарської діяльності у І кварталі 2020 року не перевищили граничний обсяг доходу у розмірі 5 млн грн, мали право перебувати на спрощеній системі оподаткування. При цьому такі платники з 02.04.2020 дотримуються нового річного граничного обсягу доходу у розмірі 7 млн грн, який визначається за період з 01.01.2020 по 31.12.2020 (включно).</w:t>
      </w:r>
    </w:p>
    <w:p w14:paraId="3903894A"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Нагадуємо, що заява для відмови від спрощеної системи оподаткування у зв’язку з перевищенням граничної суми доходу подається до контролюючого органу не пізніше 20 числа місяця, наступного за календарним кварталом, у якому допущено перевищення обсягу доходу.</w:t>
      </w:r>
    </w:p>
    <w:p w14:paraId="57B6B99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lastRenderedPageBreak/>
        <w:t>Починаючи з 23.05.2020 Законом № 466 визначено розмір податкового боргу, наявність якого у платника податку протягом двох послідовних кварталів зобов’язує його самостійно відмовитись від спрощеної системи оподаткування або дає право контролюючому органу прийняти рішення про анулювання реєстрації платником податку.</w:t>
      </w:r>
    </w:p>
    <w:p w14:paraId="17FBC528"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Відтепер встановлено, що така сума податкового боргу для платників податку повинна перевищувати шістдесят неоподатковуваних мінімумів доходів громадян, а саме – 1 020 гривень.</w:t>
      </w:r>
    </w:p>
    <w:p w14:paraId="30C7527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Тобто, якщо, наприклад, податковий борг в сумі понад 1 020 грн обліковується у юридичної особи – платника єдиного податку третьої групи на кожне перше число протягом 6-ти місяців двох послідовних кварталів, то такий платник зобов’язаний перейти на сплату інших податків і зборів в останній день другого із двох послідовних кварталів (останній день шостого місяця).</w:t>
      </w:r>
    </w:p>
    <w:p w14:paraId="69B29AC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Також Законом № 466 визначено терміни для подання платниками податку заяв:</w:t>
      </w:r>
    </w:p>
    <w:p w14:paraId="03E7D8E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 у разі зміни ставки з 5 на 3 </w:t>
      </w:r>
      <w:proofErr w:type="spellStart"/>
      <w:r w:rsidRPr="00DF02AD">
        <w:rPr>
          <w:rFonts w:ascii="Times New Roman" w:eastAsia="Times New Roman" w:hAnsi="Times New Roman" w:cs="Times New Roman"/>
          <w:color w:val="333333"/>
          <w:sz w:val="20"/>
          <w:szCs w:val="20"/>
          <w:lang w:eastAsia="ru-RU"/>
        </w:rPr>
        <w:t>відс</w:t>
      </w:r>
      <w:proofErr w:type="spellEnd"/>
      <w:r w:rsidRPr="00DF02AD">
        <w:rPr>
          <w:rFonts w:ascii="Times New Roman" w:eastAsia="Times New Roman" w:hAnsi="Times New Roman" w:cs="Times New Roman"/>
          <w:color w:val="333333"/>
          <w:sz w:val="20"/>
          <w:szCs w:val="20"/>
          <w:lang w:eastAsia="ru-RU"/>
        </w:rPr>
        <w:t>. – не пізніше ніж за 10 календарних днів до початку календарного кварталу (раніше – за 15 календарних днів);</w:t>
      </w:r>
    </w:p>
    <w:p w14:paraId="7079A468"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у разі зміни податкової адреси суб’єкта господарювання, місця провадження господарської діяльності – не пізніше останнього дня кварталу, в якому відбулися такі зміни (раніше – разом з податковою декларацією платника податку).</w:t>
      </w:r>
    </w:p>
    <w:p w14:paraId="05A51F5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24"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2AB04CA9" w14:textId="4FEE419A"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02579FC5"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01B41E60"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Набули чинності зміни до переліків, затверджених постановами Кабінету Міністрів України № 224 та № 225</w:t>
      </w:r>
    </w:p>
    <w:p w14:paraId="2A094E6B" w14:textId="53513881" w:rsidR="001A66B0" w:rsidRPr="00DF02AD"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Д</w:t>
      </w:r>
      <w:r w:rsidR="001A66B0" w:rsidRPr="00DF02AD">
        <w:rPr>
          <w:rFonts w:ascii="Times New Roman" w:eastAsia="Times New Roman" w:hAnsi="Times New Roman" w:cs="Times New Roman"/>
          <w:color w:val="333333"/>
          <w:sz w:val="20"/>
          <w:szCs w:val="20"/>
          <w:lang w:eastAsia="ru-RU"/>
        </w:rPr>
        <w:t>оводи</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xml:space="preserve"> до відома платників ПДВ, що 03.12.2020 набрала чинності постанова Кабінету Міністрів України від  02 грудня 2020 р. № 1178 «Про внесення змін до переліків, затверджених постановами Кабінету Міністрів України від 20 березня 2020 р. № 224 і 225» (далі – Постанова № 1178).</w:t>
      </w:r>
    </w:p>
    <w:p w14:paraId="42121B7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Постанова № 1178 </w:t>
      </w:r>
      <w:proofErr w:type="spellStart"/>
      <w:r w:rsidRPr="00DF02AD">
        <w:rPr>
          <w:rFonts w:ascii="Times New Roman" w:eastAsia="Times New Roman" w:hAnsi="Times New Roman" w:cs="Times New Roman"/>
          <w:color w:val="333333"/>
          <w:sz w:val="20"/>
          <w:szCs w:val="20"/>
          <w:lang w:eastAsia="ru-RU"/>
        </w:rPr>
        <w:t>внесено</w:t>
      </w:r>
      <w:proofErr w:type="spellEnd"/>
      <w:r w:rsidRPr="00DF02AD">
        <w:rPr>
          <w:rFonts w:ascii="Times New Roman" w:eastAsia="Times New Roman" w:hAnsi="Times New Roman" w:cs="Times New Roman"/>
          <w:color w:val="333333"/>
          <w:sz w:val="20"/>
          <w:szCs w:val="20"/>
          <w:lang w:eastAsia="ru-RU"/>
        </w:rPr>
        <w:t xml:space="preserve"> зміни до переліку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пандемій гострої респіраторної хвороби COVID-19, спричиненої </w:t>
      </w:r>
      <w:proofErr w:type="spellStart"/>
      <w:r w:rsidRPr="00DF02AD">
        <w:rPr>
          <w:rFonts w:ascii="Times New Roman" w:eastAsia="Times New Roman" w:hAnsi="Times New Roman" w:cs="Times New Roman"/>
          <w:color w:val="333333"/>
          <w:sz w:val="20"/>
          <w:szCs w:val="20"/>
          <w:lang w:eastAsia="ru-RU"/>
        </w:rPr>
        <w:t>коронавірусом</w:t>
      </w:r>
      <w:proofErr w:type="spellEnd"/>
      <w:r w:rsidRPr="00DF02AD">
        <w:rPr>
          <w:rFonts w:ascii="Times New Roman" w:eastAsia="Times New Roman" w:hAnsi="Times New Roman" w:cs="Times New Roman"/>
          <w:color w:val="333333"/>
          <w:sz w:val="20"/>
          <w:szCs w:val="20"/>
          <w:lang w:eastAsia="ru-RU"/>
        </w:rPr>
        <w:t xml:space="preserve"> SARS-CoV-2, операції з ввезення яких на митну територію України та/або операції з постачання яких на митній території України звільняються від оподаткування податком на додану вартість, затвердженого постановою Кабінету Міністрів України від 20 березня 2020 р. № 224 і переліку товарів, робіт і послуг, необхідних для здійснення заходів, спрямованих на запобігання виникненню та поширенню, локалізацію та ліквідацію спалахів, епідемій та пандемій гострої респіраторної хвороби COVID-19, спричиненої </w:t>
      </w:r>
      <w:proofErr w:type="spellStart"/>
      <w:r w:rsidRPr="00DF02AD">
        <w:rPr>
          <w:rFonts w:ascii="Times New Roman" w:eastAsia="Times New Roman" w:hAnsi="Times New Roman" w:cs="Times New Roman"/>
          <w:color w:val="333333"/>
          <w:sz w:val="20"/>
          <w:szCs w:val="20"/>
          <w:lang w:eastAsia="ru-RU"/>
        </w:rPr>
        <w:t>коронавірусом</w:t>
      </w:r>
      <w:proofErr w:type="spellEnd"/>
      <w:r w:rsidRPr="00DF02AD">
        <w:rPr>
          <w:rFonts w:ascii="Times New Roman" w:eastAsia="Times New Roman" w:hAnsi="Times New Roman" w:cs="Times New Roman"/>
          <w:color w:val="333333"/>
          <w:sz w:val="20"/>
          <w:szCs w:val="20"/>
          <w:lang w:eastAsia="ru-RU"/>
        </w:rPr>
        <w:t xml:space="preserve"> SARS-CoV-2, на території України, затвердженого постановою Кабінету Міністрів України від 20 березня 2020 р. № 225 «Деякі питання закупівлі товарів, робіт і послуг, необхідних для здійснення заходів, спрямованих на запобігання виникненню та поширенню, локалізацію та ліквідацію спалахів, епідемій та пандемій гострої респіраторної хвороби COVID-19, спричиненої </w:t>
      </w:r>
      <w:proofErr w:type="spellStart"/>
      <w:r w:rsidRPr="00DF02AD">
        <w:rPr>
          <w:rFonts w:ascii="Times New Roman" w:eastAsia="Times New Roman" w:hAnsi="Times New Roman" w:cs="Times New Roman"/>
          <w:color w:val="333333"/>
          <w:sz w:val="20"/>
          <w:szCs w:val="20"/>
          <w:lang w:eastAsia="ru-RU"/>
        </w:rPr>
        <w:t>коронавірусом</w:t>
      </w:r>
      <w:proofErr w:type="spellEnd"/>
      <w:r w:rsidRPr="00DF02AD">
        <w:rPr>
          <w:rFonts w:ascii="Times New Roman" w:eastAsia="Times New Roman" w:hAnsi="Times New Roman" w:cs="Times New Roman"/>
          <w:color w:val="333333"/>
          <w:sz w:val="20"/>
          <w:szCs w:val="20"/>
          <w:lang w:eastAsia="ru-RU"/>
        </w:rPr>
        <w:t xml:space="preserve"> SARS-CoV-2, на території України».</w:t>
      </w:r>
    </w:p>
    <w:p w14:paraId="4BB5623A"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Постанова № 1178 опублікована в офіційному виданні «Урядовий кур’єр» від 03.12.2020 № 235.</w:t>
      </w:r>
    </w:p>
    <w:p w14:paraId="0886206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25"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1C965814" w14:textId="6DF1855A"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6595BB63" w14:textId="77777777" w:rsidR="001B7878" w:rsidRPr="001B7878" w:rsidRDefault="001B787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09F26AFB"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Що є об’єктом оподаткування рентною платою за користування надрами в цілях, не пов’язаних з видобуванням корисних копалин?</w:t>
      </w:r>
    </w:p>
    <w:p w14:paraId="52DBBAF0" w14:textId="4E379D8E"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Законом України від 28 грудня 2014 року № 71-VIII «Про внесення змін до Податкового кодексу України та деяких законодавчих актів України щодо податкової реформи», плату за користування надрами в цілях, не пов’язаних з видобуванням корисних копалин трансформовано в одну із складових рентної плати – рентна плата за користування надрами в цілях, не пов’язаних з видобуванням корисних копалин.</w:t>
      </w:r>
    </w:p>
    <w:p w14:paraId="529F677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Згідно із п. 253.3 ст. 253 Податкового кодексу України об’єктом оподаткування рентною платою за користування надрами в цілях, не пов’язаних з видобуванням корисних копалин, є обсяг підземного простору (ділянки) надр:</w:t>
      </w:r>
    </w:p>
    <w:p w14:paraId="4851DD8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для зберігання природного газу та газоподібних продуктів – активний об’єм зберігання газу в пористих чи тріщинуватих геологічних утвореннях (пластах-колекторах);</w:t>
      </w:r>
    </w:p>
    <w:p w14:paraId="07AD84C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для зберігання нафти та інших рідких нафтопродуктів – об’єм спеціально створених та існуючих гірничих виробок (відпрацьованих і пристосованих), а також природних порожнин (печер);</w:t>
      </w:r>
    </w:p>
    <w:p w14:paraId="26CC7BC0"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 для витримування виноматеріалів, виробництва і зберігання </w:t>
      </w:r>
      <w:proofErr w:type="spellStart"/>
      <w:r w:rsidRPr="00DF02AD">
        <w:rPr>
          <w:rFonts w:ascii="Times New Roman" w:eastAsia="Times New Roman" w:hAnsi="Times New Roman" w:cs="Times New Roman"/>
          <w:color w:val="333333"/>
          <w:sz w:val="20"/>
          <w:szCs w:val="20"/>
          <w:lang w:eastAsia="ru-RU"/>
        </w:rPr>
        <w:t>винопродукції</w:t>
      </w:r>
      <w:proofErr w:type="spellEnd"/>
      <w:r w:rsidRPr="00DF02AD">
        <w:rPr>
          <w:rFonts w:ascii="Times New Roman" w:eastAsia="Times New Roman" w:hAnsi="Times New Roman" w:cs="Times New Roman"/>
          <w:color w:val="333333"/>
          <w:sz w:val="20"/>
          <w:szCs w:val="20"/>
          <w:lang w:eastAsia="ru-RU"/>
        </w:rPr>
        <w:t>, вирощування грибів, овочів, квітів та інших рослин, зберігання харчових продуктів, промислових та інших товарів, речовин і матеріалів, провадження інших видів господарської діяльності – площа підземного простору, що надана у користування в спеціально створених та існуючих гірничих виробках (відпрацьованих і пристосованих), а також природних порожнинах (печерах).</w:t>
      </w:r>
    </w:p>
    <w:p w14:paraId="0DB42EF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26"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547ABF1A" w14:textId="46A43344"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04022E94" w14:textId="77777777" w:rsidR="001A66B0" w:rsidRPr="00DF02AD" w:rsidRDefault="001A66B0" w:rsidP="003F1829">
      <w:pPr>
        <w:shd w:val="clear" w:color="auto" w:fill="FFFFFF"/>
        <w:spacing w:after="0" w:line="240" w:lineRule="auto"/>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w:t>
      </w:r>
    </w:p>
    <w:p w14:paraId="13F10C8F"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Єдиний внесок не нараховується на суму орендної плати, виплаченої на користь фізичної особи</w:t>
      </w:r>
    </w:p>
    <w:p w14:paraId="1BA9B7B3" w14:textId="34B81EE0" w:rsidR="001A66B0"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І</w:t>
      </w:r>
      <w:r w:rsidR="001A66B0" w:rsidRPr="00DF02AD">
        <w:rPr>
          <w:rFonts w:ascii="Times New Roman" w:eastAsia="Times New Roman" w:hAnsi="Times New Roman" w:cs="Times New Roman"/>
          <w:color w:val="333333"/>
          <w:sz w:val="20"/>
          <w:szCs w:val="20"/>
          <w:lang w:eastAsia="ru-RU"/>
        </w:rPr>
        <w:t>нформує, що базою нарахування єдиного внеску на загальнообов’язкове державне соціальне страхування (далі – єдиний внесок) для підприємств, установ та організацій,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001A66B0" w:rsidRPr="00DF02AD">
        <w:rPr>
          <w:rFonts w:ascii="Times New Roman" w:eastAsia="Times New Roman" w:hAnsi="Times New Roman" w:cs="Times New Roman"/>
          <w:i/>
          <w:iCs/>
          <w:color w:val="333333"/>
          <w:sz w:val="20"/>
          <w:szCs w:val="20"/>
          <w:lang w:eastAsia="ru-RU"/>
        </w:rPr>
        <w:t>(крім цивільно-правового договору, укладеного з фізичною особою – підприємцем (далі –  ФОП)</w:t>
      </w:r>
      <w:r w:rsidR="001A66B0" w:rsidRPr="00DF02AD">
        <w:rPr>
          <w:rFonts w:ascii="Times New Roman" w:eastAsia="Times New Roman" w:hAnsi="Times New Roman" w:cs="Times New Roman"/>
          <w:color w:val="333333"/>
          <w:sz w:val="20"/>
          <w:szCs w:val="20"/>
          <w:lang w:eastAsia="ru-RU"/>
        </w:rPr>
        <w:t>, </w:t>
      </w:r>
      <w:r w:rsidR="001A66B0" w:rsidRPr="00DF02AD">
        <w:rPr>
          <w:rFonts w:ascii="Times New Roman" w:eastAsia="Times New Roman" w:hAnsi="Times New Roman" w:cs="Times New Roman"/>
          <w:i/>
          <w:iCs/>
          <w:color w:val="333333"/>
          <w:sz w:val="20"/>
          <w:szCs w:val="20"/>
          <w:lang w:eastAsia="ru-RU"/>
        </w:rPr>
        <w:t>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w:t>
      </w:r>
      <w:r w:rsidR="001A66B0" w:rsidRPr="00DF02AD">
        <w:rPr>
          <w:rFonts w:ascii="Times New Roman" w:eastAsia="Times New Roman" w:hAnsi="Times New Roman" w:cs="Times New Roman"/>
          <w:color w:val="333333"/>
          <w:sz w:val="20"/>
          <w:szCs w:val="20"/>
          <w:lang w:eastAsia="ru-RU"/>
        </w:rPr>
        <w:t>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сума винагороди фізичній особі за виконання робіт (надання послуг) за цивільно-правовими договорами.</w:t>
      </w:r>
    </w:p>
    <w:p w14:paraId="58F917AE"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Норми встановлені п. 1 частини 1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w:t>
      </w:r>
    </w:p>
    <w:p w14:paraId="670E5D41"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lastRenderedPageBreak/>
        <w:t xml:space="preserve">Згідно з частиною першою ст. 759 Цивільного кодексу України від 16 січня 2003 року № 435-IV із змінами та доповненнями за договором оренди одна сторона (орендодавець) передає іншій стороні (орендареві) за плату на певний строк у користування майно для здійснення господарської діяльності. Поточний ремонт речі, переданої у </w:t>
      </w:r>
      <w:proofErr w:type="spellStart"/>
      <w:r w:rsidRPr="00DF02AD">
        <w:rPr>
          <w:rFonts w:ascii="Times New Roman" w:eastAsia="Times New Roman" w:hAnsi="Times New Roman" w:cs="Times New Roman"/>
          <w:color w:val="333333"/>
          <w:sz w:val="20"/>
          <w:szCs w:val="20"/>
          <w:lang w:eastAsia="ru-RU"/>
        </w:rPr>
        <w:t>найм</w:t>
      </w:r>
      <w:proofErr w:type="spellEnd"/>
      <w:r w:rsidRPr="00DF02AD">
        <w:rPr>
          <w:rFonts w:ascii="Times New Roman" w:eastAsia="Times New Roman" w:hAnsi="Times New Roman" w:cs="Times New Roman"/>
          <w:color w:val="333333"/>
          <w:sz w:val="20"/>
          <w:szCs w:val="20"/>
          <w:lang w:eastAsia="ru-RU"/>
        </w:rPr>
        <w:t>, провадиться наймачем за його рахунок, якщо інше не встановлено договором або законом.</w:t>
      </w:r>
    </w:p>
    <w:p w14:paraId="2D1C67C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Отже, відносини, які виникають при укладенні договору найму (оренди), не мають ознак правовідносин, що регулюють виконання робіт або надання послуг.</w:t>
      </w:r>
    </w:p>
    <w:p w14:paraId="35C6C724"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Враховуючи вищевикладене, єдиний внесок не нараховується на суму орендної плати, виплаченої на користь фізичної особи згідно договору найму (оренди) нерухомого (рухомого) майна.</w:t>
      </w:r>
    </w:p>
    <w:p w14:paraId="25D2753D"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27"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15E871BD" w14:textId="16854F1E"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13390047"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388AB06A"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proofErr w:type="spellStart"/>
      <w:r w:rsidRPr="000869E9">
        <w:rPr>
          <w:rFonts w:ascii="Times New Roman" w:eastAsia="Times New Roman" w:hAnsi="Times New Roman" w:cs="Times New Roman"/>
          <w:b/>
          <w:bCs/>
          <w:color w:val="333333"/>
          <w:kern w:val="36"/>
          <w:sz w:val="20"/>
          <w:szCs w:val="20"/>
          <w:lang w:eastAsia="ru-RU"/>
        </w:rPr>
        <w:t>Фізособа</w:t>
      </w:r>
      <w:proofErr w:type="spellEnd"/>
      <w:r w:rsidRPr="000869E9">
        <w:rPr>
          <w:rFonts w:ascii="Times New Roman" w:eastAsia="Times New Roman" w:hAnsi="Times New Roman" w:cs="Times New Roman"/>
          <w:b/>
          <w:bCs/>
          <w:color w:val="333333"/>
          <w:kern w:val="36"/>
          <w:sz w:val="20"/>
          <w:szCs w:val="20"/>
          <w:lang w:eastAsia="ru-RU"/>
        </w:rPr>
        <w:t xml:space="preserve"> за земельні ділянки, що утворилися за рахунок переданих за рішенням відповідної ради земельних паїв, земельний податок сплачує</w:t>
      </w:r>
    </w:p>
    <w:p w14:paraId="4FB4361C" w14:textId="0BB8E613" w:rsidR="001A66B0"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Н</w:t>
      </w:r>
      <w:r w:rsidR="001A66B0" w:rsidRPr="00DF02AD">
        <w:rPr>
          <w:rFonts w:ascii="Times New Roman" w:eastAsia="Times New Roman" w:hAnsi="Times New Roman" w:cs="Times New Roman"/>
          <w:color w:val="333333"/>
          <w:sz w:val="20"/>
          <w:szCs w:val="20"/>
          <w:lang w:eastAsia="ru-RU"/>
        </w:rPr>
        <w:t>агадує</w:t>
      </w:r>
      <w:r>
        <w:rPr>
          <w:rFonts w:ascii="Times New Roman" w:eastAsia="Times New Roman" w:hAnsi="Times New Roman" w:cs="Times New Roman"/>
          <w:color w:val="333333"/>
          <w:sz w:val="20"/>
          <w:szCs w:val="20"/>
          <w:lang w:eastAsia="ru-RU"/>
        </w:rPr>
        <w:t>мо</w:t>
      </w:r>
      <w:r w:rsidR="001A66B0" w:rsidRPr="00DF02AD">
        <w:rPr>
          <w:rFonts w:ascii="Times New Roman" w:eastAsia="Times New Roman" w:hAnsi="Times New Roman" w:cs="Times New Roman"/>
          <w:color w:val="333333"/>
          <w:sz w:val="20"/>
          <w:szCs w:val="20"/>
          <w:lang w:eastAsia="ru-RU"/>
        </w:rPr>
        <w:t>, що ст. 281 Податкового кодексу України (далі – ПКУ) чітко визначено категорії фізичних осіб, що мають право на пільги щодо сплати земельного податку, та надано вичерпний перелік видів земельних ділянок та їх розмір, щодо яких зазначені категорії фізичних осіб мають право скористатись пільгами.</w:t>
      </w:r>
    </w:p>
    <w:p w14:paraId="4F8CAB0F"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Водночас до даного переліку не включено земельні ділянки, що утворилися за рахунок переданих за рішенням відповідної ради земельних часток (паїв).</w:t>
      </w:r>
    </w:p>
    <w:p w14:paraId="628B44F3"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 урахуванням викладеного, пільги щодо сплати земельного податку для фізичних осіб за земельні ділянки, що утворилися за рахунок переданих за рішенням відповідної ради земельних часток (паїв), не передбачені і відповідно земельний податок за такі ділянки справляється на загальних підставах.</w:t>
      </w:r>
    </w:p>
    <w:p w14:paraId="13E10AB4"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Разом з цим, згідно з п. 281.3 ст. 281 ПКУ від сплати земельного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платнику єдиного податку четвертої групи.</w:t>
      </w:r>
    </w:p>
    <w:p w14:paraId="3B644880"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28"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113E1751" w14:textId="4F5F1DAD"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0F024739"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4E587459"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Увага! Шахраї!</w:t>
      </w:r>
    </w:p>
    <w:p w14:paraId="32697DB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Відділом з питань запобігання та виявлення корупції Головного управління ДПС у Дніпропетровській області фіксуються чергові спроби телефонного психологічного тиску шахраїв на представників підприємницької діяльності з метою отримання грошових коштів.</w:t>
      </w:r>
    </w:p>
    <w:p w14:paraId="1407D4F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Так, використовуючи номери (095) 020 8846, (099) 435 0652  і прикриваючись нібито належністю до податкової служби м. П’ятихатки, шахраї вимагають від суб’єктів господарювання грошові кошти з мотивацією нібито не проведення можливих перевірочних заходів, чим відверте дискредитують працівників державної служби, негативно впливають на їх ділову репутацію та честь. </w:t>
      </w:r>
    </w:p>
    <w:p w14:paraId="0B826752" w14:textId="0AB5506C" w:rsidR="001A66B0"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ГУ ДПС у Дніпропетровській області звертається до платників податків бути обачними, не піддаватися на провокації. У разі виникнення вказаних ситуацій, вчинення протиправних дій від імені працівників ДПС, негайно звертатись до Національної поліції за телефоном 102.</w:t>
      </w:r>
    </w:p>
    <w:p w14:paraId="68DAE31F"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42722681"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Олексій Любченко: ДПС завжди підтримуватиме чесний бізнес</w:t>
      </w:r>
    </w:p>
    <w:p w14:paraId="0A8ADDD9"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Голова ДПС Олексій Любченко взяв участь в урочистостях з нагоди відзначення переможців рейтингу «Сумлінні платники податків», проведених в онлайн-режимі за ініціативи ВГО «Асоціація платників податків України». Почесними учасниками заходу також стали Міністр фінансів України Сергій Марченко, Президент Асоціації </w:t>
      </w:r>
      <w:proofErr w:type="spellStart"/>
      <w:r w:rsidRPr="00DF02AD">
        <w:rPr>
          <w:rFonts w:ascii="Times New Roman" w:eastAsia="Times New Roman" w:hAnsi="Times New Roman" w:cs="Times New Roman"/>
          <w:color w:val="333333"/>
          <w:sz w:val="20"/>
          <w:szCs w:val="20"/>
          <w:lang w:eastAsia="ru-RU"/>
        </w:rPr>
        <w:t>Грігол</w:t>
      </w:r>
      <w:proofErr w:type="spellEnd"/>
      <w:r w:rsidRPr="00DF02AD">
        <w:rPr>
          <w:rFonts w:ascii="Times New Roman" w:eastAsia="Times New Roman" w:hAnsi="Times New Roman" w:cs="Times New Roman"/>
          <w:color w:val="333333"/>
          <w:sz w:val="20"/>
          <w:szCs w:val="20"/>
          <w:lang w:eastAsia="ru-RU"/>
        </w:rPr>
        <w:t xml:space="preserve"> </w:t>
      </w:r>
      <w:proofErr w:type="spellStart"/>
      <w:r w:rsidRPr="00DF02AD">
        <w:rPr>
          <w:rFonts w:ascii="Times New Roman" w:eastAsia="Times New Roman" w:hAnsi="Times New Roman" w:cs="Times New Roman"/>
          <w:color w:val="333333"/>
          <w:sz w:val="20"/>
          <w:szCs w:val="20"/>
          <w:lang w:eastAsia="ru-RU"/>
        </w:rPr>
        <w:t>Катамадзе</w:t>
      </w:r>
      <w:proofErr w:type="spellEnd"/>
      <w:r w:rsidRPr="00DF02AD">
        <w:rPr>
          <w:rFonts w:ascii="Times New Roman" w:eastAsia="Times New Roman" w:hAnsi="Times New Roman" w:cs="Times New Roman"/>
          <w:color w:val="333333"/>
          <w:sz w:val="20"/>
          <w:szCs w:val="20"/>
          <w:lang w:eastAsia="ru-RU"/>
        </w:rPr>
        <w:t>, Президент Українського союзу промисловців і підприємців Анатолій Кінах та переможці рейтингу.</w:t>
      </w:r>
    </w:p>
    <w:p w14:paraId="0C6D82E2"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«Державна податкова служба завжди відкрита до партнерської співпраці з платниками податків. Ми вдосконалюємо свою роботу з урахуванням потреб бізнесу, запускаємо нові сервіси, яких від нас очікує підприємницьке середовище. На новий рівень вийшла співпраця з бізнес-асоціаціями, з якими ми спільно знаходимо шляхи до вирішення спірних питань. ДПС завжди підтримуватиме чесний бізнес. Приємно, що завдяки рейтингу сумлінних платників ми маємо змогу подякувати чесному бізнесу за сплачені податки та фінансовий розвиток країни», – наголосив Олексій Любченко.</w:t>
      </w:r>
    </w:p>
    <w:p w14:paraId="6042E2A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Про важливість підтримки чесного бізнесу наголосив і Міністр фінансів України Сергій Марченко. Адже від схем ухилення від сплати податків страждає як чесний бізнес, який сплачує податки, так і економіка країни. І наразі результати із забезпечення надходжень до бюджету свідчать про створення належних умов для роботи чесного бізнесу. За його словами, збільшення податкових надходжень досягнуто без жодного тиску на бізнес, а за рахунок мінімізації схем ухилення від сплати податків та покращення процесів адміністрування.</w:t>
      </w:r>
    </w:p>
    <w:p w14:paraId="00FE169C"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Рейтинг сумлінних платників податків щорічно проводиться за ініціативою Асоціації платників податків України. Підприємства оцінюються за такими критеріями, як повнота та своєчасність сплати податків, дотримання податкової дисципліни, розмір середньомісячної заробітної плати по підприємству, кількість офіційно працевлаштованих осіб, суми коштів, витрачених на соціальні програми та благодійні акції тощо.</w:t>
      </w:r>
    </w:p>
    <w:p w14:paraId="2EB60E67"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Цього року переможцями стали 40 представників великого, середнього та малого бізнесу. Переможців обирали у категоріях «Промисловість», «Культура», «Інформація та телекомунікація», «Аграрний сектор», «Фармацевтика». «Торгівля», «Наука» та ін.</w:t>
      </w:r>
    </w:p>
    <w:p w14:paraId="195353F2" w14:textId="59817283" w:rsidR="001A66B0"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Рейтинг сумлінних платників податків проводиться з 2011 року.</w:t>
      </w:r>
    </w:p>
    <w:p w14:paraId="5612FEFA"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0BA64FF6" w14:textId="77777777" w:rsidR="001A66B0" w:rsidRPr="000869E9" w:rsidRDefault="001A66B0"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Компенсація працівникам вартості пально-мастильних матеріалів: чи є база для нарахування єдиного внеску?</w:t>
      </w:r>
    </w:p>
    <w:p w14:paraId="37641C68" w14:textId="1D930981" w:rsidR="001A66B0"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В</w:t>
      </w:r>
      <w:r w:rsidR="001A66B0" w:rsidRPr="00DF02AD">
        <w:rPr>
          <w:rFonts w:ascii="Times New Roman" w:eastAsia="Times New Roman" w:hAnsi="Times New Roman" w:cs="Times New Roman"/>
          <w:color w:val="333333"/>
          <w:sz w:val="20"/>
          <w:szCs w:val="20"/>
          <w:lang w:eastAsia="ru-RU"/>
        </w:rPr>
        <w:t xml:space="preserve">ідповідно до п. 1 частини 1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базою нарахування єдиного внеску на загальнообов’язкове державне соціальне страхування (далі – єдиний внесок) для підприємств, установ та організацій, які використовують працю фізичних осіб на умовах трудового договору (контракту) або на інших умовах, передбачених </w:t>
      </w:r>
      <w:r w:rsidR="001A66B0" w:rsidRPr="00DF02AD">
        <w:rPr>
          <w:rFonts w:ascii="Times New Roman" w:eastAsia="Times New Roman" w:hAnsi="Times New Roman" w:cs="Times New Roman"/>
          <w:color w:val="333333"/>
          <w:sz w:val="20"/>
          <w:szCs w:val="20"/>
          <w:lang w:eastAsia="ru-RU"/>
        </w:rPr>
        <w:lastRenderedPageBreak/>
        <w:t>законодавством, чи за цивільно-правовими договорами (</w:t>
      </w:r>
      <w:r w:rsidR="001A66B0" w:rsidRPr="00DF02AD">
        <w:rPr>
          <w:rFonts w:ascii="Times New Roman" w:eastAsia="Times New Roman" w:hAnsi="Times New Roman" w:cs="Times New Roman"/>
          <w:i/>
          <w:iCs/>
          <w:color w:val="333333"/>
          <w:sz w:val="20"/>
          <w:szCs w:val="20"/>
          <w:lang w:eastAsia="ru-RU"/>
        </w:rPr>
        <w:t>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w:t>
      </w:r>
      <w:r w:rsidR="001A66B0" w:rsidRPr="00DF02AD">
        <w:rPr>
          <w:rFonts w:ascii="Times New Roman" w:eastAsia="Times New Roman" w:hAnsi="Times New Roman" w:cs="Times New Roman"/>
          <w:color w:val="333333"/>
          <w:sz w:val="20"/>
          <w:szCs w:val="20"/>
          <w:lang w:eastAsia="ru-RU"/>
        </w:rPr>
        <w:t>,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сума винагороди фізичним особам за виконання робіт (надання послуг) за цивільно-правовими договорами.</w:t>
      </w:r>
    </w:p>
    <w:p w14:paraId="16A29E6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Постановою Кабінету Міністрів України від 22 грудня 2010 року № 1170 затверджено Перелік видів виплат, що здійснюються за рахунок коштів роботодавців, на які не нараховується єдиний внесок на загальнообов’язкове державне соціальне страхування, відповідно до п. 11 розділу І якого сума компенсації працівникам за використання для потреб виробництва власного інструмента та особистого транспорту, не є базою нарахування єдиного внеску.</w:t>
      </w:r>
    </w:p>
    <w:p w14:paraId="77A34FA5"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Враховуючи викладене вище, не є базою нарахування єдиного внеску сума компенсації працівникам вартості пально-мастильних матеріалів, витрачених в межах господарської діяльності роботодавця, у разі використання такими працівниками власних транспортних засобів.</w:t>
      </w:r>
    </w:p>
    <w:p w14:paraId="4F336DAB" w14:textId="77777777" w:rsidR="001A66B0" w:rsidRPr="00DF02AD" w:rsidRDefault="001A66B0"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29"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0303155D" w14:textId="2CE05E0D" w:rsidR="001A66B0" w:rsidRDefault="001A66B0"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3684D770"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37BE9D60" w14:textId="77777777" w:rsidR="00BD5E4D" w:rsidRPr="000869E9" w:rsidRDefault="00BD5E4D"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Податкова знижка за витратами у вигляді пожертвувань на запобігання поширенню гострої респіраторної хвороби COVID-19</w:t>
      </w:r>
    </w:p>
    <w:p w14:paraId="1DE3CD8C" w14:textId="3D5C0065" w:rsidR="00BD5E4D"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І</w:t>
      </w:r>
      <w:r w:rsidR="00BD5E4D" w:rsidRPr="00DF02AD">
        <w:rPr>
          <w:rFonts w:ascii="Times New Roman" w:eastAsia="Times New Roman" w:hAnsi="Times New Roman" w:cs="Times New Roman"/>
          <w:color w:val="333333"/>
          <w:sz w:val="20"/>
          <w:szCs w:val="20"/>
          <w:lang w:eastAsia="ru-RU"/>
        </w:rPr>
        <w:t>нформує</w:t>
      </w:r>
      <w:r>
        <w:rPr>
          <w:rFonts w:ascii="Times New Roman" w:eastAsia="Times New Roman" w:hAnsi="Times New Roman" w:cs="Times New Roman"/>
          <w:color w:val="333333"/>
          <w:sz w:val="20"/>
          <w:szCs w:val="20"/>
          <w:lang w:eastAsia="ru-RU"/>
        </w:rPr>
        <w:t>мо</w:t>
      </w:r>
      <w:r w:rsidR="00BD5E4D" w:rsidRPr="00DF02AD">
        <w:rPr>
          <w:rFonts w:ascii="Times New Roman" w:eastAsia="Times New Roman" w:hAnsi="Times New Roman" w:cs="Times New Roman"/>
          <w:color w:val="333333"/>
          <w:sz w:val="20"/>
          <w:szCs w:val="20"/>
          <w:lang w:eastAsia="ru-RU"/>
        </w:rPr>
        <w:t xml:space="preserve">, що платник податку на доходи фізичних осіб (далі – ПДФО) має право включити до податкової знижки у зменшення оподатковуваного доходу платника податку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зокрема, суму коштів або вартість майна, перерахованих (переданих) платником ПДФО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розмірі, що не перевищує 4 </w:t>
      </w:r>
      <w:proofErr w:type="spellStart"/>
      <w:r w:rsidR="00BD5E4D" w:rsidRPr="00DF02AD">
        <w:rPr>
          <w:rFonts w:ascii="Times New Roman" w:eastAsia="Times New Roman" w:hAnsi="Times New Roman" w:cs="Times New Roman"/>
          <w:color w:val="333333"/>
          <w:sz w:val="20"/>
          <w:szCs w:val="20"/>
          <w:lang w:eastAsia="ru-RU"/>
        </w:rPr>
        <w:t>відс</w:t>
      </w:r>
      <w:proofErr w:type="spellEnd"/>
      <w:r w:rsidR="00BD5E4D" w:rsidRPr="00DF02AD">
        <w:rPr>
          <w:rFonts w:ascii="Times New Roman" w:eastAsia="Times New Roman" w:hAnsi="Times New Roman" w:cs="Times New Roman"/>
          <w:color w:val="333333"/>
          <w:sz w:val="20"/>
          <w:szCs w:val="20"/>
          <w:lang w:eastAsia="ru-RU"/>
        </w:rPr>
        <w:t>. суми його загального оподатковуваного доходу такого звітного року.</w:t>
      </w:r>
    </w:p>
    <w:p w14:paraId="47513040"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Норми встановлені 166.3.2 п. 166.3 ст. 166 ПКУ.</w:t>
      </w:r>
    </w:p>
    <w:p w14:paraId="10B4F087"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Водночас, 02 квітня 2020 року набрав чинності Закон України від 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DF02AD">
        <w:rPr>
          <w:rFonts w:ascii="Times New Roman" w:eastAsia="Times New Roman" w:hAnsi="Times New Roman" w:cs="Times New Roman"/>
          <w:color w:val="333333"/>
          <w:sz w:val="20"/>
          <w:szCs w:val="20"/>
          <w:lang w:eastAsia="ru-RU"/>
        </w:rPr>
        <w:t>коронавірусної</w:t>
      </w:r>
      <w:proofErr w:type="spellEnd"/>
      <w:r w:rsidRPr="00DF02AD">
        <w:rPr>
          <w:rFonts w:ascii="Times New Roman" w:eastAsia="Times New Roman" w:hAnsi="Times New Roman" w:cs="Times New Roman"/>
          <w:color w:val="333333"/>
          <w:sz w:val="20"/>
          <w:szCs w:val="20"/>
          <w:lang w:eastAsia="ru-RU"/>
        </w:rPr>
        <w:t xml:space="preserve"> хвороби (COVID-19)» із змінами та доповненнями (далі – Закон № 540), відповідно якого внесені зміни до ПКУ, зокрема, підрозділу 1 розділу ХХ «Перехідні положення» ПКУ доповнено новим п. 11 (п. 1 розділу І Закону № 540) та зобов’язано Кабінет Міністрів України (далі – КМУ) розробити та затвердити перелік товарів протиепідемічного призначення, що необхідні для запобігання поширенню епідемій, пандемій, </w:t>
      </w:r>
      <w:proofErr w:type="spellStart"/>
      <w:r w:rsidRPr="00DF02AD">
        <w:rPr>
          <w:rFonts w:ascii="Times New Roman" w:eastAsia="Times New Roman" w:hAnsi="Times New Roman" w:cs="Times New Roman"/>
          <w:color w:val="333333"/>
          <w:sz w:val="20"/>
          <w:szCs w:val="20"/>
          <w:lang w:eastAsia="ru-RU"/>
        </w:rPr>
        <w:t>коронавірусної</w:t>
      </w:r>
      <w:proofErr w:type="spellEnd"/>
      <w:r w:rsidRPr="00DF02AD">
        <w:rPr>
          <w:rFonts w:ascii="Times New Roman" w:eastAsia="Times New Roman" w:hAnsi="Times New Roman" w:cs="Times New Roman"/>
          <w:color w:val="333333"/>
          <w:sz w:val="20"/>
          <w:szCs w:val="20"/>
          <w:lang w:eastAsia="ru-RU"/>
        </w:rPr>
        <w:t xml:space="preserve"> хвороби (COVID-19)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5 п. 8 розділу ІІ «Прикінцеві та перехідні положення» Закону № 540).</w:t>
      </w:r>
    </w:p>
    <w:p w14:paraId="087C2664"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Так, п. 11 підрозділу 1 розділу ХХ «Перехідні положення» ПКУ встановлено, що за результатами 2020 року, при реалізації права на податкову знижку відповідно до положень ст. 166 ПКУ, сума коштів або вартість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для скринінгу хворих, розхідних матеріалів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відділень тощо, засобів особистої гігієни, продуктів харчування та/або товарів за переліком, що визначається КМУ, які добровільно перераховані (передані) громадським об’єднанням та/або благодійним організаціям та/або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іншим соціально небезпечним захворюванням, та/або особі, уповноваженій на здійснення </w:t>
      </w:r>
      <w:proofErr w:type="spellStart"/>
      <w:r w:rsidRPr="00DF02AD">
        <w:rPr>
          <w:rFonts w:ascii="Times New Roman" w:eastAsia="Times New Roman" w:hAnsi="Times New Roman" w:cs="Times New Roman"/>
          <w:color w:val="333333"/>
          <w:sz w:val="20"/>
          <w:szCs w:val="20"/>
          <w:lang w:eastAsia="ru-RU"/>
        </w:rPr>
        <w:t>закупівель</w:t>
      </w:r>
      <w:proofErr w:type="spellEnd"/>
      <w:r w:rsidRPr="00DF02AD">
        <w:rPr>
          <w:rFonts w:ascii="Times New Roman" w:eastAsia="Times New Roman" w:hAnsi="Times New Roman" w:cs="Times New Roman"/>
          <w:color w:val="333333"/>
          <w:sz w:val="20"/>
          <w:szCs w:val="20"/>
          <w:lang w:eastAsia="ru-RU"/>
        </w:rPr>
        <w:t xml:space="preserve"> у сфері охорони здоров’я, та/або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протягом карантину, що запроваджений КМУ у порядку, встановленому законом, на всій території України з метою запобігання поширенню на території України </w:t>
      </w:r>
      <w:proofErr w:type="spellStart"/>
      <w:r w:rsidRPr="00DF02AD">
        <w:rPr>
          <w:rFonts w:ascii="Times New Roman" w:eastAsia="Times New Roman" w:hAnsi="Times New Roman" w:cs="Times New Roman"/>
          <w:color w:val="333333"/>
          <w:sz w:val="20"/>
          <w:szCs w:val="20"/>
          <w:lang w:eastAsia="ru-RU"/>
        </w:rPr>
        <w:t>коронавірусної</w:t>
      </w:r>
      <w:proofErr w:type="spellEnd"/>
      <w:r w:rsidRPr="00DF02AD">
        <w:rPr>
          <w:rFonts w:ascii="Times New Roman" w:eastAsia="Times New Roman" w:hAnsi="Times New Roman" w:cs="Times New Roman"/>
          <w:color w:val="333333"/>
          <w:sz w:val="20"/>
          <w:szCs w:val="20"/>
          <w:lang w:eastAsia="ru-RU"/>
        </w:rPr>
        <w:t xml:space="preserve"> хвороби (COVID-19), включається до податкової знижки у повному обсязі без урахування обмежень, визначених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166.3.2 п. 166.3 ст. 166 ПКУ.</w:t>
      </w:r>
    </w:p>
    <w:p w14:paraId="1DD97869"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Таким чином, до витрат платника податків, понесених з метою запобігання поширенню на території України </w:t>
      </w:r>
      <w:proofErr w:type="spellStart"/>
      <w:r w:rsidRPr="00DF02AD">
        <w:rPr>
          <w:rFonts w:ascii="Times New Roman" w:eastAsia="Times New Roman" w:hAnsi="Times New Roman" w:cs="Times New Roman"/>
          <w:color w:val="333333"/>
          <w:sz w:val="20"/>
          <w:szCs w:val="20"/>
          <w:lang w:eastAsia="ru-RU"/>
        </w:rPr>
        <w:t>коронавірусної</w:t>
      </w:r>
      <w:proofErr w:type="spellEnd"/>
      <w:r w:rsidRPr="00DF02AD">
        <w:rPr>
          <w:rFonts w:ascii="Times New Roman" w:eastAsia="Times New Roman" w:hAnsi="Times New Roman" w:cs="Times New Roman"/>
          <w:color w:val="333333"/>
          <w:sz w:val="20"/>
          <w:szCs w:val="20"/>
          <w:lang w:eastAsia="ru-RU"/>
        </w:rPr>
        <w:t xml:space="preserve"> хвороби COVID-19, включатиметься сума коштів або вартість товарів, які добровільно перераховані (передані) як благодійність відповідним організаціям та/або органам виконавчої влади, закладам охорони здоров’я, тощо.</w:t>
      </w:r>
    </w:p>
    <w:p w14:paraId="3AED22D2"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При цьому перелік товарів (в тому числі лікарських засобів, медичних виробів, тощо), витрати на які включатимуться до податкової знижки, визначається КМУ.</w:t>
      </w:r>
    </w:p>
    <w:p w14:paraId="365DA17D"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Нагадуємо, що платники скористатись правом на податкову знижку за результатами 2019 року можуть до кінця поточного року. Для цього таким платникам необхідно подати податкову декларацію про майновий стан і доходи по 31 грудня 2020 року включно.</w:t>
      </w:r>
    </w:p>
    <w:p w14:paraId="41091206"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30"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14055350" w14:textId="0D87FD0F" w:rsidR="00BD5E4D" w:rsidRDefault="00BD5E4D"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3503DE2C"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168C010E" w14:textId="77777777" w:rsidR="00BD5E4D" w:rsidRPr="000869E9" w:rsidRDefault="00BD5E4D"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Підстави для нарахування земельного податку та орендної плати</w:t>
      </w:r>
    </w:p>
    <w:p w14:paraId="7476A852" w14:textId="7806511D" w:rsidR="00BD5E4D"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Н</w:t>
      </w:r>
      <w:r w:rsidR="00BD5E4D" w:rsidRPr="00DF02AD">
        <w:rPr>
          <w:rFonts w:ascii="Times New Roman" w:eastAsia="Times New Roman" w:hAnsi="Times New Roman" w:cs="Times New Roman"/>
          <w:color w:val="333333"/>
          <w:sz w:val="20"/>
          <w:szCs w:val="20"/>
          <w:lang w:eastAsia="ru-RU"/>
        </w:rPr>
        <w:t>агадує</w:t>
      </w:r>
      <w:r>
        <w:rPr>
          <w:rFonts w:ascii="Times New Roman" w:eastAsia="Times New Roman" w:hAnsi="Times New Roman" w:cs="Times New Roman"/>
          <w:color w:val="333333"/>
          <w:sz w:val="20"/>
          <w:szCs w:val="20"/>
          <w:lang w:eastAsia="ru-RU"/>
        </w:rPr>
        <w:t>мо</w:t>
      </w:r>
      <w:r w:rsidR="00BD5E4D" w:rsidRPr="00DF02AD">
        <w:rPr>
          <w:rFonts w:ascii="Times New Roman" w:eastAsia="Times New Roman" w:hAnsi="Times New Roman" w:cs="Times New Roman"/>
          <w:color w:val="333333"/>
          <w:sz w:val="20"/>
          <w:szCs w:val="20"/>
          <w:lang w:eastAsia="ru-RU"/>
        </w:rPr>
        <w:t>, що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w:t>
      </w:r>
    </w:p>
    <w:p w14:paraId="072459A3"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Норми визначені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14.1.147 п. 14.1 ст. 14 Податкового кодексу .</w:t>
      </w:r>
    </w:p>
    <w:p w14:paraId="188F81D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Пунктом 286.1 ст. 286 ПКУ встановлено, що підставою для нарахування земельного податку є дані державного земельного кадастру.</w:t>
      </w:r>
    </w:p>
    <w:p w14:paraId="5474840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lastRenderedPageBreak/>
        <w:t>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пізніше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Міністрів України.</w:t>
      </w:r>
    </w:p>
    <w:p w14:paraId="14F9A423"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У разі подання платником податку до контролюючого органу правовстановлюючих документів на земельну ділянку, відомості про яку відсутні у базах даних інформаційних систем центрального органу виконавчої влади, що реалізує державну податкову політику, сплата податку фізичними та юридичними особами здійснюється на підставі поданих платником податку відомостей до отримання контролюючим органом інформації про перехід права власності на об’єкт оподаткування.</w:t>
      </w:r>
    </w:p>
    <w:p w14:paraId="481A90E8"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Згідно з п. 288.1 ст. 288 ПКУ підставою для нарахування орендної плати за земельну ділянку є договір оренди такої земельної ділянки.</w:t>
      </w:r>
    </w:p>
    <w:p w14:paraId="3E35E4FB"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Органи виконавчої влади та органи місцевого самоврядування, які укладають договори оренди землі, повинні до 01 лютого подавати контролюючому органу за місцезнаходженням земельної ділянки переліки орендарів, з якими укладено договори оренди землі на поточний рік, та інформувати відповідний контролюючий орган про укладення нових, внесення змін до існуючих договорів оренди землі та їх розірвання до 01 числа місяця, що настає за місяцем, у якому відбулися зазначені зміни.</w:t>
      </w:r>
    </w:p>
    <w:p w14:paraId="349E3CB6"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Форма надання інформації затверджується центральним органом виконавчої влади, що забезпечує формування державної фінансової політики.</w:t>
      </w:r>
    </w:p>
    <w:p w14:paraId="358BEF8E"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Договір оренди земель державної і комунальної власності укладається за типовою формою, затвердженою Кабінетом Міністрів України.</w:t>
      </w:r>
    </w:p>
    <w:p w14:paraId="5471E178"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31"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2FE38BFE" w14:textId="2562C61D" w:rsidR="00BD5E4D" w:rsidRDefault="00BD5E4D"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595714AF" w14:textId="22DB514F"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445DC53B" w14:textId="77777777" w:rsidR="00BD5E4D" w:rsidRPr="000869E9" w:rsidRDefault="00BD5E4D"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Прийнято програми підтримки бізнесу у разі посилення карантинних обмежень</w:t>
      </w:r>
    </w:p>
    <w:p w14:paraId="0B07C35C" w14:textId="72515B3E" w:rsidR="00BD5E4D"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І</w:t>
      </w:r>
      <w:r w:rsidR="00BD5E4D" w:rsidRPr="00DF02AD">
        <w:rPr>
          <w:rFonts w:ascii="Times New Roman" w:eastAsia="Times New Roman" w:hAnsi="Times New Roman" w:cs="Times New Roman"/>
          <w:color w:val="333333"/>
          <w:sz w:val="20"/>
          <w:szCs w:val="20"/>
          <w:lang w:eastAsia="ru-RU"/>
        </w:rPr>
        <w:t>нформує</w:t>
      </w:r>
      <w:r>
        <w:rPr>
          <w:rFonts w:ascii="Times New Roman" w:eastAsia="Times New Roman" w:hAnsi="Times New Roman" w:cs="Times New Roman"/>
          <w:color w:val="333333"/>
          <w:sz w:val="20"/>
          <w:szCs w:val="20"/>
          <w:lang w:eastAsia="ru-RU"/>
        </w:rPr>
        <w:t>мо</w:t>
      </w:r>
      <w:r w:rsidR="00BD5E4D" w:rsidRPr="00DF02AD">
        <w:rPr>
          <w:rFonts w:ascii="Times New Roman" w:eastAsia="Times New Roman" w:hAnsi="Times New Roman" w:cs="Times New Roman"/>
          <w:color w:val="333333"/>
          <w:sz w:val="20"/>
          <w:szCs w:val="20"/>
          <w:lang w:eastAsia="ru-RU"/>
        </w:rPr>
        <w:t xml:space="preserve">, що 07 грудня 2020 року Президент України підписав закони України № 1071-ІХ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00BD5E4D" w:rsidRPr="00DF02AD">
        <w:rPr>
          <w:rFonts w:ascii="Times New Roman" w:eastAsia="Times New Roman" w:hAnsi="Times New Roman" w:cs="Times New Roman"/>
          <w:color w:val="333333"/>
          <w:sz w:val="20"/>
          <w:szCs w:val="20"/>
          <w:lang w:eastAsia="ru-RU"/>
        </w:rPr>
        <w:t>коронавірусом</w:t>
      </w:r>
      <w:proofErr w:type="spellEnd"/>
      <w:r w:rsidR="00BD5E4D" w:rsidRPr="00DF02AD">
        <w:rPr>
          <w:rFonts w:ascii="Times New Roman" w:eastAsia="Times New Roman" w:hAnsi="Times New Roman" w:cs="Times New Roman"/>
          <w:color w:val="333333"/>
          <w:sz w:val="20"/>
          <w:szCs w:val="20"/>
          <w:lang w:eastAsia="ru-RU"/>
        </w:rPr>
        <w:t xml:space="preserve"> SARS-</w:t>
      </w:r>
      <w:proofErr w:type="spellStart"/>
      <w:r w:rsidR="00BD5E4D" w:rsidRPr="00DF02AD">
        <w:rPr>
          <w:rFonts w:ascii="Times New Roman" w:eastAsia="Times New Roman" w:hAnsi="Times New Roman" w:cs="Times New Roman"/>
          <w:color w:val="333333"/>
          <w:sz w:val="20"/>
          <w:szCs w:val="20"/>
          <w:lang w:eastAsia="ru-RU"/>
        </w:rPr>
        <w:t>Co</w:t>
      </w:r>
      <w:proofErr w:type="spellEnd"/>
      <w:r w:rsidR="00BD5E4D" w:rsidRPr="00DF02AD">
        <w:rPr>
          <w:rFonts w:ascii="Times New Roman" w:eastAsia="Times New Roman" w:hAnsi="Times New Roman" w:cs="Times New Roman"/>
          <w:color w:val="333333"/>
          <w:sz w:val="20"/>
          <w:szCs w:val="20"/>
          <w:lang w:eastAsia="ru-RU"/>
        </w:rPr>
        <w:t xml:space="preserve"> V-2» (далі – Закон № 1071) та № 1072-ІХ «Про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w:t>
      </w:r>
      <w:proofErr w:type="spellStart"/>
      <w:r w:rsidR="00BD5E4D" w:rsidRPr="00DF02AD">
        <w:rPr>
          <w:rFonts w:ascii="Times New Roman" w:eastAsia="Times New Roman" w:hAnsi="Times New Roman" w:cs="Times New Roman"/>
          <w:color w:val="333333"/>
          <w:sz w:val="20"/>
          <w:szCs w:val="20"/>
          <w:lang w:eastAsia="ru-RU"/>
        </w:rPr>
        <w:t>коронавірусом</w:t>
      </w:r>
      <w:proofErr w:type="spellEnd"/>
      <w:r w:rsidR="00BD5E4D" w:rsidRPr="00DF02AD">
        <w:rPr>
          <w:rFonts w:ascii="Times New Roman" w:eastAsia="Times New Roman" w:hAnsi="Times New Roman" w:cs="Times New Roman"/>
          <w:color w:val="333333"/>
          <w:sz w:val="20"/>
          <w:szCs w:val="20"/>
          <w:lang w:eastAsia="ru-RU"/>
        </w:rPr>
        <w:t xml:space="preserve"> SARS-</w:t>
      </w:r>
      <w:proofErr w:type="spellStart"/>
      <w:r w:rsidR="00BD5E4D" w:rsidRPr="00DF02AD">
        <w:rPr>
          <w:rFonts w:ascii="Times New Roman" w:eastAsia="Times New Roman" w:hAnsi="Times New Roman" w:cs="Times New Roman"/>
          <w:color w:val="333333"/>
          <w:sz w:val="20"/>
          <w:szCs w:val="20"/>
          <w:lang w:eastAsia="ru-RU"/>
        </w:rPr>
        <w:t>Co</w:t>
      </w:r>
      <w:proofErr w:type="spellEnd"/>
      <w:r w:rsidR="00BD5E4D" w:rsidRPr="00DF02AD">
        <w:rPr>
          <w:rFonts w:ascii="Times New Roman" w:eastAsia="Times New Roman" w:hAnsi="Times New Roman" w:cs="Times New Roman"/>
          <w:color w:val="333333"/>
          <w:sz w:val="20"/>
          <w:szCs w:val="20"/>
          <w:lang w:eastAsia="ru-RU"/>
        </w:rPr>
        <w:t xml:space="preserve"> V-2» (далі –  № 1072).</w:t>
      </w:r>
    </w:p>
    <w:p w14:paraId="43DE4C08"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Закон № 1071 передбачає надання одноразової матеріальної допомоги у розмірі 8 тис. грн найманим працівникам, які втратили частину заробітної платні внаслідок запровадження карантинних обмежень, та фізичним особам – підприємцям (ФОП), які втратили частину доходу внаслідок карантину.</w:t>
      </w:r>
    </w:p>
    <w:p w14:paraId="42179DCE"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roofErr w:type="spellStart"/>
      <w:r w:rsidRPr="00DF02AD">
        <w:rPr>
          <w:rFonts w:ascii="Times New Roman" w:eastAsia="Times New Roman" w:hAnsi="Times New Roman" w:cs="Times New Roman"/>
          <w:color w:val="333333"/>
          <w:sz w:val="20"/>
          <w:szCs w:val="20"/>
          <w:lang w:eastAsia="ru-RU"/>
        </w:rPr>
        <w:t>ФОПи</w:t>
      </w:r>
      <w:proofErr w:type="spellEnd"/>
      <w:r w:rsidRPr="00DF02AD">
        <w:rPr>
          <w:rFonts w:ascii="Times New Roman" w:eastAsia="Times New Roman" w:hAnsi="Times New Roman" w:cs="Times New Roman"/>
          <w:color w:val="333333"/>
          <w:sz w:val="20"/>
          <w:szCs w:val="20"/>
          <w:lang w:eastAsia="ru-RU"/>
        </w:rPr>
        <w:t xml:space="preserve"> не зможуть отримати допомогу:</w:t>
      </w:r>
    </w:p>
    <w:p w14:paraId="1F0DCBF1"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якщо вони зареєстровані менше ніж за три місяці до набрання чинності Законом № 1071;</w:t>
      </w:r>
    </w:p>
    <w:p w14:paraId="6F55A9CD"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якщо у 2020 році сплатили єдиного внеску на загальнообов’язкове державне соціальне страхування (далі – єдиний внесок) за себе менше ніж за три місяці;</w:t>
      </w:r>
    </w:p>
    <w:p w14:paraId="446001BA"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якщо їхній вид діяльності не підпадає під карантинні обмеження.</w:t>
      </w:r>
    </w:p>
    <w:p w14:paraId="322F17E9"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Крім того, документ передбачає надання одноразової матеріальної допомоги компаніям для виплат найманим працівникам, щоб не скорочувати їх під час дії карантину. Ця норма стосується підприємств, які (на час набуття чинності законом) вимушено скоротили або можуть скоротити тривалість робочого часу працівників через простій у зв'язку з впровадженням карантину.</w:t>
      </w:r>
    </w:p>
    <w:p w14:paraId="53B5093B"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Розмір допомоги вираховується </w:t>
      </w:r>
      <w:proofErr w:type="spellStart"/>
      <w:r w:rsidRPr="00DF02AD">
        <w:rPr>
          <w:rFonts w:ascii="Times New Roman" w:eastAsia="Times New Roman" w:hAnsi="Times New Roman" w:cs="Times New Roman"/>
          <w:color w:val="333333"/>
          <w:sz w:val="20"/>
          <w:szCs w:val="20"/>
          <w:lang w:eastAsia="ru-RU"/>
        </w:rPr>
        <w:t>пропорційно</w:t>
      </w:r>
      <w:proofErr w:type="spellEnd"/>
      <w:r w:rsidRPr="00DF02AD">
        <w:rPr>
          <w:rFonts w:ascii="Times New Roman" w:eastAsia="Times New Roman" w:hAnsi="Times New Roman" w:cs="Times New Roman"/>
          <w:color w:val="333333"/>
          <w:sz w:val="20"/>
          <w:szCs w:val="20"/>
          <w:lang w:eastAsia="ru-RU"/>
        </w:rPr>
        <w:t xml:space="preserve"> скороченню робочого часу працівника, але не може перевищувати 8 тис. грн.</w:t>
      </w:r>
    </w:p>
    <w:p w14:paraId="632FF020"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Також закон передбачає одноразову компенсацію суб’єктам господарювання з метою відшкодування витрат, понесених на сплату єдиного внеску.</w:t>
      </w:r>
    </w:p>
    <w:p w14:paraId="411BF7B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Розмір одноразової компенсації становитиме середньомісячну суму єдиного внеску з розрахунків останніх 10 місяців.</w:t>
      </w:r>
    </w:p>
    <w:p w14:paraId="68FAACCC"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Компенсації отримають ті компанії, які реально постраждають від запровадження карантинних обмежень. Проте компенсація не надаватиметься, якщо з єдиного внеску є заборгованість.</w:t>
      </w:r>
    </w:p>
    <w:p w14:paraId="73C40A56"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Крім того, закон передбачає продовження дії ліцензій компаніям на продаж алкоголю на період карантину, а також протягом трьох місяців після його закінчення. Документи дозвільного характеру продовжують дію на період карантину та протягом трьох місяців після його закінчення. Продовжується й строк дії договорів оренди державного та комунального майна, які закінчуються у період карантину, та протягом одного місяця з дня його закінчення. Не нараховується та не сплачується плата за оренду державного або комунального майна.</w:t>
      </w:r>
    </w:p>
    <w:p w14:paraId="42CD8B97"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Закон № 1072-ІХ передбачає низку податкових стимулів для громадян, малого й середнього бізнесу на період можливого оголошення карантину.</w:t>
      </w:r>
    </w:p>
    <w:p w14:paraId="6270ED8E"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Зокрема, списується податковий борг платникам податків у разі, якщо сукупний розмір боргу платника за всіма податками та зборами не перевищує 3060 грн.</w:t>
      </w:r>
    </w:p>
    <w:p w14:paraId="2156484A"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Платники єдиного податку І групи звільняються від сплати цього податку за грудень 2020 року та січень – травень 2021 року.</w:t>
      </w:r>
    </w:p>
    <w:p w14:paraId="06200159"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Також до 29 грудня 2021 року відстрочено погашення податкового боргу платників податків – фізичних осіб, зокрема </w:t>
      </w:r>
      <w:proofErr w:type="spellStart"/>
      <w:r w:rsidRPr="00DF02AD">
        <w:rPr>
          <w:rFonts w:ascii="Times New Roman" w:eastAsia="Times New Roman" w:hAnsi="Times New Roman" w:cs="Times New Roman"/>
          <w:color w:val="333333"/>
          <w:sz w:val="20"/>
          <w:szCs w:val="20"/>
          <w:lang w:eastAsia="ru-RU"/>
        </w:rPr>
        <w:t>самозайнятих</w:t>
      </w:r>
      <w:proofErr w:type="spellEnd"/>
      <w:r w:rsidRPr="00DF02AD">
        <w:rPr>
          <w:rFonts w:ascii="Times New Roman" w:eastAsia="Times New Roman" w:hAnsi="Times New Roman" w:cs="Times New Roman"/>
          <w:color w:val="333333"/>
          <w:sz w:val="20"/>
          <w:szCs w:val="20"/>
          <w:lang w:eastAsia="ru-RU"/>
        </w:rPr>
        <w:t xml:space="preserve"> осіб, що в загальній сумі не перевищує 6 800 гривень.</w:t>
      </w:r>
    </w:p>
    <w:p w14:paraId="14E06B3B"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Крім того, Президент підписав Закон «Про внесення змін до статті 28 Закону України «Про Державний бюджет України на 2020 рік» № 1073-ІХ.</w:t>
      </w:r>
    </w:p>
    <w:p w14:paraId="007E7D3F"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Документ розширює перелік напрямків, за якими можуть використовуватися кошти Фонду з боротьби з наслідками епідемії </w:t>
      </w:r>
      <w:proofErr w:type="spellStart"/>
      <w:r w:rsidRPr="00DF02AD">
        <w:rPr>
          <w:rFonts w:ascii="Times New Roman" w:eastAsia="Times New Roman" w:hAnsi="Times New Roman" w:cs="Times New Roman"/>
          <w:color w:val="333333"/>
          <w:sz w:val="20"/>
          <w:szCs w:val="20"/>
          <w:lang w:eastAsia="ru-RU"/>
        </w:rPr>
        <w:t>коронавірусу</w:t>
      </w:r>
      <w:proofErr w:type="spellEnd"/>
      <w:r w:rsidRPr="00DF02AD">
        <w:rPr>
          <w:rFonts w:ascii="Times New Roman" w:eastAsia="Times New Roman" w:hAnsi="Times New Roman" w:cs="Times New Roman"/>
          <w:color w:val="333333"/>
          <w:sz w:val="20"/>
          <w:szCs w:val="20"/>
          <w:lang w:eastAsia="ru-RU"/>
        </w:rPr>
        <w:t>. Зокрема, цими коштами може фінансуватися: одноразова матеріальна допомога громадянам у разі посилення карантину; матеріальна допомога бізнесу для збереження робочих місць; одноразова компенсація бізнесу для сплати єдиного внеску за найманих працівників.</w:t>
      </w:r>
    </w:p>
    <w:p w14:paraId="0F977FF4"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lastRenderedPageBreak/>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32"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4214719C" w14:textId="3626498B" w:rsidR="00BD5E4D" w:rsidRDefault="00BD5E4D"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75E02240"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62B4931B" w14:textId="77777777" w:rsidR="00BD5E4D" w:rsidRPr="000869E9" w:rsidRDefault="00BD5E4D"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 xml:space="preserve">На Дніпропетровщині </w:t>
      </w:r>
      <w:proofErr w:type="spellStart"/>
      <w:r w:rsidRPr="000869E9">
        <w:rPr>
          <w:rFonts w:ascii="Times New Roman" w:eastAsia="Times New Roman" w:hAnsi="Times New Roman" w:cs="Times New Roman"/>
          <w:b/>
          <w:bCs/>
          <w:color w:val="333333"/>
          <w:kern w:val="36"/>
          <w:sz w:val="20"/>
          <w:szCs w:val="20"/>
          <w:lang w:eastAsia="ru-RU"/>
        </w:rPr>
        <w:t>оперативно</w:t>
      </w:r>
      <w:proofErr w:type="spellEnd"/>
      <w:r w:rsidRPr="000869E9">
        <w:rPr>
          <w:rFonts w:ascii="Times New Roman" w:eastAsia="Times New Roman" w:hAnsi="Times New Roman" w:cs="Times New Roman"/>
          <w:b/>
          <w:bCs/>
          <w:color w:val="333333"/>
          <w:kern w:val="36"/>
          <w:sz w:val="20"/>
          <w:szCs w:val="20"/>
          <w:lang w:eastAsia="ru-RU"/>
        </w:rPr>
        <w:t xml:space="preserve"> зупинені штучні зобов’язання на суму понад 125 млн гривень</w:t>
      </w:r>
    </w:p>
    <w:p w14:paraId="74FBEFC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В ході моніторингу фінансово – господарських операцій, по «гарячих слідах» </w:t>
      </w:r>
      <w:proofErr w:type="spellStart"/>
      <w:r w:rsidRPr="00DF02AD">
        <w:rPr>
          <w:rFonts w:ascii="Times New Roman" w:eastAsia="Times New Roman" w:hAnsi="Times New Roman" w:cs="Times New Roman"/>
          <w:color w:val="333333"/>
          <w:sz w:val="20"/>
          <w:szCs w:val="20"/>
          <w:lang w:eastAsia="ru-RU"/>
        </w:rPr>
        <w:t>зупинено</w:t>
      </w:r>
      <w:proofErr w:type="spellEnd"/>
      <w:r w:rsidRPr="00DF02AD">
        <w:rPr>
          <w:rFonts w:ascii="Times New Roman" w:eastAsia="Times New Roman" w:hAnsi="Times New Roman" w:cs="Times New Roman"/>
          <w:color w:val="333333"/>
          <w:sz w:val="20"/>
          <w:szCs w:val="20"/>
          <w:lang w:eastAsia="ru-RU"/>
        </w:rPr>
        <w:t xml:space="preserve"> розповсюдження обсягів ймовірно – фіктивних  </w:t>
      </w:r>
      <w:proofErr w:type="spellStart"/>
      <w:r w:rsidRPr="00DF02AD">
        <w:rPr>
          <w:rFonts w:ascii="Times New Roman" w:eastAsia="Times New Roman" w:hAnsi="Times New Roman" w:cs="Times New Roman"/>
          <w:color w:val="333333"/>
          <w:sz w:val="20"/>
          <w:szCs w:val="20"/>
          <w:lang w:eastAsia="ru-RU"/>
        </w:rPr>
        <w:t>псевдобудівельно</w:t>
      </w:r>
      <w:proofErr w:type="spellEnd"/>
      <w:r w:rsidRPr="00DF02AD">
        <w:rPr>
          <w:rFonts w:ascii="Times New Roman" w:eastAsia="Times New Roman" w:hAnsi="Times New Roman" w:cs="Times New Roman"/>
          <w:color w:val="333333"/>
          <w:sz w:val="20"/>
          <w:szCs w:val="20"/>
          <w:lang w:eastAsia="ru-RU"/>
        </w:rPr>
        <w:t xml:space="preserve"> – монтажних послуг на суму 125,3 млн гривень.</w:t>
      </w:r>
    </w:p>
    <w:p w14:paraId="002A3E9F"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Так, підприємство шляхом штучного маніпулювання показників податкової звітності, безпідставно збільшило суму ліміту в СЕА ПДВ за рахунок реєстрації в ЄРПН розрахунків коригування за періоди 2018 – 2019 років. Підприємство зареєструвало в ЄРПН розрахунки коригування в бік зменшення податкових зобов’язань в адресу неплатників ПДВ з номенклатурою «будівельно – монтажні послуги», що призвело до безпідставного збільшення суми податкового ліміту в СЕА ПДВ. Головним управлінням ДПС у Дніпропетровській області </w:t>
      </w:r>
      <w:proofErr w:type="spellStart"/>
      <w:r w:rsidRPr="00DF02AD">
        <w:rPr>
          <w:rFonts w:ascii="Times New Roman" w:eastAsia="Times New Roman" w:hAnsi="Times New Roman" w:cs="Times New Roman"/>
          <w:color w:val="333333"/>
          <w:sz w:val="20"/>
          <w:szCs w:val="20"/>
          <w:lang w:eastAsia="ru-RU"/>
        </w:rPr>
        <w:t>оперативно</w:t>
      </w:r>
      <w:proofErr w:type="spellEnd"/>
      <w:r w:rsidRPr="00DF02AD">
        <w:rPr>
          <w:rFonts w:ascii="Times New Roman" w:eastAsia="Times New Roman" w:hAnsi="Times New Roman" w:cs="Times New Roman"/>
          <w:color w:val="333333"/>
          <w:sz w:val="20"/>
          <w:szCs w:val="20"/>
          <w:lang w:eastAsia="ru-RU"/>
        </w:rPr>
        <w:t xml:space="preserve"> включено підприємство до переліку ризикових платників, чим упереджено розповсюдження штучних зобов’язань на суму 125,3 млн. гривень.</w:t>
      </w:r>
    </w:p>
    <w:p w14:paraId="6FB11C8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Головним управлінням ДПС у Дніпропетровській області </w:t>
      </w:r>
      <w:proofErr w:type="spellStart"/>
      <w:r w:rsidRPr="00DF02AD">
        <w:rPr>
          <w:rFonts w:ascii="Times New Roman" w:eastAsia="Times New Roman" w:hAnsi="Times New Roman" w:cs="Times New Roman"/>
          <w:color w:val="333333"/>
          <w:sz w:val="20"/>
          <w:szCs w:val="20"/>
          <w:lang w:eastAsia="ru-RU"/>
        </w:rPr>
        <w:t>оперативно</w:t>
      </w:r>
      <w:proofErr w:type="spellEnd"/>
      <w:r w:rsidRPr="00DF02AD">
        <w:rPr>
          <w:rFonts w:ascii="Times New Roman" w:eastAsia="Times New Roman" w:hAnsi="Times New Roman" w:cs="Times New Roman"/>
          <w:color w:val="333333"/>
          <w:sz w:val="20"/>
          <w:szCs w:val="20"/>
          <w:lang w:eastAsia="ru-RU"/>
        </w:rPr>
        <w:t xml:space="preserve"> здійснено низку невідкладних заходів:</w:t>
      </w:r>
    </w:p>
    <w:p w14:paraId="78A01473"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суб’єкт господарювання включено до переліку ризикових платників;</w:t>
      </w:r>
    </w:p>
    <w:p w14:paraId="303D6ADA"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повідомлено Головне управління Національної поліції у Дніпропетровській області з метою визначення причетних до протиправних дій осіб;</w:t>
      </w:r>
    </w:p>
    <w:p w14:paraId="3F38F667"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повідомлено органи юстиції щодо вірогідного факту компрометації особистих електронних ключів.</w:t>
      </w:r>
    </w:p>
    <w:p w14:paraId="075192A8" w14:textId="6997AD5B" w:rsidR="00BD5E4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Матеріали аналітичного дослідження направлені до правоохоронних органів для розгляду питання стосовно відкриття кримінального провадження за статтями 364 та 366 КК України.</w:t>
      </w:r>
    </w:p>
    <w:p w14:paraId="7AE2772A" w14:textId="77777777" w:rsidR="000869E9" w:rsidRPr="000869E9"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695A619A" w14:textId="77777777" w:rsidR="00BD5E4D" w:rsidRPr="000869E9" w:rsidRDefault="00BD5E4D"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0869E9">
        <w:rPr>
          <w:rFonts w:ascii="Times New Roman" w:eastAsia="Times New Roman" w:hAnsi="Times New Roman" w:cs="Times New Roman"/>
          <w:b/>
          <w:bCs/>
          <w:color w:val="333333"/>
          <w:kern w:val="36"/>
          <w:sz w:val="20"/>
          <w:szCs w:val="20"/>
          <w:lang w:eastAsia="ru-RU"/>
        </w:rPr>
        <w:t>Перехід із загальної системи оподаткування на спрощену без сплати ПДВ: термін подання заяви за формою № 3-ПДВ</w:t>
      </w:r>
    </w:p>
    <w:p w14:paraId="216B7F7B" w14:textId="75885CC1" w:rsidR="00BD5E4D" w:rsidRPr="00DF02AD" w:rsidRDefault="002B740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2B7408">
        <w:rPr>
          <w:rFonts w:ascii="Times New Roman" w:eastAsia="Times New Roman" w:hAnsi="Times New Roman" w:cs="Times New Roman"/>
          <w:color w:val="333333"/>
          <w:sz w:val="20"/>
          <w:szCs w:val="20"/>
          <w:lang w:eastAsia="ru-RU"/>
        </w:rPr>
        <w:t>З</w:t>
      </w:r>
      <w:r w:rsidR="00BD5E4D" w:rsidRPr="00DF02AD">
        <w:rPr>
          <w:rFonts w:ascii="Times New Roman" w:eastAsia="Times New Roman" w:hAnsi="Times New Roman" w:cs="Times New Roman"/>
          <w:color w:val="333333"/>
          <w:sz w:val="20"/>
          <w:szCs w:val="20"/>
          <w:lang w:eastAsia="ru-RU"/>
        </w:rPr>
        <w:t xml:space="preserve">гідно із </w:t>
      </w:r>
      <w:proofErr w:type="spellStart"/>
      <w:r w:rsidR="00BD5E4D" w:rsidRPr="00DF02AD">
        <w:rPr>
          <w:rFonts w:ascii="Times New Roman" w:eastAsia="Times New Roman" w:hAnsi="Times New Roman" w:cs="Times New Roman"/>
          <w:color w:val="333333"/>
          <w:sz w:val="20"/>
          <w:szCs w:val="20"/>
          <w:lang w:eastAsia="ru-RU"/>
        </w:rPr>
        <w:t>п.п</w:t>
      </w:r>
      <w:proofErr w:type="spellEnd"/>
      <w:r w:rsidR="00BD5E4D" w:rsidRPr="00DF02AD">
        <w:rPr>
          <w:rFonts w:ascii="Times New Roman" w:eastAsia="Times New Roman" w:hAnsi="Times New Roman" w:cs="Times New Roman"/>
          <w:color w:val="333333"/>
          <w:sz w:val="20"/>
          <w:szCs w:val="20"/>
          <w:lang w:eastAsia="ru-RU"/>
        </w:rPr>
        <w:t xml:space="preserve">. «в» п. 184.1 ст. 184 Податкового кодексу України (далі – ПКУ) та </w:t>
      </w:r>
      <w:proofErr w:type="spellStart"/>
      <w:r w:rsidR="00BD5E4D" w:rsidRPr="00DF02AD">
        <w:rPr>
          <w:rFonts w:ascii="Times New Roman" w:eastAsia="Times New Roman" w:hAnsi="Times New Roman" w:cs="Times New Roman"/>
          <w:color w:val="333333"/>
          <w:sz w:val="20"/>
          <w:szCs w:val="20"/>
          <w:lang w:eastAsia="ru-RU"/>
        </w:rPr>
        <w:t>п.п</w:t>
      </w:r>
      <w:proofErr w:type="spellEnd"/>
      <w:r w:rsidR="00BD5E4D" w:rsidRPr="00DF02AD">
        <w:rPr>
          <w:rFonts w:ascii="Times New Roman" w:eastAsia="Times New Roman" w:hAnsi="Times New Roman" w:cs="Times New Roman"/>
          <w:color w:val="333333"/>
          <w:sz w:val="20"/>
          <w:szCs w:val="20"/>
          <w:lang w:eastAsia="ru-RU"/>
        </w:rPr>
        <w:t>. «в»   п. 5.1 розділу Положення про реєстрацію платників податку на додану вартість, затвердженого наказом Міністерства фінансів України від 14.11.2014 № 1130, який зареєстровано в Міністерстві юстиції України 17.11.2014 за № 1456/26233 із змінами (далі – Положення № 1130), реєстрація діє до дати анулювання реєстрації платника ПДВ, яка проводиться шляхом виключення з реєстру платників ПДВ (далі – Реєстр) і відбувається у разі якщо, будь-яка особа, зареєстрована як платник податку, реєструється як платник єдиного податку, умова сплати якого не передбачає сплати ПДВ.</w:t>
      </w:r>
    </w:p>
    <w:p w14:paraId="3406566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Підпунктом 298.1.4 п. 298.1 ст. 298 ПКУ визначено, що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w:t>
      </w:r>
    </w:p>
    <w:p w14:paraId="722D29D2"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За умови дотримання платником єдиного податку вимог, встановлених ПКУ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заяви до контролюючого органу не пізніше ніж за 15 календарних днів до початку наступного кварталу. При цьому у платника єдиного податку третьої групи, який є платником ПДВ, анулюється реєстрація ПДВ у порядку, встановленому ПКУ, у разі обрання ним першої або другої групи чи ставки єдиного податку, встановленої для третьої групи, яка включає ПДВ до складу єдиного податку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298.1.5 п. 298.1 ст. 298 ПКУ).</w:t>
      </w:r>
    </w:p>
    <w:p w14:paraId="49AA41EB"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Відповідно до п. 5.3 розділу V Положення № 1130 для анулювання реєстрації платник ПДВ подає до контролюючого органу за місцем перебування на обліку заяву про анулювання реєстрації платника ПДВ за формою № 3-ПДВ. Платники ПДВ, які уклали з відповідним контролюючим органом договір про визнання електронних документів, можуть подати заяву за формою № 3-ПДВ засобами електронного зв’язку в електронній формі з дотриманням умови щодо реєстрації кваліфікованого електронного підпису підзвітних осіб у порядку, визначеному законодавством.</w:t>
      </w:r>
    </w:p>
    <w:p w14:paraId="23AFAC1D"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Рішення про анулювання реєстрації за заявою платника ПДВ приймається контролюючим органом протягом 10 календарних днів.</w:t>
      </w:r>
    </w:p>
    <w:p w14:paraId="256AA2E9"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Для зручності платники ПДВ, які відповідно до норм ПКУ прийняли рішення про перехід на спрощену систему оподаткування із ставкою, яка не передбачає сплату ПДВ можуть подати заяву про анулювання реєстрації платника ПДВ одночасно із заявою про застосування спрощеної системи оподаткування.</w:t>
      </w:r>
    </w:p>
    <w:p w14:paraId="06F89E56"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Згідно із п. 5.4 розділу V Положення № 1130 якщо на підставі заяви суб’єкта господарювання, який зареєстрований платником ПДВ, контролюючим органом прийнято рішення про те, що особа з певного звітного періоду переходить на спрощену систему оподаткування, обліку та звітності із застосуванням ставки єдиного податку, що не передбачає сплату ПДВ, то після внесення відповідного запису до реєстру платників єдиного податку проводиться виключення контролюючим органом такого суб’єкта з Реєстру на підставі поданої ним заяви про анулювання реєстрації згідно з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«в» п. 184.1 ст. 184 ПКУ останнім днем звітного періоду, що передує переходу платника податків на обрані ним умови сплати єдиного податку при застосуванні спрощеної системи оподаткування, обліку та звітності. Контролюючий орган виключає суб’єкта господарювання з Реєстру без подачі таким суб’єктом заяви про анулювання реєстрації у разі, якщо у заяві про застосування спрощеної системи оподаткування таким суб’єктом зроблено відповідну позначку.</w:t>
      </w:r>
    </w:p>
    <w:p w14:paraId="0ADF0CFB"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33"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2A01B474" w14:textId="0B5B5339" w:rsidR="00BD5E4D" w:rsidRDefault="00BD5E4D"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594D45B9" w14:textId="77777777" w:rsidR="002B7408" w:rsidRPr="00DF02AD" w:rsidRDefault="002B7408"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p w14:paraId="5FDDCF30" w14:textId="77777777" w:rsidR="00BD5E4D" w:rsidRPr="002B7408" w:rsidRDefault="00BD5E4D" w:rsidP="003F1829">
      <w:pPr>
        <w:shd w:val="clear" w:color="auto" w:fill="FFFFFF"/>
        <w:spacing w:after="0" w:line="240" w:lineRule="auto"/>
        <w:outlineLvl w:val="0"/>
        <w:rPr>
          <w:rFonts w:ascii="Times New Roman" w:eastAsia="Times New Roman" w:hAnsi="Times New Roman" w:cs="Times New Roman"/>
          <w:b/>
          <w:bCs/>
          <w:color w:val="333333"/>
          <w:kern w:val="36"/>
          <w:sz w:val="20"/>
          <w:szCs w:val="20"/>
          <w:lang w:eastAsia="ru-RU"/>
        </w:rPr>
      </w:pPr>
      <w:r w:rsidRPr="002B7408">
        <w:rPr>
          <w:rFonts w:ascii="Times New Roman" w:eastAsia="Times New Roman" w:hAnsi="Times New Roman" w:cs="Times New Roman"/>
          <w:b/>
          <w:bCs/>
          <w:color w:val="333333"/>
          <w:kern w:val="36"/>
          <w:sz w:val="20"/>
          <w:szCs w:val="20"/>
          <w:lang w:eastAsia="ru-RU"/>
        </w:rPr>
        <w:t>Приватний нотаріус не може включити до складу витрат суму страхових внесків, сплачених на користь працівників за договорами недержавного пенсійного забезпечення</w:t>
      </w:r>
    </w:p>
    <w:p w14:paraId="673D6A73" w14:textId="47D0EB5A" w:rsidR="00BD5E4D"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Pr>
          <w:rFonts w:ascii="Times New Roman" w:eastAsia="Times New Roman" w:hAnsi="Times New Roman" w:cs="Times New Roman"/>
          <w:color w:val="333333"/>
          <w:sz w:val="20"/>
          <w:szCs w:val="20"/>
          <w:lang w:eastAsia="ru-RU"/>
        </w:rPr>
        <w:t>З</w:t>
      </w:r>
      <w:r w:rsidR="00BD5E4D" w:rsidRPr="00DF02AD">
        <w:rPr>
          <w:rFonts w:ascii="Times New Roman" w:eastAsia="Times New Roman" w:hAnsi="Times New Roman" w:cs="Times New Roman"/>
          <w:color w:val="333333"/>
          <w:sz w:val="20"/>
          <w:szCs w:val="20"/>
          <w:lang w:eastAsia="ru-RU"/>
        </w:rPr>
        <w:t>вертає</w:t>
      </w:r>
      <w:r>
        <w:rPr>
          <w:rFonts w:ascii="Times New Roman" w:eastAsia="Times New Roman" w:hAnsi="Times New Roman" w:cs="Times New Roman"/>
          <w:color w:val="333333"/>
          <w:sz w:val="20"/>
          <w:szCs w:val="20"/>
          <w:lang w:eastAsia="ru-RU"/>
        </w:rPr>
        <w:t>мо</w:t>
      </w:r>
      <w:r w:rsidR="00BD5E4D" w:rsidRPr="00DF02AD">
        <w:rPr>
          <w:rFonts w:ascii="Times New Roman" w:eastAsia="Times New Roman" w:hAnsi="Times New Roman" w:cs="Times New Roman"/>
          <w:color w:val="333333"/>
          <w:sz w:val="20"/>
          <w:szCs w:val="20"/>
          <w:lang w:eastAsia="ru-RU"/>
        </w:rPr>
        <w:t xml:space="preserve"> увагу, що оподаткування доходів, отриманих фізичною особою, яка провадить незалежну професійну діяльність, регламентується ст. 178 Податкового кодексу України від (далі – ПКУ).</w:t>
      </w:r>
    </w:p>
    <w:p w14:paraId="3A29A22F"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Оподатковуваним доходом таких осіб вважається сукупний чистий дохід, тобто різниця між доходом і документально підтвердженими витратами, необхідними для провадження певного виду незалежної професійної діяльності. 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 (п. 178.3 ст. 178 ПКУ).</w:t>
      </w:r>
    </w:p>
    <w:p w14:paraId="6A3FA7D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ПКУ не передбачено будь-якого переліку витрат для фізичних осіб, які здійснюють незалежну діяльність.</w:t>
      </w:r>
    </w:p>
    <w:p w14:paraId="27169084"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lastRenderedPageBreak/>
        <w:t>Однак, при визначенні сукупного чистого доходу приватного нотаріуса враховуються витрати наведені в Узагальнюючій податковій консультації щодо деяких питань оподаткування фізичних осіб, які провадять незалежну професійну діяльність (приватних нотаріусів, адвокатів), затвердженій наказом ДПС України від 24.12.2012 № 1185 (далі – Наказ № 1185), та в Узагальнюючій податковій консультації щодо витрат приватного нотаріуса, затвердженій наказом Міністерства доходів України від 30.12.2013 № 884 (далі – Наказ № 884).</w:t>
      </w:r>
    </w:p>
    <w:p w14:paraId="27B2CE47"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Так, Наказом № 1185 визначено, що до витрат приватного нотаріуса можуть бути віднесені, зокрема, сплата внесків до Пенсійного фонду України, у тому числі на користь найманих працівників, та фондів загальнообов’язкового державного соціального страхування. Страхові внески, сплачені приватним нотаріусом на користь найманих працівників за договорами недержавного пенсійного забезпечення у вказаному переліку витрат відсутні.</w:t>
      </w:r>
    </w:p>
    <w:p w14:paraId="11A047B9"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Отже, приватний нотаріус не має права включити до складу витрат сплату за свій рахунок страхових внесків на користь найманих працівників за договорами недержавного пенсійного забезпечення.</w:t>
      </w:r>
    </w:p>
    <w:p w14:paraId="4CEC3416"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color w:val="333333"/>
          <w:sz w:val="20"/>
          <w:szCs w:val="20"/>
          <w:lang w:eastAsia="ru-RU"/>
        </w:rPr>
        <w:t xml:space="preserve">Слід зазначити, що суми страхових внесків за договорами недержавного пенсійного забезпечення, сплачені роботодавцем, оподатковуються відповідно до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xml:space="preserve">. «в» </w:t>
      </w:r>
      <w:proofErr w:type="spellStart"/>
      <w:r w:rsidRPr="00DF02AD">
        <w:rPr>
          <w:rFonts w:ascii="Times New Roman" w:eastAsia="Times New Roman" w:hAnsi="Times New Roman" w:cs="Times New Roman"/>
          <w:color w:val="333333"/>
          <w:sz w:val="20"/>
          <w:szCs w:val="20"/>
          <w:lang w:eastAsia="ru-RU"/>
        </w:rPr>
        <w:t>п.п</w:t>
      </w:r>
      <w:proofErr w:type="spellEnd"/>
      <w:r w:rsidRPr="00DF02AD">
        <w:rPr>
          <w:rFonts w:ascii="Times New Roman" w:eastAsia="Times New Roman" w:hAnsi="Times New Roman" w:cs="Times New Roman"/>
          <w:color w:val="333333"/>
          <w:sz w:val="20"/>
          <w:szCs w:val="20"/>
          <w:lang w:eastAsia="ru-RU"/>
        </w:rPr>
        <w:t>. 164.2.16 п. 164.2 ст. 164 ПКУ.</w:t>
      </w:r>
    </w:p>
    <w:p w14:paraId="1C970C75" w14:textId="77777777" w:rsidR="00BD5E4D" w:rsidRPr="00DF02AD" w:rsidRDefault="00BD5E4D"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r w:rsidRPr="00DF02AD">
        <w:rPr>
          <w:rFonts w:ascii="Times New Roman" w:eastAsia="Times New Roman" w:hAnsi="Times New Roman" w:cs="Times New Roman"/>
          <w:i/>
          <w:iCs/>
          <w:color w:val="333333"/>
          <w:sz w:val="20"/>
          <w:szCs w:val="20"/>
          <w:lang w:eastAsia="ru-RU"/>
        </w:rPr>
        <w:t xml:space="preserve">Підписуйтесь на </w:t>
      </w:r>
      <w:proofErr w:type="spellStart"/>
      <w:r w:rsidRPr="00DF02AD">
        <w:rPr>
          <w:rFonts w:ascii="Times New Roman" w:eastAsia="Times New Roman" w:hAnsi="Times New Roman" w:cs="Times New Roman"/>
          <w:i/>
          <w:iCs/>
          <w:color w:val="333333"/>
          <w:sz w:val="20"/>
          <w:szCs w:val="20"/>
          <w:lang w:eastAsia="ru-RU"/>
        </w:rPr>
        <w:t>Telegram</w:t>
      </w:r>
      <w:proofErr w:type="spellEnd"/>
      <w:r w:rsidRPr="00DF02AD">
        <w:rPr>
          <w:rFonts w:ascii="Times New Roman" w:eastAsia="Times New Roman" w:hAnsi="Times New Roman" w:cs="Times New Roman"/>
          <w:i/>
          <w:iCs/>
          <w:color w:val="333333"/>
          <w:sz w:val="20"/>
          <w:szCs w:val="20"/>
          <w:lang w:eastAsia="ru-RU"/>
        </w:rPr>
        <w:t>-канал Державної податкової служби України</w:t>
      </w:r>
      <w:r w:rsidRPr="00DF02AD">
        <w:rPr>
          <w:rFonts w:ascii="Times New Roman" w:eastAsia="Times New Roman" w:hAnsi="Times New Roman" w:cs="Times New Roman"/>
          <w:color w:val="333333"/>
          <w:sz w:val="20"/>
          <w:szCs w:val="20"/>
          <w:lang w:eastAsia="ru-RU"/>
        </w:rPr>
        <w:t> </w:t>
      </w:r>
      <w:hyperlink r:id="rId34" w:tgtFrame="_blank" w:history="1">
        <w:r w:rsidRPr="00DF02AD">
          <w:rPr>
            <w:rFonts w:ascii="Times New Roman" w:eastAsia="Times New Roman" w:hAnsi="Times New Roman" w:cs="Times New Roman"/>
            <w:color w:val="00518C"/>
            <w:sz w:val="20"/>
            <w:szCs w:val="20"/>
            <w:u w:val="single"/>
            <w:lang w:eastAsia="ru-RU"/>
          </w:rPr>
          <w:t>https://t.me/tax_gov_ua</w:t>
        </w:r>
      </w:hyperlink>
    </w:p>
    <w:p w14:paraId="69C59D86" w14:textId="5D0270CE" w:rsidR="00BD5E4D" w:rsidRDefault="00BD5E4D" w:rsidP="003F1829">
      <w:pPr>
        <w:shd w:val="clear" w:color="auto" w:fill="FFFFFF"/>
        <w:spacing w:after="0" w:line="240" w:lineRule="auto"/>
        <w:jc w:val="both"/>
        <w:rPr>
          <w:rFonts w:ascii="Times New Roman" w:eastAsia="Times New Roman" w:hAnsi="Times New Roman" w:cs="Times New Roman"/>
          <w:i/>
          <w:iCs/>
          <w:color w:val="333333"/>
          <w:sz w:val="20"/>
          <w:szCs w:val="20"/>
          <w:lang w:eastAsia="ru-RU"/>
        </w:rPr>
      </w:pPr>
      <w:r w:rsidRPr="00DF02AD">
        <w:rPr>
          <w:rFonts w:ascii="Times New Roman" w:eastAsia="Times New Roman" w:hAnsi="Times New Roman" w:cs="Times New Roman"/>
          <w:i/>
          <w:iCs/>
          <w:color w:val="333333"/>
          <w:sz w:val="20"/>
          <w:szCs w:val="20"/>
          <w:lang w:eastAsia="ru-RU"/>
        </w:rPr>
        <w:t>Спілкуйся з Податковою службою дистанційно за допомогою сервісу «</w:t>
      </w:r>
      <w:proofErr w:type="spellStart"/>
      <w:r w:rsidRPr="00DF02AD">
        <w:rPr>
          <w:rFonts w:ascii="Times New Roman" w:eastAsia="Times New Roman" w:hAnsi="Times New Roman" w:cs="Times New Roman"/>
          <w:i/>
          <w:iCs/>
          <w:color w:val="333333"/>
          <w:sz w:val="20"/>
          <w:szCs w:val="20"/>
          <w:lang w:eastAsia="ru-RU"/>
        </w:rPr>
        <w:fldChar w:fldCharType="begin"/>
      </w:r>
      <w:r w:rsidRPr="00DF02AD">
        <w:rPr>
          <w:rFonts w:ascii="Times New Roman" w:eastAsia="Times New Roman" w:hAnsi="Times New Roman" w:cs="Times New Roman"/>
          <w:i/>
          <w:iCs/>
          <w:color w:val="333333"/>
          <w:sz w:val="20"/>
          <w:szCs w:val="20"/>
          <w:lang w:eastAsia="ru-RU"/>
        </w:rPr>
        <w:instrText xml:space="preserve"> HYPERLINK "https://t.me/infoTAXbot" \t "_blank" </w:instrText>
      </w:r>
      <w:r w:rsidRPr="00DF02AD">
        <w:rPr>
          <w:rFonts w:ascii="Times New Roman" w:eastAsia="Times New Roman" w:hAnsi="Times New Roman" w:cs="Times New Roman"/>
          <w:i/>
          <w:iCs/>
          <w:color w:val="333333"/>
          <w:sz w:val="20"/>
          <w:szCs w:val="20"/>
          <w:lang w:eastAsia="ru-RU"/>
        </w:rPr>
        <w:fldChar w:fldCharType="separate"/>
      </w:r>
      <w:r w:rsidRPr="00DF02AD">
        <w:rPr>
          <w:rFonts w:ascii="Times New Roman" w:eastAsia="Times New Roman" w:hAnsi="Times New Roman" w:cs="Times New Roman"/>
          <w:i/>
          <w:iCs/>
          <w:color w:val="00518C"/>
          <w:sz w:val="20"/>
          <w:szCs w:val="20"/>
          <w:u w:val="single"/>
          <w:lang w:eastAsia="ru-RU"/>
        </w:rPr>
        <w:t>InfoTAX</w:t>
      </w:r>
      <w:proofErr w:type="spellEnd"/>
      <w:r w:rsidRPr="00DF02AD">
        <w:rPr>
          <w:rFonts w:ascii="Times New Roman" w:eastAsia="Times New Roman" w:hAnsi="Times New Roman" w:cs="Times New Roman"/>
          <w:i/>
          <w:iCs/>
          <w:color w:val="333333"/>
          <w:sz w:val="20"/>
          <w:szCs w:val="20"/>
          <w:lang w:eastAsia="ru-RU"/>
        </w:rPr>
        <w:fldChar w:fldCharType="end"/>
      </w:r>
      <w:r w:rsidRPr="00DF02AD">
        <w:rPr>
          <w:rFonts w:ascii="Times New Roman" w:eastAsia="Times New Roman" w:hAnsi="Times New Roman" w:cs="Times New Roman"/>
          <w:i/>
          <w:iCs/>
          <w:color w:val="333333"/>
          <w:sz w:val="20"/>
          <w:szCs w:val="20"/>
          <w:lang w:eastAsia="ru-RU"/>
        </w:rPr>
        <w:t>»</w:t>
      </w:r>
    </w:p>
    <w:p w14:paraId="1EEE5517" w14:textId="77777777" w:rsidR="000869E9" w:rsidRPr="00DF02AD" w:rsidRDefault="000869E9" w:rsidP="003F1829">
      <w:pPr>
        <w:shd w:val="clear" w:color="auto" w:fill="FFFFFF"/>
        <w:spacing w:after="0" w:line="240" w:lineRule="auto"/>
        <w:jc w:val="both"/>
        <w:rPr>
          <w:rFonts w:ascii="Times New Roman" w:eastAsia="Times New Roman" w:hAnsi="Times New Roman" w:cs="Times New Roman"/>
          <w:color w:val="333333"/>
          <w:sz w:val="20"/>
          <w:szCs w:val="20"/>
          <w:lang w:eastAsia="ru-RU"/>
        </w:rPr>
      </w:pPr>
    </w:p>
    <w:sectPr w:rsidR="000869E9" w:rsidRPr="00DF02AD" w:rsidSect="003F1829">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E05391"/>
    <w:multiLevelType w:val="multilevel"/>
    <w:tmpl w:val="5066C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6B0"/>
    <w:rsid w:val="000869E9"/>
    <w:rsid w:val="001A66B0"/>
    <w:rsid w:val="001B7878"/>
    <w:rsid w:val="0025100A"/>
    <w:rsid w:val="002B7408"/>
    <w:rsid w:val="003F1829"/>
    <w:rsid w:val="004F7FA2"/>
    <w:rsid w:val="00644050"/>
    <w:rsid w:val="006E3DB0"/>
    <w:rsid w:val="00BD5E4D"/>
    <w:rsid w:val="00CC6508"/>
    <w:rsid w:val="00DF02AD"/>
    <w:rsid w:val="00F438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86CB"/>
  <w15:chartTrackingRefBased/>
  <w15:docId w15:val="{89EB64CA-67D5-4D64-B9C7-0BB5481D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link w:val="10"/>
    <w:uiPriority w:val="9"/>
    <w:qFormat/>
    <w:rsid w:val="001A66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66B0"/>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1A66B0"/>
    <w:rPr>
      <w:color w:val="0000FF"/>
      <w:u w:val="single"/>
    </w:rPr>
  </w:style>
  <w:style w:type="paragraph" w:styleId="a4">
    <w:name w:val="Normal (Web)"/>
    <w:basedOn w:val="a"/>
    <w:uiPriority w:val="99"/>
    <w:semiHidden/>
    <w:unhideWhenUsed/>
    <w:rsid w:val="001A66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1A66B0"/>
    <w:rPr>
      <w:i/>
      <w:iCs/>
    </w:rPr>
  </w:style>
  <w:style w:type="character" w:styleId="a6">
    <w:name w:val="Strong"/>
    <w:basedOn w:val="a0"/>
    <w:uiPriority w:val="22"/>
    <w:qFormat/>
    <w:rsid w:val="001A66B0"/>
    <w:rPr>
      <w:b/>
      <w:bCs/>
    </w:rPr>
  </w:style>
  <w:style w:type="paragraph" w:customStyle="1" w:styleId="rvps2">
    <w:name w:val="rvps2"/>
    <w:basedOn w:val="a"/>
    <w:rsid w:val="00BD5E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BD5E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Unresolved Mention"/>
    <w:basedOn w:val="a0"/>
    <w:uiPriority w:val="99"/>
    <w:semiHidden/>
    <w:unhideWhenUsed/>
    <w:rsid w:val="006E3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826541">
      <w:bodyDiv w:val="1"/>
      <w:marLeft w:val="0"/>
      <w:marRight w:val="0"/>
      <w:marTop w:val="0"/>
      <w:marBottom w:val="0"/>
      <w:divBdr>
        <w:top w:val="none" w:sz="0" w:space="0" w:color="auto"/>
        <w:left w:val="none" w:sz="0" w:space="0" w:color="auto"/>
        <w:bottom w:val="none" w:sz="0" w:space="0" w:color="auto"/>
        <w:right w:val="none" w:sz="0" w:space="0" w:color="auto"/>
      </w:divBdr>
      <w:divsChild>
        <w:div w:id="395127501">
          <w:marLeft w:val="0"/>
          <w:marRight w:val="0"/>
          <w:marTop w:val="0"/>
          <w:marBottom w:val="75"/>
          <w:divBdr>
            <w:top w:val="none" w:sz="0" w:space="0" w:color="auto"/>
            <w:left w:val="none" w:sz="0" w:space="0" w:color="auto"/>
            <w:bottom w:val="none" w:sz="0" w:space="0" w:color="auto"/>
            <w:right w:val="none" w:sz="0" w:space="0" w:color="auto"/>
          </w:divBdr>
          <w:divsChild>
            <w:div w:id="181687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253322">
      <w:bodyDiv w:val="1"/>
      <w:marLeft w:val="0"/>
      <w:marRight w:val="0"/>
      <w:marTop w:val="0"/>
      <w:marBottom w:val="0"/>
      <w:divBdr>
        <w:top w:val="none" w:sz="0" w:space="0" w:color="auto"/>
        <w:left w:val="none" w:sz="0" w:space="0" w:color="auto"/>
        <w:bottom w:val="none" w:sz="0" w:space="0" w:color="auto"/>
        <w:right w:val="none" w:sz="0" w:space="0" w:color="auto"/>
      </w:divBdr>
      <w:divsChild>
        <w:div w:id="157311704">
          <w:marLeft w:val="0"/>
          <w:marRight w:val="0"/>
          <w:marTop w:val="0"/>
          <w:marBottom w:val="75"/>
          <w:divBdr>
            <w:top w:val="none" w:sz="0" w:space="0" w:color="auto"/>
            <w:left w:val="none" w:sz="0" w:space="0" w:color="auto"/>
            <w:bottom w:val="none" w:sz="0" w:space="0" w:color="auto"/>
            <w:right w:val="none" w:sz="0" w:space="0" w:color="auto"/>
          </w:divBdr>
          <w:divsChild>
            <w:div w:id="100292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496793">
      <w:bodyDiv w:val="1"/>
      <w:marLeft w:val="0"/>
      <w:marRight w:val="0"/>
      <w:marTop w:val="0"/>
      <w:marBottom w:val="0"/>
      <w:divBdr>
        <w:top w:val="none" w:sz="0" w:space="0" w:color="auto"/>
        <w:left w:val="none" w:sz="0" w:space="0" w:color="auto"/>
        <w:bottom w:val="none" w:sz="0" w:space="0" w:color="auto"/>
        <w:right w:val="none" w:sz="0" w:space="0" w:color="auto"/>
      </w:divBdr>
      <w:divsChild>
        <w:div w:id="490678168">
          <w:marLeft w:val="0"/>
          <w:marRight w:val="0"/>
          <w:marTop w:val="0"/>
          <w:marBottom w:val="75"/>
          <w:divBdr>
            <w:top w:val="none" w:sz="0" w:space="0" w:color="auto"/>
            <w:left w:val="none" w:sz="0" w:space="0" w:color="auto"/>
            <w:bottom w:val="none" w:sz="0" w:space="0" w:color="auto"/>
            <w:right w:val="none" w:sz="0" w:space="0" w:color="auto"/>
          </w:divBdr>
          <w:divsChild>
            <w:div w:id="189990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14559">
      <w:bodyDiv w:val="1"/>
      <w:marLeft w:val="0"/>
      <w:marRight w:val="0"/>
      <w:marTop w:val="0"/>
      <w:marBottom w:val="0"/>
      <w:divBdr>
        <w:top w:val="none" w:sz="0" w:space="0" w:color="auto"/>
        <w:left w:val="none" w:sz="0" w:space="0" w:color="auto"/>
        <w:bottom w:val="none" w:sz="0" w:space="0" w:color="auto"/>
        <w:right w:val="none" w:sz="0" w:space="0" w:color="auto"/>
      </w:divBdr>
      <w:divsChild>
        <w:div w:id="2143106899">
          <w:marLeft w:val="0"/>
          <w:marRight w:val="0"/>
          <w:marTop w:val="0"/>
          <w:marBottom w:val="75"/>
          <w:divBdr>
            <w:top w:val="none" w:sz="0" w:space="0" w:color="auto"/>
            <w:left w:val="none" w:sz="0" w:space="0" w:color="auto"/>
            <w:bottom w:val="none" w:sz="0" w:space="0" w:color="auto"/>
            <w:right w:val="none" w:sz="0" w:space="0" w:color="auto"/>
          </w:divBdr>
          <w:divsChild>
            <w:div w:id="98227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81618">
      <w:bodyDiv w:val="1"/>
      <w:marLeft w:val="0"/>
      <w:marRight w:val="0"/>
      <w:marTop w:val="0"/>
      <w:marBottom w:val="0"/>
      <w:divBdr>
        <w:top w:val="none" w:sz="0" w:space="0" w:color="auto"/>
        <w:left w:val="none" w:sz="0" w:space="0" w:color="auto"/>
        <w:bottom w:val="none" w:sz="0" w:space="0" w:color="auto"/>
        <w:right w:val="none" w:sz="0" w:space="0" w:color="auto"/>
      </w:divBdr>
      <w:divsChild>
        <w:div w:id="729499977">
          <w:marLeft w:val="0"/>
          <w:marRight w:val="0"/>
          <w:marTop w:val="0"/>
          <w:marBottom w:val="75"/>
          <w:divBdr>
            <w:top w:val="none" w:sz="0" w:space="0" w:color="auto"/>
            <w:left w:val="none" w:sz="0" w:space="0" w:color="auto"/>
            <w:bottom w:val="none" w:sz="0" w:space="0" w:color="auto"/>
            <w:right w:val="none" w:sz="0" w:space="0" w:color="auto"/>
          </w:divBdr>
          <w:divsChild>
            <w:div w:id="103265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19958">
      <w:bodyDiv w:val="1"/>
      <w:marLeft w:val="0"/>
      <w:marRight w:val="0"/>
      <w:marTop w:val="0"/>
      <w:marBottom w:val="0"/>
      <w:divBdr>
        <w:top w:val="none" w:sz="0" w:space="0" w:color="auto"/>
        <w:left w:val="none" w:sz="0" w:space="0" w:color="auto"/>
        <w:bottom w:val="none" w:sz="0" w:space="0" w:color="auto"/>
        <w:right w:val="none" w:sz="0" w:space="0" w:color="auto"/>
      </w:divBdr>
      <w:divsChild>
        <w:div w:id="1004937269">
          <w:marLeft w:val="0"/>
          <w:marRight w:val="0"/>
          <w:marTop w:val="0"/>
          <w:marBottom w:val="75"/>
          <w:divBdr>
            <w:top w:val="none" w:sz="0" w:space="0" w:color="auto"/>
            <w:left w:val="none" w:sz="0" w:space="0" w:color="auto"/>
            <w:bottom w:val="none" w:sz="0" w:space="0" w:color="auto"/>
            <w:right w:val="none" w:sz="0" w:space="0" w:color="auto"/>
          </w:divBdr>
          <w:divsChild>
            <w:div w:id="34559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421409">
      <w:bodyDiv w:val="1"/>
      <w:marLeft w:val="0"/>
      <w:marRight w:val="0"/>
      <w:marTop w:val="0"/>
      <w:marBottom w:val="0"/>
      <w:divBdr>
        <w:top w:val="none" w:sz="0" w:space="0" w:color="auto"/>
        <w:left w:val="none" w:sz="0" w:space="0" w:color="auto"/>
        <w:bottom w:val="none" w:sz="0" w:space="0" w:color="auto"/>
        <w:right w:val="none" w:sz="0" w:space="0" w:color="auto"/>
      </w:divBdr>
      <w:divsChild>
        <w:div w:id="1169978814">
          <w:marLeft w:val="0"/>
          <w:marRight w:val="0"/>
          <w:marTop w:val="0"/>
          <w:marBottom w:val="75"/>
          <w:divBdr>
            <w:top w:val="none" w:sz="0" w:space="0" w:color="auto"/>
            <w:left w:val="none" w:sz="0" w:space="0" w:color="auto"/>
            <w:bottom w:val="none" w:sz="0" w:space="0" w:color="auto"/>
            <w:right w:val="none" w:sz="0" w:space="0" w:color="auto"/>
          </w:divBdr>
          <w:divsChild>
            <w:div w:id="17847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164378">
      <w:bodyDiv w:val="1"/>
      <w:marLeft w:val="0"/>
      <w:marRight w:val="0"/>
      <w:marTop w:val="0"/>
      <w:marBottom w:val="0"/>
      <w:divBdr>
        <w:top w:val="none" w:sz="0" w:space="0" w:color="auto"/>
        <w:left w:val="none" w:sz="0" w:space="0" w:color="auto"/>
        <w:bottom w:val="none" w:sz="0" w:space="0" w:color="auto"/>
        <w:right w:val="none" w:sz="0" w:space="0" w:color="auto"/>
      </w:divBdr>
      <w:divsChild>
        <w:div w:id="19821934">
          <w:marLeft w:val="0"/>
          <w:marRight w:val="0"/>
          <w:marTop w:val="0"/>
          <w:marBottom w:val="75"/>
          <w:divBdr>
            <w:top w:val="none" w:sz="0" w:space="0" w:color="auto"/>
            <w:left w:val="none" w:sz="0" w:space="0" w:color="auto"/>
            <w:bottom w:val="none" w:sz="0" w:space="0" w:color="auto"/>
            <w:right w:val="none" w:sz="0" w:space="0" w:color="auto"/>
          </w:divBdr>
          <w:divsChild>
            <w:div w:id="97468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5479">
      <w:bodyDiv w:val="1"/>
      <w:marLeft w:val="0"/>
      <w:marRight w:val="0"/>
      <w:marTop w:val="0"/>
      <w:marBottom w:val="0"/>
      <w:divBdr>
        <w:top w:val="none" w:sz="0" w:space="0" w:color="auto"/>
        <w:left w:val="none" w:sz="0" w:space="0" w:color="auto"/>
        <w:bottom w:val="none" w:sz="0" w:space="0" w:color="auto"/>
        <w:right w:val="none" w:sz="0" w:space="0" w:color="auto"/>
      </w:divBdr>
      <w:divsChild>
        <w:div w:id="1910338228">
          <w:marLeft w:val="0"/>
          <w:marRight w:val="0"/>
          <w:marTop w:val="0"/>
          <w:marBottom w:val="75"/>
          <w:divBdr>
            <w:top w:val="none" w:sz="0" w:space="0" w:color="auto"/>
            <w:left w:val="none" w:sz="0" w:space="0" w:color="auto"/>
            <w:bottom w:val="none" w:sz="0" w:space="0" w:color="auto"/>
            <w:right w:val="none" w:sz="0" w:space="0" w:color="auto"/>
          </w:divBdr>
          <w:divsChild>
            <w:div w:id="6420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6122">
      <w:bodyDiv w:val="1"/>
      <w:marLeft w:val="0"/>
      <w:marRight w:val="0"/>
      <w:marTop w:val="0"/>
      <w:marBottom w:val="0"/>
      <w:divBdr>
        <w:top w:val="none" w:sz="0" w:space="0" w:color="auto"/>
        <w:left w:val="none" w:sz="0" w:space="0" w:color="auto"/>
        <w:bottom w:val="none" w:sz="0" w:space="0" w:color="auto"/>
        <w:right w:val="none" w:sz="0" w:space="0" w:color="auto"/>
      </w:divBdr>
      <w:divsChild>
        <w:div w:id="2063672597">
          <w:marLeft w:val="0"/>
          <w:marRight w:val="0"/>
          <w:marTop w:val="0"/>
          <w:marBottom w:val="75"/>
          <w:divBdr>
            <w:top w:val="none" w:sz="0" w:space="0" w:color="auto"/>
            <w:left w:val="none" w:sz="0" w:space="0" w:color="auto"/>
            <w:bottom w:val="none" w:sz="0" w:space="0" w:color="auto"/>
            <w:right w:val="none" w:sz="0" w:space="0" w:color="auto"/>
          </w:divBdr>
          <w:divsChild>
            <w:div w:id="103326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092351">
      <w:bodyDiv w:val="1"/>
      <w:marLeft w:val="0"/>
      <w:marRight w:val="0"/>
      <w:marTop w:val="0"/>
      <w:marBottom w:val="0"/>
      <w:divBdr>
        <w:top w:val="none" w:sz="0" w:space="0" w:color="auto"/>
        <w:left w:val="none" w:sz="0" w:space="0" w:color="auto"/>
        <w:bottom w:val="none" w:sz="0" w:space="0" w:color="auto"/>
        <w:right w:val="none" w:sz="0" w:space="0" w:color="auto"/>
      </w:divBdr>
      <w:divsChild>
        <w:div w:id="209415894">
          <w:marLeft w:val="0"/>
          <w:marRight w:val="0"/>
          <w:marTop w:val="0"/>
          <w:marBottom w:val="75"/>
          <w:divBdr>
            <w:top w:val="none" w:sz="0" w:space="0" w:color="auto"/>
            <w:left w:val="none" w:sz="0" w:space="0" w:color="auto"/>
            <w:bottom w:val="none" w:sz="0" w:space="0" w:color="auto"/>
            <w:right w:val="none" w:sz="0" w:space="0" w:color="auto"/>
          </w:divBdr>
          <w:divsChild>
            <w:div w:id="52960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8066">
      <w:bodyDiv w:val="1"/>
      <w:marLeft w:val="0"/>
      <w:marRight w:val="0"/>
      <w:marTop w:val="0"/>
      <w:marBottom w:val="0"/>
      <w:divBdr>
        <w:top w:val="none" w:sz="0" w:space="0" w:color="auto"/>
        <w:left w:val="none" w:sz="0" w:space="0" w:color="auto"/>
        <w:bottom w:val="none" w:sz="0" w:space="0" w:color="auto"/>
        <w:right w:val="none" w:sz="0" w:space="0" w:color="auto"/>
      </w:divBdr>
      <w:divsChild>
        <w:div w:id="1839347513">
          <w:marLeft w:val="0"/>
          <w:marRight w:val="0"/>
          <w:marTop w:val="0"/>
          <w:marBottom w:val="75"/>
          <w:divBdr>
            <w:top w:val="none" w:sz="0" w:space="0" w:color="auto"/>
            <w:left w:val="none" w:sz="0" w:space="0" w:color="auto"/>
            <w:bottom w:val="none" w:sz="0" w:space="0" w:color="auto"/>
            <w:right w:val="none" w:sz="0" w:space="0" w:color="auto"/>
          </w:divBdr>
          <w:divsChild>
            <w:div w:id="69920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161">
      <w:bodyDiv w:val="1"/>
      <w:marLeft w:val="0"/>
      <w:marRight w:val="0"/>
      <w:marTop w:val="0"/>
      <w:marBottom w:val="0"/>
      <w:divBdr>
        <w:top w:val="none" w:sz="0" w:space="0" w:color="auto"/>
        <w:left w:val="none" w:sz="0" w:space="0" w:color="auto"/>
        <w:bottom w:val="none" w:sz="0" w:space="0" w:color="auto"/>
        <w:right w:val="none" w:sz="0" w:space="0" w:color="auto"/>
      </w:divBdr>
      <w:divsChild>
        <w:div w:id="793445604">
          <w:marLeft w:val="0"/>
          <w:marRight w:val="0"/>
          <w:marTop w:val="0"/>
          <w:marBottom w:val="75"/>
          <w:divBdr>
            <w:top w:val="none" w:sz="0" w:space="0" w:color="auto"/>
            <w:left w:val="none" w:sz="0" w:space="0" w:color="auto"/>
            <w:bottom w:val="none" w:sz="0" w:space="0" w:color="auto"/>
            <w:right w:val="none" w:sz="0" w:space="0" w:color="auto"/>
          </w:divBdr>
          <w:divsChild>
            <w:div w:id="5066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81772">
      <w:bodyDiv w:val="1"/>
      <w:marLeft w:val="0"/>
      <w:marRight w:val="0"/>
      <w:marTop w:val="0"/>
      <w:marBottom w:val="0"/>
      <w:divBdr>
        <w:top w:val="none" w:sz="0" w:space="0" w:color="auto"/>
        <w:left w:val="none" w:sz="0" w:space="0" w:color="auto"/>
        <w:bottom w:val="none" w:sz="0" w:space="0" w:color="auto"/>
        <w:right w:val="none" w:sz="0" w:space="0" w:color="auto"/>
      </w:divBdr>
      <w:divsChild>
        <w:div w:id="1564366742">
          <w:marLeft w:val="0"/>
          <w:marRight w:val="0"/>
          <w:marTop w:val="0"/>
          <w:marBottom w:val="75"/>
          <w:divBdr>
            <w:top w:val="none" w:sz="0" w:space="0" w:color="auto"/>
            <w:left w:val="none" w:sz="0" w:space="0" w:color="auto"/>
            <w:bottom w:val="none" w:sz="0" w:space="0" w:color="auto"/>
            <w:right w:val="none" w:sz="0" w:space="0" w:color="auto"/>
          </w:divBdr>
          <w:divsChild>
            <w:div w:id="54113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94456">
      <w:bodyDiv w:val="1"/>
      <w:marLeft w:val="0"/>
      <w:marRight w:val="0"/>
      <w:marTop w:val="0"/>
      <w:marBottom w:val="0"/>
      <w:divBdr>
        <w:top w:val="none" w:sz="0" w:space="0" w:color="auto"/>
        <w:left w:val="none" w:sz="0" w:space="0" w:color="auto"/>
        <w:bottom w:val="none" w:sz="0" w:space="0" w:color="auto"/>
        <w:right w:val="none" w:sz="0" w:space="0" w:color="auto"/>
      </w:divBdr>
      <w:divsChild>
        <w:div w:id="618948870">
          <w:marLeft w:val="0"/>
          <w:marRight w:val="0"/>
          <w:marTop w:val="0"/>
          <w:marBottom w:val="75"/>
          <w:divBdr>
            <w:top w:val="none" w:sz="0" w:space="0" w:color="auto"/>
            <w:left w:val="none" w:sz="0" w:space="0" w:color="auto"/>
            <w:bottom w:val="none" w:sz="0" w:space="0" w:color="auto"/>
            <w:right w:val="none" w:sz="0" w:space="0" w:color="auto"/>
          </w:divBdr>
          <w:divsChild>
            <w:div w:id="10854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78129">
      <w:bodyDiv w:val="1"/>
      <w:marLeft w:val="0"/>
      <w:marRight w:val="0"/>
      <w:marTop w:val="0"/>
      <w:marBottom w:val="0"/>
      <w:divBdr>
        <w:top w:val="none" w:sz="0" w:space="0" w:color="auto"/>
        <w:left w:val="none" w:sz="0" w:space="0" w:color="auto"/>
        <w:bottom w:val="none" w:sz="0" w:space="0" w:color="auto"/>
        <w:right w:val="none" w:sz="0" w:space="0" w:color="auto"/>
      </w:divBdr>
      <w:divsChild>
        <w:div w:id="1123694217">
          <w:marLeft w:val="0"/>
          <w:marRight w:val="0"/>
          <w:marTop w:val="0"/>
          <w:marBottom w:val="75"/>
          <w:divBdr>
            <w:top w:val="none" w:sz="0" w:space="0" w:color="auto"/>
            <w:left w:val="none" w:sz="0" w:space="0" w:color="auto"/>
            <w:bottom w:val="none" w:sz="0" w:space="0" w:color="auto"/>
            <w:right w:val="none" w:sz="0" w:space="0" w:color="auto"/>
          </w:divBdr>
          <w:divsChild>
            <w:div w:id="212923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47941">
      <w:bodyDiv w:val="1"/>
      <w:marLeft w:val="0"/>
      <w:marRight w:val="0"/>
      <w:marTop w:val="0"/>
      <w:marBottom w:val="0"/>
      <w:divBdr>
        <w:top w:val="none" w:sz="0" w:space="0" w:color="auto"/>
        <w:left w:val="none" w:sz="0" w:space="0" w:color="auto"/>
        <w:bottom w:val="none" w:sz="0" w:space="0" w:color="auto"/>
        <w:right w:val="none" w:sz="0" w:space="0" w:color="auto"/>
      </w:divBdr>
      <w:divsChild>
        <w:div w:id="105003634">
          <w:marLeft w:val="0"/>
          <w:marRight w:val="0"/>
          <w:marTop w:val="0"/>
          <w:marBottom w:val="75"/>
          <w:divBdr>
            <w:top w:val="none" w:sz="0" w:space="0" w:color="auto"/>
            <w:left w:val="none" w:sz="0" w:space="0" w:color="auto"/>
            <w:bottom w:val="none" w:sz="0" w:space="0" w:color="auto"/>
            <w:right w:val="none" w:sz="0" w:space="0" w:color="auto"/>
          </w:divBdr>
          <w:divsChild>
            <w:div w:id="7081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792">
      <w:bodyDiv w:val="1"/>
      <w:marLeft w:val="0"/>
      <w:marRight w:val="0"/>
      <w:marTop w:val="0"/>
      <w:marBottom w:val="0"/>
      <w:divBdr>
        <w:top w:val="none" w:sz="0" w:space="0" w:color="auto"/>
        <w:left w:val="none" w:sz="0" w:space="0" w:color="auto"/>
        <w:bottom w:val="none" w:sz="0" w:space="0" w:color="auto"/>
        <w:right w:val="none" w:sz="0" w:space="0" w:color="auto"/>
      </w:divBdr>
      <w:divsChild>
        <w:div w:id="1603294556">
          <w:marLeft w:val="0"/>
          <w:marRight w:val="0"/>
          <w:marTop w:val="0"/>
          <w:marBottom w:val="75"/>
          <w:divBdr>
            <w:top w:val="none" w:sz="0" w:space="0" w:color="auto"/>
            <w:left w:val="none" w:sz="0" w:space="0" w:color="auto"/>
            <w:bottom w:val="none" w:sz="0" w:space="0" w:color="auto"/>
            <w:right w:val="none" w:sz="0" w:space="0" w:color="auto"/>
          </w:divBdr>
          <w:divsChild>
            <w:div w:id="136362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81690">
      <w:bodyDiv w:val="1"/>
      <w:marLeft w:val="0"/>
      <w:marRight w:val="0"/>
      <w:marTop w:val="0"/>
      <w:marBottom w:val="0"/>
      <w:divBdr>
        <w:top w:val="none" w:sz="0" w:space="0" w:color="auto"/>
        <w:left w:val="none" w:sz="0" w:space="0" w:color="auto"/>
        <w:bottom w:val="none" w:sz="0" w:space="0" w:color="auto"/>
        <w:right w:val="none" w:sz="0" w:space="0" w:color="auto"/>
      </w:divBdr>
      <w:divsChild>
        <w:div w:id="1392270831">
          <w:marLeft w:val="0"/>
          <w:marRight w:val="0"/>
          <w:marTop w:val="0"/>
          <w:marBottom w:val="75"/>
          <w:divBdr>
            <w:top w:val="none" w:sz="0" w:space="0" w:color="auto"/>
            <w:left w:val="none" w:sz="0" w:space="0" w:color="auto"/>
            <w:bottom w:val="none" w:sz="0" w:space="0" w:color="auto"/>
            <w:right w:val="none" w:sz="0" w:space="0" w:color="auto"/>
          </w:divBdr>
          <w:divsChild>
            <w:div w:id="178056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26774">
      <w:bodyDiv w:val="1"/>
      <w:marLeft w:val="0"/>
      <w:marRight w:val="0"/>
      <w:marTop w:val="0"/>
      <w:marBottom w:val="0"/>
      <w:divBdr>
        <w:top w:val="none" w:sz="0" w:space="0" w:color="auto"/>
        <w:left w:val="none" w:sz="0" w:space="0" w:color="auto"/>
        <w:bottom w:val="none" w:sz="0" w:space="0" w:color="auto"/>
        <w:right w:val="none" w:sz="0" w:space="0" w:color="auto"/>
      </w:divBdr>
      <w:divsChild>
        <w:div w:id="534275518">
          <w:marLeft w:val="0"/>
          <w:marRight w:val="0"/>
          <w:marTop w:val="0"/>
          <w:marBottom w:val="75"/>
          <w:divBdr>
            <w:top w:val="none" w:sz="0" w:space="0" w:color="auto"/>
            <w:left w:val="none" w:sz="0" w:space="0" w:color="auto"/>
            <w:bottom w:val="none" w:sz="0" w:space="0" w:color="auto"/>
            <w:right w:val="none" w:sz="0" w:space="0" w:color="auto"/>
          </w:divBdr>
          <w:divsChild>
            <w:div w:id="236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46929">
      <w:bodyDiv w:val="1"/>
      <w:marLeft w:val="0"/>
      <w:marRight w:val="0"/>
      <w:marTop w:val="0"/>
      <w:marBottom w:val="0"/>
      <w:divBdr>
        <w:top w:val="none" w:sz="0" w:space="0" w:color="auto"/>
        <w:left w:val="none" w:sz="0" w:space="0" w:color="auto"/>
        <w:bottom w:val="none" w:sz="0" w:space="0" w:color="auto"/>
        <w:right w:val="none" w:sz="0" w:space="0" w:color="auto"/>
      </w:divBdr>
      <w:divsChild>
        <w:div w:id="1430931386">
          <w:marLeft w:val="0"/>
          <w:marRight w:val="0"/>
          <w:marTop w:val="0"/>
          <w:marBottom w:val="75"/>
          <w:divBdr>
            <w:top w:val="none" w:sz="0" w:space="0" w:color="auto"/>
            <w:left w:val="none" w:sz="0" w:space="0" w:color="auto"/>
            <w:bottom w:val="none" w:sz="0" w:space="0" w:color="auto"/>
            <w:right w:val="none" w:sz="0" w:space="0" w:color="auto"/>
          </w:divBdr>
          <w:divsChild>
            <w:div w:id="63144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73437">
      <w:bodyDiv w:val="1"/>
      <w:marLeft w:val="0"/>
      <w:marRight w:val="0"/>
      <w:marTop w:val="0"/>
      <w:marBottom w:val="0"/>
      <w:divBdr>
        <w:top w:val="none" w:sz="0" w:space="0" w:color="auto"/>
        <w:left w:val="none" w:sz="0" w:space="0" w:color="auto"/>
        <w:bottom w:val="none" w:sz="0" w:space="0" w:color="auto"/>
        <w:right w:val="none" w:sz="0" w:space="0" w:color="auto"/>
      </w:divBdr>
      <w:divsChild>
        <w:div w:id="1259287768">
          <w:marLeft w:val="0"/>
          <w:marRight w:val="0"/>
          <w:marTop w:val="0"/>
          <w:marBottom w:val="75"/>
          <w:divBdr>
            <w:top w:val="none" w:sz="0" w:space="0" w:color="auto"/>
            <w:left w:val="none" w:sz="0" w:space="0" w:color="auto"/>
            <w:bottom w:val="none" w:sz="0" w:space="0" w:color="auto"/>
            <w:right w:val="none" w:sz="0" w:space="0" w:color="auto"/>
          </w:divBdr>
          <w:divsChild>
            <w:div w:id="4347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21074">
      <w:bodyDiv w:val="1"/>
      <w:marLeft w:val="0"/>
      <w:marRight w:val="0"/>
      <w:marTop w:val="0"/>
      <w:marBottom w:val="0"/>
      <w:divBdr>
        <w:top w:val="none" w:sz="0" w:space="0" w:color="auto"/>
        <w:left w:val="none" w:sz="0" w:space="0" w:color="auto"/>
        <w:bottom w:val="none" w:sz="0" w:space="0" w:color="auto"/>
        <w:right w:val="none" w:sz="0" w:space="0" w:color="auto"/>
      </w:divBdr>
      <w:divsChild>
        <w:div w:id="1193612895">
          <w:marLeft w:val="0"/>
          <w:marRight w:val="0"/>
          <w:marTop w:val="0"/>
          <w:marBottom w:val="75"/>
          <w:divBdr>
            <w:top w:val="none" w:sz="0" w:space="0" w:color="auto"/>
            <w:left w:val="none" w:sz="0" w:space="0" w:color="auto"/>
            <w:bottom w:val="none" w:sz="0" w:space="0" w:color="auto"/>
            <w:right w:val="none" w:sz="0" w:space="0" w:color="auto"/>
          </w:divBdr>
          <w:divsChild>
            <w:div w:id="24768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21636">
      <w:bodyDiv w:val="1"/>
      <w:marLeft w:val="0"/>
      <w:marRight w:val="0"/>
      <w:marTop w:val="0"/>
      <w:marBottom w:val="0"/>
      <w:divBdr>
        <w:top w:val="none" w:sz="0" w:space="0" w:color="auto"/>
        <w:left w:val="none" w:sz="0" w:space="0" w:color="auto"/>
        <w:bottom w:val="none" w:sz="0" w:space="0" w:color="auto"/>
        <w:right w:val="none" w:sz="0" w:space="0" w:color="auto"/>
      </w:divBdr>
      <w:divsChild>
        <w:div w:id="1038435657">
          <w:marLeft w:val="0"/>
          <w:marRight w:val="0"/>
          <w:marTop w:val="0"/>
          <w:marBottom w:val="75"/>
          <w:divBdr>
            <w:top w:val="none" w:sz="0" w:space="0" w:color="auto"/>
            <w:left w:val="none" w:sz="0" w:space="0" w:color="auto"/>
            <w:bottom w:val="none" w:sz="0" w:space="0" w:color="auto"/>
            <w:right w:val="none" w:sz="0" w:space="0" w:color="auto"/>
          </w:divBdr>
          <w:divsChild>
            <w:div w:id="104779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5431">
      <w:bodyDiv w:val="1"/>
      <w:marLeft w:val="0"/>
      <w:marRight w:val="0"/>
      <w:marTop w:val="0"/>
      <w:marBottom w:val="0"/>
      <w:divBdr>
        <w:top w:val="none" w:sz="0" w:space="0" w:color="auto"/>
        <w:left w:val="none" w:sz="0" w:space="0" w:color="auto"/>
        <w:bottom w:val="none" w:sz="0" w:space="0" w:color="auto"/>
        <w:right w:val="none" w:sz="0" w:space="0" w:color="auto"/>
      </w:divBdr>
      <w:divsChild>
        <w:div w:id="682316224">
          <w:marLeft w:val="0"/>
          <w:marRight w:val="0"/>
          <w:marTop w:val="0"/>
          <w:marBottom w:val="75"/>
          <w:divBdr>
            <w:top w:val="none" w:sz="0" w:space="0" w:color="auto"/>
            <w:left w:val="none" w:sz="0" w:space="0" w:color="auto"/>
            <w:bottom w:val="none" w:sz="0" w:space="0" w:color="auto"/>
            <w:right w:val="none" w:sz="0" w:space="0" w:color="auto"/>
          </w:divBdr>
          <w:divsChild>
            <w:div w:id="36911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329735">
      <w:bodyDiv w:val="1"/>
      <w:marLeft w:val="0"/>
      <w:marRight w:val="0"/>
      <w:marTop w:val="0"/>
      <w:marBottom w:val="0"/>
      <w:divBdr>
        <w:top w:val="none" w:sz="0" w:space="0" w:color="auto"/>
        <w:left w:val="none" w:sz="0" w:space="0" w:color="auto"/>
        <w:bottom w:val="none" w:sz="0" w:space="0" w:color="auto"/>
        <w:right w:val="none" w:sz="0" w:space="0" w:color="auto"/>
      </w:divBdr>
      <w:divsChild>
        <w:div w:id="752163619">
          <w:marLeft w:val="0"/>
          <w:marRight w:val="0"/>
          <w:marTop w:val="0"/>
          <w:marBottom w:val="75"/>
          <w:divBdr>
            <w:top w:val="none" w:sz="0" w:space="0" w:color="auto"/>
            <w:left w:val="none" w:sz="0" w:space="0" w:color="auto"/>
            <w:bottom w:val="none" w:sz="0" w:space="0" w:color="auto"/>
            <w:right w:val="none" w:sz="0" w:space="0" w:color="auto"/>
          </w:divBdr>
          <w:divsChild>
            <w:div w:id="59798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236728">
      <w:bodyDiv w:val="1"/>
      <w:marLeft w:val="0"/>
      <w:marRight w:val="0"/>
      <w:marTop w:val="0"/>
      <w:marBottom w:val="0"/>
      <w:divBdr>
        <w:top w:val="none" w:sz="0" w:space="0" w:color="auto"/>
        <w:left w:val="none" w:sz="0" w:space="0" w:color="auto"/>
        <w:bottom w:val="none" w:sz="0" w:space="0" w:color="auto"/>
        <w:right w:val="none" w:sz="0" w:space="0" w:color="auto"/>
      </w:divBdr>
      <w:divsChild>
        <w:div w:id="2025130054">
          <w:marLeft w:val="0"/>
          <w:marRight w:val="0"/>
          <w:marTop w:val="0"/>
          <w:marBottom w:val="75"/>
          <w:divBdr>
            <w:top w:val="none" w:sz="0" w:space="0" w:color="auto"/>
            <w:left w:val="none" w:sz="0" w:space="0" w:color="auto"/>
            <w:bottom w:val="none" w:sz="0" w:space="0" w:color="auto"/>
            <w:right w:val="none" w:sz="0" w:space="0" w:color="auto"/>
          </w:divBdr>
          <w:divsChild>
            <w:div w:id="193686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259">
      <w:bodyDiv w:val="1"/>
      <w:marLeft w:val="0"/>
      <w:marRight w:val="0"/>
      <w:marTop w:val="0"/>
      <w:marBottom w:val="0"/>
      <w:divBdr>
        <w:top w:val="none" w:sz="0" w:space="0" w:color="auto"/>
        <w:left w:val="none" w:sz="0" w:space="0" w:color="auto"/>
        <w:bottom w:val="none" w:sz="0" w:space="0" w:color="auto"/>
        <w:right w:val="none" w:sz="0" w:space="0" w:color="auto"/>
      </w:divBdr>
      <w:divsChild>
        <w:div w:id="1938127406">
          <w:marLeft w:val="0"/>
          <w:marRight w:val="0"/>
          <w:marTop w:val="0"/>
          <w:marBottom w:val="75"/>
          <w:divBdr>
            <w:top w:val="none" w:sz="0" w:space="0" w:color="auto"/>
            <w:left w:val="none" w:sz="0" w:space="0" w:color="auto"/>
            <w:bottom w:val="none" w:sz="0" w:space="0" w:color="auto"/>
            <w:right w:val="none" w:sz="0" w:space="0" w:color="auto"/>
          </w:divBdr>
          <w:divsChild>
            <w:div w:id="69156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099542">
      <w:bodyDiv w:val="1"/>
      <w:marLeft w:val="0"/>
      <w:marRight w:val="0"/>
      <w:marTop w:val="0"/>
      <w:marBottom w:val="0"/>
      <w:divBdr>
        <w:top w:val="none" w:sz="0" w:space="0" w:color="auto"/>
        <w:left w:val="none" w:sz="0" w:space="0" w:color="auto"/>
        <w:bottom w:val="none" w:sz="0" w:space="0" w:color="auto"/>
        <w:right w:val="none" w:sz="0" w:space="0" w:color="auto"/>
      </w:divBdr>
      <w:divsChild>
        <w:div w:id="1973053610">
          <w:marLeft w:val="0"/>
          <w:marRight w:val="0"/>
          <w:marTop w:val="0"/>
          <w:marBottom w:val="75"/>
          <w:divBdr>
            <w:top w:val="none" w:sz="0" w:space="0" w:color="auto"/>
            <w:left w:val="none" w:sz="0" w:space="0" w:color="auto"/>
            <w:bottom w:val="none" w:sz="0" w:space="0" w:color="auto"/>
            <w:right w:val="none" w:sz="0" w:space="0" w:color="auto"/>
          </w:divBdr>
          <w:divsChild>
            <w:div w:id="38240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42231">
      <w:bodyDiv w:val="1"/>
      <w:marLeft w:val="0"/>
      <w:marRight w:val="0"/>
      <w:marTop w:val="0"/>
      <w:marBottom w:val="0"/>
      <w:divBdr>
        <w:top w:val="none" w:sz="0" w:space="0" w:color="auto"/>
        <w:left w:val="none" w:sz="0" w:space="0" w:color="auto"/>
        <w:bottom w:val="none" w:sz="0" w:space="0" w:color="auto"/>
        <w:right w:val="none" w:sz="0" w:space="0" w:color="auto"/>
      </w:divBdr>
      <w:divsChild>
        <w:div w:id="1460689133">
          <w:marLeft w:val="0"/>
          <w:marRight w:val="0"/>
          <w:marTop w:val="0"/>
          <w:marBottom w:val="75"/>
          <w:divBdr>
            <w:top w:val="none" w:sz="0" w:space="0" w:color="auto"/>
            <w:left w:val="none" w:sz="0" w:space="0" w:color="auto"/>
            <w:bottom w:val="none" w:sz="0" w:space="0" w:color="auto"/>
            <w:right w:val="none" w:sz="0" w:space="0" w:color="auto"/>
          </w:divBdr>
          <w:divsChild>
            <w:div w:id="79163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81888">
      <w:bodyDiv w:val="1"/>
      <w:marLeft w:val="0"/>
      <w:marRight w:val="0"/>
      <w:marTop w:val="0"/>
      <w:marBottom w:val="0"/>
      <w:divBdr>
        <w:top w:val="none" w:sz="0" w:space="0" w:color="auto"/>
        <w:left w:val="none" w:sz="0" w:space="0" w:color="auto"/>
        <w:bottom w:val="none" w:sz="0" w:space="0" w:color="auto"/>
        <w:right w:val="none" w:sz="0" w:space="0" w:color="auto"/>
      </w:divBdr>
      <w:divsChild>
        <w:div w:id="883176835">
          <w:marLeft w:val="0"/>
          <w:marRight w:val="0"/>
          <w:marTop w:val="0"/>
          <w:marBottom w:val="75"/>
          <w:divBdr>
            <w:top w:val="none" w:sz="0" w:space="0" w:color="auto"/>
            <w:left w:val="none" w:sz="0" w:space="0" w:color="auto"/>
            <w:bottom w:val="none" w:sz="0" w:space="0" w:color="auto"/>
            <w:right w:val="none" w:sz="0" w:space="0" w:color="auto"/>
          </w:divBdr>
          <w:divsChild>
            <w:div w:id="12782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37569">
      <w:bodyDiv w:val="1"/>
      <w:marLeft w:val="0"/>
      <w:marRight w:val="0"/>
      <w:marTop w:val="0"/>
      <w:marBottom w:val="0"/>
      <w:divBdr>
        <w:top w:val="none" w:sz="0" w:space="0" w:color="auto"/>
        <w:left w:val="none" w:sz="0" w:space="0" w:color="auto"/>
        <w:bottom w:val="none" w:sz="0" w:space="0" w:color="auto"/>
        <w:right w:val="none" w:sz="0" w:space="0" w:color="auto"/>
      </w:divBdr>
      <w:divsChild>
        <w:div w:id="972905492">
          <w:marLeft w:val="0"/>
          <w:marRight w:val="0"/>
          <w:marTop w:val="0"/>
          <w:marBottom w:val="75"/>
          <w:divBdr>
            <w:top w:val="none" w:sz="0" w:space="0" w:color="auto"/>
            <w:left w:val="none" w:sz="0" w:space="0" w:color="auto"/>
            <w:bottom w:val="none" w:sz="0" w:space="0" w:color="auto"/>
            <w:right w:val="none" w:sz="0" w:space="0" w:color="auto"/>
          </w:divBdr>
          <w:divsChild>
            <w:div w:id="12917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05219">
      <w:bodyDiv w:val="1"/>
      <w:marLeft w:val="0"/>
      <w:marRight w:val="0"/>
      <w:marTop w:val="0"/>
      <w:marBottom w:val="0"/>
      <w:divBdr>
        <w:top w:val="none" w:sz="0" w:space="0" w:color="auto"/>
        <w:left w:val="none" w:sz="0" w:space="0" w:color="auto"/>
        <w:bottom w:val="none" w:sz="0" w:space="0" w:color="auto"/>
        <w:right w:val="none" w:sz="0" w:space="0" w:color="auto"/>
      </w:divBdr>
      <w:divsChild>
        <w:div w:id="2031058929">
          <w:marLeft w:val="0"/>
          <w:marRight w:val="0"/>
          <w:marTop w:val="0"/>
          <w:marBottom w:val="75"/>
          <w:divBdr>
            <w:top w:val="none" w:sz="0" w:space="0" w:color="auto"/>
            <w:left w:val="none" w:sz="0" w:space="0" w:color="auto"/>
            <w:bottom w:val="none" w:sz="0" w:space="0" w:color="auto"/>
            <w:right w:val="none" w:sz="0" w:space="0" w:color="auto"/>
          </w:divBdr>
          <w:divsChild>
            <w:div w:id="17316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342249">
      <w:bodyDiv w:val="1"/>
      <w:marLeft w:val="0"/>
      <w:marRight w:val="0"/>
      <w:marTop w:val="0"/>
      <w:marBottom w:val="0"/>
      <w:divBdr>
        <w:top w:val="none" w:sz="0" w:space="0" w:color="auto"/>
        <w:left w:val="none" w:sz="0" w:space="0" w:color="auto"/>
        <w:bottom w:val="none" w:sz="0" w:space="0" w:color="auto"/>
        <w:right w:val="none" w:sz="0" w:space="0" w:color="auto"/>
      </w:divBdr>
      <w:divsChild>
        <w:div w:id="1886716117">
          <w:marLeft w:val="0"/>
          <w:marRight w:val="0"/>
          <w:marTop w:val="0"/>
          <w:marBottom w:val="75"/>
          <w:divBdr>
            <w:top w:val="none" w:sz="0" w:space="0" w:color="auto"/>
            <w:left w:val="none" w:sz="0" w:space="0" w:color="auto"/>
            <w:bottom w:val="none" w:sz="0" w:space="0" w:color="auto"/>
            <w:right w:val="none" w:sz="0" w:space="0" w:color="auto"/>
          </w:divBdr>
          <w:divsChild>
            <w:div w:id="190559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tyles" Target="styles.xml"/><Relationship Id="rId21" Type="http://schemas.openxmlformats.org/officeDocument/2006/relationships/hyperlink" Target="https://acskidd.gov.ua/download/manual/EU13OManualDPS.pdf" TargetMode="External"/><Relationship Id="rId3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 Type="http://schemas.openxmlformats.org/officeDocument/2006/relationships/hyperlink" Target="https://mof.gov.ua/storage/files/%D0%9D%D0%B0%D0%BA%D0%B0%D0%B7%20709.pdf" TargetMode="Externa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 Type="http://schemas.openxmlformats.org/officeDocument/2006/relationships/numbering" Target="numbering.xml"/><Relationship Id="rId1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0" Type="http://schemas.openxmlformats.org/officeDocument/2006/relationships/hyperlink" Target="https://acskidd.gov.ua/korustyvach_csk"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customXml" Target="../customXml/item1.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webSettings" Target="webSettings.xm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theme" Target="theme/theme1.xm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settings" Target="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2" Type="http://schemas.openxmlformats.org/officeDocument/2006/relationships/hyperlink" Target="https://youtu.be/n7e_0BKRhKE"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5" Type="http://schemas.openxmlformats.org/officeDocument/2006/relationships/fontTable" Target="fontTable.xml"/><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258EA-D66E-478B-9A23-CB8AB4652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60190</Words>
  <Characters>34309</Characters>
  <Application>Microsoft Office Word</Application>
  <DocSecurity>0</DocSecurity>
  <Lines>285</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2020-12-18T06:47:00Z</dcterms:created>
  <dcterms:modified xsi:type="dcterms:W3CDTF">2020-12-18T06:50:00Z</dcterms:modified>
</cp:coreProperties>
</file>