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6F6" w:rsidRDefault="000F66F6" w:rsidP="00804EB0">
      <w:pPr>
        <w:pStyle w:val="a9"/>
        <w:rPr>
          <w:b/>
          <w:sz w:val="20"/>
          <w:szCs w:val="20"/>
        </w:rPr>
      </w:pPr>
      <w:r w:rsidRPr="000F66F6">
        <w:rPr>
          <w:b/>
          <w:sz w:val="20"/>
          <w:szCs w:val="20"/>
        </w:rPr>
        <w:t>Криворізький північний відділ організації роботи ГУ ДПС у Дніпропетровській області інформує</w:t>
      </w:r>
      <w:r>
        <w:rPr>
          <w:b/>
          <w:sz w:val="20"/>
          <w:szCs w:val="20"/>
        </w:rPr>
        <w:t xml:space="preserve"> (06.11.2020):</w:t>
      </w:r>
    </w:p>
    <w:p w:rsidR="000F66F6" w:rsidRDefault="000F66F6" w:rsidP="00804EB0">
      <w:pPr>
        <w:pStyle w:val="a9"/>
        <w:rPr>
          <w:b/>
          <w:sz w:val="20"/>
          <w:szCs w:val="20"/>
        </w:rPr>
      </w:pPr>
    </w:p>
    <w:p w:rsidR="00804EB0" w:rsidRDefault="00804EB0" w:rsidP="00804EB0">
      <w:pPr>
        <w:pStyle w:val="a9"/>
        <w:rPr>
          <w:b/>
          <w:bCs/>
          <w:sz w:val="20"/>
          <w:szCs w:val="20"/>
        </w:rPr>
      </w:pPr>
      <w:r>
        <w:rPr>
          <w:b/>
          <w:sz w:val="20"/>
          <w:szCs w:val="20"/>
        </w:rPr>
        <w:t>Про оголошення конкурсу!</w:t>
      </w:r>
    </w:p>
    <w:p w:rsidR="00804EB0" w:rsidRDefault="00804EB0" w:rsidP="00804EB0">
      <w:pPr>
        <w:pStyle w:val="210"/>
        <w:shd w:val="clear" w:color="auto" w:fill="auto"/>
        <w:spacing w:line="240" w:lineRule="auto"/>
        <w:rPr>
          <w:rStyle w:val="2"/>
          <w:rFonts w:ascii="Times New Roman" w:hAnsi="Times New Roman" w:cs="Times New Roman"/>
          <w:color w:val="000000"/>
          <w:sz w:val="20"/>
          <w:szCs w:val="20"/>
          <w:lang w:val="uk-UA" w:eastAsia="uk-UA"/>
        </w:rPr>
      </w:pPr>
      <w:r>
        <w:rPr>
          <w:rStyle w:val="2"/>
          <w:rFonts w:ascii="Times New Roman" w:hAnsi="Times New Roman" w:cs="Times New Roman"/>
          <w:color w:val="000000"/>
          <w:sz w:val="20"/>
          <w:szCs w:val="20"/>
          <w:lang w:val="uk-UA" w:eastAsia="uk-UA"/>
        </w:rPr>
        <w:t>Головне управління ДПС у Дніпропетровській області оголошує конкурс з</w:t>
      </w:r>
      <w:r>
        <w:rPr>
          <w:rFonts w:ascii="Times New Roman" w:hAnsi="Times New Roman" w:cs="Times New Roman"/>
          <w:sz w:val="20"/>
          <w:szCs w:val="20"/>
          <w:lang w:val="uk-UA"/>
        </w:rPr>
        <w:t xml:space="preserve"> формування Єдиного реєстру торговельних організацій на 2021 рік, яким надається право реалізації та зберігання безхазяйного та іншого майна, що перейшло у власність держави</w:t>
      </w:r>
      <w:r>
        <w:rPr>
          <w:rStyle w:val="2"/>
          <w:rFonts w:ascii="Times New Roman" w:hAnsi="Times New Roman" w:cs="Times New Roman"/>
          <w:color w:val="000000"/>
          <w:sz w:val="20"/>
          <w:szCs w:val="20"/>
          <w:lang w:val="uk-UA" w:eastAsia="uk-UA"/>
        </w:rPr>
        <w:t>.</w:t>
      </w:r>
    </w:p>
    <w:p w:rsidR="00804EB0" w:rsidRPr="00804EB0" w:rsidRDefault="00804EB0" w:rsidP="00804EB0">
      <w:pPr>
        <w:pStyle w:val="210"/>
        <w:shd w:val="clear" w:color="auto" w:fill="auto"/>
        <w:spacing w:line="240" w:lineRule="auto"/>
        <w:rPr>
          <w:lang w:val="uk-UA"/>
        </w:rPr>
      </w:pPr>
      <w:r>
        <w:rPr>
          <w:rStyle w:val="2"/>
          <w:rFonts w:ascii="Times New Roman" w:hAnsi="Times New Roman" w:cs="Times New Roman"/>
          <w:color w:val="000000"/>
          <w:sz w:val="20"/>
          <w:szCs w:val="20"/>
          <w:lang w:val="uk-UA" w:eastAsia="uk-UA"/>
        </w:rPr>
        <w:t>До Єдиного реєстру включаються суб’єкти господарювання незалежно від форми власності, що є юридичними особами та платниками податку на додану вартість і здійснюють реалізацію майна шляхом проведення біржових торгів (аукціонів) або через роздрібну торгівельну мережу.</w:t>
      </w:r>
    </w:p>
    <w:p w:rsidR="00804EB0" w:rsidRDefault="00804EB0" w:rsidP="00804EB0">
      <w:pPr>
        <w:pStyle w:val="210"/>
        <w:shd w:val="clear" w:color="auto" w:fill="auto"/>
        <w:spacing w:line="240" w:lineRule="auto"/>
        <w:rPr>
          <w:rFonts w:ascii="Times New Roman" w:hAnsi="Times New Roman" w:cs="Times New Roman"/>
          <w:b/>
          <w:sz w:val="20"/>
          <w:szCs w:val="20"/>
          <w:lang w:val="uk-UA"/>
        </w:rPr>
      </w:pPr>
      <w:r>
        <w:rPr>
          <w:rStyle w:val="2"/>
          <w:rFonts w:ascii="Times New Roman" w:hAnsi="Times New Roman" w:cs="Times New Roman"/>
          <w:color w:val="000000"/>
          <w:sz w:val="20"/>
          <w:szCs w:val="20"/>
          <w:lang w:val="uk-UA" w:eastAsia="uk-UA"/>
        </w:rPr>
        <w:t xml:space="preserve">Заяви </w:t>
      </w:r>
      <w:r>
        <w:rPr>
          <w:rStyle w:val="2"/>
          <w:rFonts w:ascii="Times New Roman" w:hAnsi="Times New Roman" w:cs="Times New Roman"/>
          <w:color w:val="000000"/>
          <w:sz w:val="20"/>
          <w:szCs w:val="20"/>
          <w:lang w:eastAsia="uk-UA"/>
        </w:rPr>
        <w:t xml:space="preserve">для </w:t>
      </w:r>
      <w:proofErr w:type="spellStart"/>
      <w:r>
        <w:rPr>
          <w:rStyle w:val="2"/>
          <w:rFonts w:ascii="Times New Roman" w:hAnsi="Times New Roman" w:cs="Times New Roman"/>
          <w:color w:val="000000"/>
          <w:sz w:val="20"/>
          <w:szCs w:val="20"/>
          <w:lang w:eastAsia="uk-UA"/>
        </w:rPr>
        <w:t>участі</w:t>
      </w:r>
      <w:proofErr w:type="spellEnd"/>
      <w:r>
        <w:rPr>
          <w:rStyle w:val="2"/>
          <w:rFonts w:ascii="Times New Roman" w:hAnsi="Times New Roman" w:cs="Times New Roman"/>
          <w:color w:val="000000"/>
          <w:sz w:val="20"/>
          <w:szCs w:val="20"/>
          <w:lang w:eastAsia="uk-UA"/>
        </w:rPr>
        <w:t xml:space="preserve"> у </w:t>
      </w:r>
      <w:proofErr w:type="spellStart"/>
      <w:r>
        <w:rPr>
          <w:rStyle w:val="2"/>
          <w:rFonts w:ascii="Times New Roman" w:hAnsi="Times New Roman" w:cs="Times New Roman"/>
          <w:color w:val="000000"/>
          <w:sz w:val="20"/>
          <w:szCs w:val="20"/>
          <w:lang w:eastAsia="uk-UA"/>
        </w:rPr>
        <w:t>конкурсі</w:t>
      </w:r>
      <w:proofErr w:type="spellEnd"/>
      <w:r>
        <w:rPr>
          <w:rStyle w:val="2"/>
          <w:rFonts w:ascii="Times New Roman" w:hAnsi="Times New Roman" w:cs="Times New Roman"/>
          <w:color w:val="000000"/>
          <w:sz w:val="20"/>
          <w:szCs w:val="20"/>
          <w:lang w:eastAsia="uk-UA"/>
        </w:rPr>
        <w:t xml:space="preserve"> </w:t>
      </w:r>
      <w:proofErr w:type="spellStart"/>
      <w:r>
        <w:rPr>
          <w:rStyle w:val="2"/>
          <w:rFonts w:ascii="Times New Roman" w:hAnsi="Times New Roman" w:cs="Times New Roman"/>
          <w:color w:val="000000"/>
          <w:sz w:val="20"/>
          <w:szCs w:val="20"/>
          <w:lang w:eastAsia="uk-UA"/>
        </w:rPr>
        <w:t>приймаються</w:t>
      </w:r>
      <w:proofErr w:type="spellEnd"/>
      <w:r>
        <w:rPr>
          <w:rStyle w:val="2"/>
          <w:rFonts w:ascii="Times New Roman" w:hAnsi="Times New Roman" w:cs="Times New Roman"/>
          <w:color w:val="000000"/>
          <w:sz w:val="20"/>
          <w:szCs w:val="20"/>
          <w:lang w:eastAsia="uk-UA"/>
        </w:rPr>
        <w:t xml:space="preserve"> ГУ Д</w:t>
      </w:r>
      <w:r>
        <w:rPr>
          <w:rStyle w:val="2"/>
          <w:rFonts w:ascii="Times New Roman" w:hAnsi="Times New Roman" w:cs="Times New Roman"/>
          <w:color w:val="000000"/>
          <w:sz w:val="20"/>
          <w:szCs w:val="20"/>
          <w:lang w:val="uk-UA" w:eastAsia="uk-UA"/>
        </w:rPr>
        <w:t>П</w:t>
      </w:r>
      <w:r>
        <w:rPr>
          <w:rStyle w:val="2"/>
          <w:rFonts w:ascii="Times New Roman" w:hAnsi="Times New Roman" w:cs="Times New Roman"/>
          <w:color w:val="000000"/>
          <w:sz w:val="20"/>
          <w:szCs w:val="20"/>
          <w:lang w:eastAsia="uk-UA"/>
        </w:rPr>
        <w:t xml:space="preserve">С у Дніпропетровській </w:t>
      </w:r>
      <w:proofErr w:type="spellStart"/>
      <w:r>
        <w:rPr>
          <w:rStyle w:val="2"/>
          <w:rFonts w:ascii="Times New Roman" w:hAnsi="Times New Roman" w:cs="Times New Roman"/>
          <w:color w:val="000000"/>
          <w:sz w:val="20"/>
          <w:szCs w:val="20"/>
          <w:lang w:eastAsia="uk-UA"/>
        </w:rPr>
        <w:t>області</w:t>
      </w:r>
      <w:proofErr w:type="spellEnd"/>
      <w:r>
        <w:rPr>
          <w:rStyle w:val="2"/>
          <w:rFonts w:ascii="Times New Roman" w:hAnsi="Times New Roman" w:cs="Times New Roman"/>
          <w:color w:val="000000"/>
          <w:sz w:val="20"/>
          <w:szCs w:val="20"/>
          <w:lang w:eastAsia="uk-UA"/>
        </w:rPr>
        <w:t xml:space="preserve"> за </w:t>
      </w:r>
      <w:proofErr w:type="spellStart"/>
      <w:r>
        <w:rPr>
          <w:rStyle w:val="2"/>
          <w:rFonts w:ascii="Times New Roman" w:hAnsi="Times New Roman" w:cs="Times New Roman"/>
          <w:color w:val="000000"/>
          <w:sz w:val="20"/>
          <w:szCs w:val="20"/>
          <w:lang w:eastAsia="uk-UA"/>
        </w:rPr>
        <w:t>адресою</w:t>
      </w:r>
      <w:proofErr w:type="spellEnd"/>
      <w:r>
        <w:rPr>
          <w:rStyle w:val="2"/>
          <w:rFonts w:ascii="Times New Roman" w:hAnsi="Times New Roman" w:cs="Times New Roman"/>
          <w:color w:val="000000"/>
          <w:sz w:val="20"/>
          <w:szCs w:val="20"/>
          <w:lang w:eastAsia="uk-UA"/>
        </w:rPr>
        <w:t>: м.</w:t>
      </w:r>
      <w:r>
        <w:rPr>
          <w:rStyle w:val="2"/>
          <w:rFonts w:ascii="Times New Roman" w:hAnsi="Times New Roman" w:cs="Times New Roman"/>
          <w:color w:val="000000"/>
          <w:sz w:val="20"/>
          <w:szCs w:val="20"/>
          <w:lang w:val="uk-UA" w:eastAsia="uk-UA"/>
        </w:rPr>
        <w:t xml:space="preserve"> </w:t>
      </w:r>
      <w:proofErr w:type="spellStart"/>
      <w:r>
        <w:rPr>
          <w:rStyle w:val="2"/>
          <w:rFonts w:ascii="Times New Roman" w:hAnsi="Times New Roman" w:cs="Times New Roman"/>
          <w:color w:val="000000"/>
          <w:sz w:val="20"/>
          <w:szCs w:val="20"/>
          <w:lang w:eastAsia="uk-UA"/>
        </w:rPr>
        <w:t>Дніпро</w:t>
      </w:r>
      <w:proofErr w:type="spellEnd"/>
      <w:r>
        <w:rPr>
          <w:rStyle w:val="2"/>
          <w:rFonts w:ascii="Times New Roman" w:hAnsi="Times New Roman" w:cs="Times New Roman"/>
          <w:color w:val="000000"/>
          <w:sz w:val="20"/>
          <w:szCs w:val="20"/>
          <w:lang w:eastAsia="uk-UA"/>
        </w:rPr>
        <w:t xml:space="preserve">, </w:t>
      </w:r>
      <w:proofErr w:type="spellStart"/>
      <w:r>
        <w:rPr>
          <w:rStyle w:val="2"/>
          <w:rFonts w:ascii="Times New Roman" w:hAnsi="Times New Roman" w:cs="Times New Roman"/>
          <w:color w:val="000000"/>
          <w:sz w:val="20"/>
          <w:szCs w:val="20"/>
          <w:lang w:eastAsia="uk-UA"/>
        </w:rPr>
        <w:t>вул</w:t>
      </w:r>
      <w:proofErr w:type="spellEnd"/>
      <w:r>
        <w:rPr>
          <w:rStyle w:val="2"/>
          <w:rFonts w:ascii="Times New Roman" w:hAnsi="Times New Roman" w:cs="Times New Roman"/>
          <w:color w:val="000000"/>
          <w:sz w:val="20"/>
          <w:szCs w:val="20"/>
          <w:lang w:eastAsia="uk-UA"/>
        </w:rPr>
        <w:t xml:space="preserve">. </w:t>
      </w:r>
      <w:proofErr w:type="spellStart"/>
      <w:r>
        <w:rPr>
          <w:rStyle w:val="2"/>
          <w:rFonts w:ascii="Times New Roman" w:hAnsi="Times New Roman" w:cs="Times New Roman"/>
          <w:color w:val="000000"/>
          <w:sz w:val="20"/>
          <w:szCs w:val="20"/>
          <w:lang w:eastAsia="uk-UA"/>
        </w:rPr>
        <w:t>Сімферопольська</w:t>
      </w:r>
      <w:proofErr w:type="spellEnd"/>
      <w:r>
        <w:rPr>
          <w:rStyle w:val="2"/>
          <w:rFonts w:ascii="Times New Roman" w:hAnsi="Times New Roman" w:cs="Times New Roman"/>
          <w:color w:val="000000"/>
          <w:sz w:val="20"/>
          <w:szCs w:val="20"/>
          <w:lang w:eastAsia="uk-UA"/>
        </w:rPr>
        <w:t>, 17-а</w:t>
      </w:r>
      <w:r>
        <w:rPr>
          <w:rStyle w:val="2"/>
          <w:rFonts w:ascii="Times New Roman" w:hAnsi="Times New Roman" w:cs="Times New Roman"/>
          <w:color w:val="000000"/>
          <w:sz w:val="20"/>
          <w:szCs w:val="20"/>
          <w:lang w:val="uk-UA" w:eastAsia="uk-UA"/>
        </w:rPr>
        <w:t xml:space="preserve"> до </w:t>
      </w:r>
      <w:r>
        <w:rPr>
          <w:rStyle w:val="2"/>
          <w:rFonts w:ascii="Times New Roman" w:hAnsi="Times New Roman" w:cs="Times New Roman"/>
          <w:b/>
          <w:color w:val="000000"/>
          <w:sz w:val="20"/>
          <w:szCs w:val="20"/>
          <w:lang w:val="uk-UA" w:eastAsia="uk-UA"/>
        </w:rPr>
        <w:t>14 грудня 2020 року.</w:t>
      </w:r>
    </w:p>
    <w:p w:rsidR="00804EB0" w:rsidRDefault="00804EB0" w:rsidP="00804EB0">
      <w:pPr>
        <w:pStyle w:val="210"/>
        <w:shd w:val="clear" w:color="auto" w:fill="auto"/>
        <w:spacing w:line="240" w:lineRule="auto"/>
        <w:rPr>
          <w:rFonts w:ascii="Times New Roman" w:hAnsi="Times New Roman" w:cs="Times New Roman"/>
          <w:sz w:val="20"/>
          <w:szCs w:val="20"/>
        </w:rPr>
      </w:pPr>
      <w:proofErr w:type="spellStart"/>
      <w:r>
        <w:rPr>
          <w:rStyle w:val="2"/>
          <w:rFonts w:ascii="Times New Roman" w:hAnsi="Times New Roman" w:cs="Times New Roman"/>
          <w:color w:val="000000"/>
          <w:sz w:val="20"/>
          <w:szCs w:val="20"/>
          <w:lang w:eastAsia="uk-UA"/>
        </w:rPr>
        <w:t>Засідання</w:t>
      </w:r>
      <w:proofErr w:type="spellEnd"/>
      <w:r>
        <w:rPr>
          <w:rStyle w:val="2"/>
          <w:rFonts w:ascii="Times New Roman" w:hAnsi="Times New Roman" w:cs="Times New Roman"/>
          <w:color w:val="000000"/>
          <w:sz w:val="20"/>
          <w:szCs w:val="20"/>
          <w:lang w:eastAsia="uk-UA"/>
        </w:rPr>
        <w:t xml:space="preserve"> </w:t>
      </w:r>
      <w:proofErr w:type="spellStart"/>
      <w:r>
        <w:rPr>
          <w:rStyle w:val="2"/>
          <w:rFonts w:ascii="Times New Roman" w:hAnsi="Times New Roman" w:cs="Times New Roman"/>
          <w:color w:val="000000"/>
          <w:sz w:val="20"/>
          <w:szCs w:val="20"/>
          <w:lang w:eastAsia="uk-UA"/>
        </w:rPr>
        <w:t>комі</w:t>
      </w:r>
      <w:proofErr w:type="gramStart"/>
      <w:r>
        <w:rPr>
          <w:rStyle w:val="2"/>
          <w:rFonts w:ascii="Times New Roman" w:hAnsi="Times New Roman" w:cs="Times New Roman"/>
          <w:color w:val="000000"/>
          <w:sz w:val="20"/>
          <w:szCs w:val="20"/>
          <w:lang w:eastAsia="uk-UA"/>
        </w:rPr>
        <w:t>с</w:t>
      </w:r>
      <w:proofErr w:type="gramEnd"/>
      <w:r>
        <w:rPr>
          <w:rStyle w:val="2"/>
          <w:rFonts w:ascii="Times New Roman" w:hAnsi="Times New Roman" w:cs="Times New Roman"/>
          <w:color w:val="000000"/>
          <w:sz w:val="20"/>
          <w:szCs w:val="20"/>
          <w:lang w:eastAsia="uk-UA"/>
        </w:rPr>
        <w:t>ії</w:t>
      </w:r>
      <w:proofErr w:type="spellEnd"/>
      <w:r>
        <w:rPr>
          <w:rStyle w:val="2"/>
          <w:rFonts w:ascii="Times New Roman" w:hAnsi="Times New Roman" w:cs="Times New Roman"/>
          <w:color w:val="000000"/>
          <w:sz w:val="20"/>
          <w:szCs w:val="20"/>
          <w:lang w:eastAsia="uk-UA"/>
        </w:rPr>
        <w:t xml:space="preserve"> </w:t>
      </w:r>
      <w:proofErr w:type="spellStart"/>
      <w:r>
        <w:rPr>
          <w:rStyle w:val="2"/>
          <w:rFonts w:ascii="Times New Roman" w:hAnsi="Times New Roman" w:cs="Times New Roman"/>
          <w:color w:val="000000"/>
          <w:sz w:val="20"/>
          <w:szCs w:val="20"/>
          <w:lang w:eastAsia="uk-UA"/>
        </w:rPr>
        <w:t>відбудеться</w:t>
      </w:r>
      <w:proofErr w:type="spellEnd"/>
      <w:r>
        <w:rPr>
          <w:rStyle w:val="2"/>
          <w:rFonts w:ascii="Times New Roman" w:hAnsi="Times New Roman" w:cs="Times New Roman"/>
          <w:color w:val="000000"/>
          <w:sz w:val="20"/>
          <w:szCs w:val="20"/>
          <w:lang w:eastAsia="uk-UA"/>
        </w:rPr>
        <w:t xml:space="preserve"> </w:t>
      </w:r>
      <w:r>
        <w:rPr>
          <w:rStyle w:val="2"/>
          <w:rFonts w:ascii="Times New Roman" w:hAnsi="Times New Roman" w:cs="Times New Roman"/>
          <w:b/>
          <w:color w:val="000000"/>
          <w:sz w:val="20"/>
          <w:szCs w:val="20"/>
          <w:lang w:eastAsia="uk-UA"/>
        </w:rPr>
        <w:t xml:space="preserve">18 </w:t>
      </w:r>
      <w:proofErr w:type="spellStart"/>
      <w:r>
        <w:rPr>
          <w:rStyle w:val="2"/>
          <w:rFonts w:ascii="Times New Roman" w:hAnsi="Times New Roman" w:cs="Times New Roman"/>
          <w:b/>
          <w:color w:val="000000"/>
          <w:sz w:val="20"/>
          <w:szCs w:val="20"/>
          <w:lang w:eastAsia="uk-UA"/>
        </w:rPr>
        <w:t>грудня</w:t>
      </w:r>
      <w:proofErr w:type="spellEnd"/>
      <w:r>
        <w:rPr>
          <w:rStyle w:val="2"/>
          <w:rFonts w:ascii="Times New Roman" w:hAnsi="Times New Roman" w:cs="Times New Roman"/>
          <w:b/>
          <w:color w:val="000000"/>
          <w:sz w:val="20"/>
          <w:szCs w:val="20"/>
          <w:lang w:eastAsia="uk-UA"/>
        </w:rPr>
        <w:t xml:space="preserve"> 20</w:t>
      </w:r>
      <w:proofErr w:type="spellStart"/>
      <w:r>
        <w:rPr>
          <w:rStyle w:val="2"/>
          <w:rFonts w:ascii="Times New Roman" w:hAnsi="Times New Roman" w:cs="Times New Roman"/>
          <w:b/>
          <w:color w:val="000000"/>
          <w:sz w:val="20"/>
          <w:szCs w:val="20"/>
          <w:lang w:val="uk-UA" w:eastAsia="uk-UA"/>
        </w:rPr>
        <w:t>20</w:t>
      </w:r>
      <w:proofErr w:type="spellEnd"/>
      <w:r>
        <w:rPr>
          <w:rStyle w:val="2"/>
          <w:rFonts w:ascii="Times New Roman" w:hAnsi="Times New Roman" w:cs="Times New Roman"/>
          <w:b/>
          <w:color w:val="000000"/>
          <w:sz w:val="20"/>
          <w:szCs w:val="20"/>
          <w:lang w:eastAsia="uk-UA"/>
        </w:rPr>
        <w:t xml:space="preserve"> року </w:t>
      </w:r>
      <w:r>
        <w:rPr>
          <w:rStyle w:val="2"/>
          <w:rFonts w:ascii="Times New Roman" w:hAnsi="Times New Roman" w:cs="Times New Roman"/>
          <w:b/>
          <w:color w:val="000000"/>
          <w:sz w:val="20"/>
          <w:szCs w:val="20"/>
          <w:lang w:val="uk-UA" w:eastAsia="uk-UA"/>
        </w:rPr>
        <w:t>о 14.00</w:t>
      </w:r>
      <w:r>
        <w:rPr>
          <w:rStyle w:val="2"/>
          <w:rFonts w:ascii="Times New Roman" w:hAnsi="Times New Roman" w:cs="Times New Roman"/>
          <w:color w:val="000000"/>
          <w:sz w:val="20"/>
          <w:szCs w:val="20"/>
          <w:lang w:val="uk-UA" w:eastAsia="uk-UA"/>
        </w:rPr>
        <w:t xml:space="preserve"> </w:t>
      </w:r>
      <w:r>
        <w:rPr>
          <w:rStyle w:val="2"/>
          <w:rFonts w:ascii="Times New Roman" w:hAnsi="Times New Roman" w:cs="Times New Roman"/>
          <w:color w:val="000000"/>
          <w:sz w:val="20"/>
          <w:szCs w:val="20"/>
          <w:lang w:eastAsia="uk-UA"/>
        </w:rPr>
        <w:t xml:space="preserve">за </w:t>
      </w:r>
      <w:proofErr w:type="spellStart"/>
      <w:r>
        <w:rPr>
          <w:rStyle w:val="2"/>
          <w:rFonts w:ascii="Times New Roman" w:hAnsi="Times New Roman" w:cs="Times New Roman"/>
          <w:color w:val="000000"/>
          <w:sz w:val="20"/>
          <w:szCs w:val="20"/>
          <w:lang w:eastAsia="uk-UA"/>
        </w:rPr>
        <w:t>адресою</w:t>
      </w:r>
      <w:proofErr w:type="spellEnd"/>
      <w:r>
        <w:rPr>
          <w:rStyle w:val="2"/>
          <w:rFonts w:ascii="Times New Roman" w:hAnsi="Times New Roman" w:cs="Times New Roman"/>
          <w:color w:val="000000"/>
          <w:sz w:val="20"/>
          <w:szCs w:val="20"/>
          <w:lang w:eastAsia="uk-UA"/>
        </w:rPr>
        <w:t>:</w:t>
      </w:r>
      <w:r>
        <w:rPr>
          <w:rStyle w:val="2"/>
          <w:rFonts w:ascii="Times New Roman" w:hAnsi="Times New Roman" w:cs="Times New Roman"/>
          <w:color w:val="000000"/>
          <w:sz w:val="20"/>
          <w:szCs w:val="20"/>
          <w:lang w:val="uk-UA" w:eastAsia="uk-UA"/>
        </w:rPr>
        <w:t xml:space="preserve"> </w:t>
      </w:r>
      <w:r>
        <w:rPr>
          <w:rStyle w:val="2"/>
          <w:rFonts w:ascii="Times New Roman" w:hAnsi="Times New Roman" w:cs="Times New Roman"/>
          <w:color w:val="000000"/>
          <w:sz w:val="20"/>
          <w:szCs w:val="20"/>
          <w:lang w:eastAsia="uk-UA"/>
        </w:rPr>
        <w:t>м.</w:t>
      </w:r>
      <w:r>
        <w:rPr>
          <w:rStyle w:val="2"/>
          <w:rFonts w:ascii="Times New Roman" w:hAnsi="Times New Roman" w:cs="Times New Roman"/>
          <w:color w:val="000000"/>
          <w:sz w:val="20"/>
          <w:szCs w:val="20"/>
          <w:lang w:val="uk-UA" w:eastAsia="uk-UA"/>
        </w:rPr>
        <w:t xml:space="preserve"> </w:t>
      </w:r>
      <w:proofErr w:type="spellStart"/>
      <w:r>
        <w:rPr>
          <w:rStyle w:val="2"/>
          <w:rFonts w:ascii="Times New Roman" w:hAnsi="Times New Roman" w:cs="Times New Roman"/>
          <w:color w:val="000000"/>
          <w:sz w:val="20"/>
          <w:szCs w:val="20"/>
          <w:lang w:eastAsia="uk-UA"/>
        </w:rPr>
        <w:t>Дніпро</w:t>
      </w:r>
      <w:proofErr w:type="spellEnd"/>
      <w:r>
        <w:rPr>
          <w:rStyle w:val="2"/>
          <w:rFonts w:ascii="Times New Roman" w:hAnsi="Times New Roman" w:cs="Times New Roman"/>
          <w:color w:val="000000"/>
          <w:sz w:val="20"/>
          <w:szCs w:val="20"/>
          <w:lang w:eastAsia="uk-UA"/>
        </w:rPr>
        <w:t xml:space="preserve">, </w:t>
      </w:r>
      <w:proofErr w:type="spellStart"/>
      <w:r>
        <w:rPr>
          <w:rStyle w:val="2"/>
          <w:rFonts w:ascii="Times New Roman" w:hAnsi="Times New Roman" w:cs="Times New Roman"/>
          <w:color w:val="000000"/>
          <w:sz w:val="20"/>
          <w:szCs w:val="20"/>
          <w:lang w:eastAsia="uk-UA"/>
        </w:rPr>
        <w:t>вул</w:t>
      </w:r>
      <w:proofErr w:type="spellEnd"/>
      <w:r>
        <w:rPr>
          <w:rStyle w:val="2"/>
          <w:rFonts w:ascii="Times New Roman" w:hAnsi="Times New Roman" w:cs="Times New Roman"/>
          <w:color w:val="000000"/>
          <w:sz w:val="20"/>
          <w:szCs w:val="20"/>
          <w:lang w:eastAsia="uk-UA"/>
        </w:rPr>
        <w:t xml:space="preserve">. </w:t>
      </w:r>
      <w:proofErr w:type="spellStart"/>
      <w:r>
        <w:rPr>
          <w:rStyle w:val="2"/>
          <w:rFonts w:ascii="Times New Roman" w:hAnsi="Times New Roman" w:cs="Times New Roman"/>
          <w:color w:val="000000"/>
          <w:sz w:val="20"/>
          <w:szCs w:val="20"/>
          <w:lang w:eastAsia="uk-UA"/>
        </w:rPr>
        <w:t>Сімферопольська</w:t>
      </w:r>
      <w:proofErr w:type="spellEnd"/>
      <w:r>
        <w:rPr>
          <w:rStyle w:val="2"/>
          <w:rFonts w:ascii="Times New Roman" w:hAnsi="Times New Roman" w:cs="Times New Roman"/>
          <w:color w:val="000000"/>
          <w:sz w:val="20"/>
          <w:szCs w:val="20"/>
          <w:lang w:eastAsia="uk-UA"/>
        </w:rPr>
        <w:t>, 17-а.</w:t>
      </w:r>
    </w:p>
    <w:p w:rsidR="00804EB0" w:rsidRDefault="00804EB0" w:rsidP="00804EB0">
      <w:pPr>
        <w:pStyle w:val="210"/>
        <w:shd w:val="clear" w:color="auto" w:fill="auto"/>
        <w:spacing w:line="240" w:lineRule="auto"/>
        <w:rPr>
          <w:rFonts w:ascii="Times New Roman" w:hAnsi="Times New Roman" w:cs="Times New Roman"/>
          <w:sz w:val="20"/>
          <w:szCs w:val="20"/>
        </w:rPr>
      </w:pPr>
      <w:proofErr w:type="spellStart"/>
      <w:r>
        <w:rPr>
          <w:rStyle w:val="2"/>
          <w:rFonts w:ascii="Times New Roman" w:hAnsi="Times New Roman" w:cs="Times New Roman"/>
          <w:color w:val="000000"/>
          <w:sz w:val="20"/>
          <w:szCs w:val="20"/>
          <w:lang w:eastAsia="uk-UA"/>
        </w:rPr>
        <w:t>Контактний</w:t>
      </w:r>
      <w:proofErr w:type="spellEnd"/>
      <w:r>
        <w:rPr>
          <w:rStyle w:val="2"/>
          <w:rFonts w:ascii="Times New Roman" w:hAnsi="Times New Roman" w:cs="Times New Roman"/>
          <w:color w:val="000000"/>
          <w:sz w:val="20"/>
          <w:szCs w:val="20"/>
          <w:lang w:eastAsia="uk-UA"/>
        </w:rPr>
        <w:t xml:space="preserve"> телефон для </w:t>
      </w:r>
      <w:proofErr w:type="spellStart"/>
      <w:r>
        <w:rPr>
          <w:rStyle w:val="2"/>
          <w:rFonts w:ascii="Times New Roman" w:hAnsi="Times New Roman" w:cs="Times New Roman"/>
          <w:color w:val="000000"/>
          <w:sz w:val="20"/>
          <w:szCs w:val="20"/>
          <w:lang w:eastAsia="uk-UA"/>
        </w:rPr>
        <w:t>довідок</w:t>
      </w:r>
      <w:proofErr w:type="spellEnd"/>
      <w:r>
        <w:rPr>
          <w:rStyle w:val="2"/>
          <w:rFonts w:ascii="Times New Roman" w:hAnsi="Times New Roman" w:cs="Times New Roman"/>
          <w:color w:val="000000"/>
          <w:sz w:val="20"/>
          <w:szCs w:val="20"/>
          <w:lang w:eastAsia="uk-UA"/>
        </w:rPr>
        <w:t xml:space="preserve"> </w:t>
      </w:r>
      <w:proofErr w:type="spellStart"/>
      <w:r>
        <w:rPr>
          <w:rStyle w:val="2"/>
          <w:rFonts w:ascii="Times New Roman" w:hAnsi="Times New Roman" w:cs="Times New Roman"/>
          <w:color w:val="000000"/>
          <w:sz w:val="20"/>
          <w:szCs w:val="20"/>
          <w:lang w:eastAsia="uk-UA"/>
        </w:rPr>
        <w:t>з</w:t>
      </w:r>
      <w:proofErr w:type="spellEnd"/>
      <w:r>
        <w:rPr>
          <w:rStyle w:val="2"/>
          <w:rFonts w:ascii="Times New Roman" w:hAnsi="Times New Roman" w:cs="Times New Roman"/>
          <w:color w:val="000000"/>
          <w:sz w:val="20"/>
          <w:szCs w:val="20"/>
          <w:lang w:eastAsia="uk-UA"/>
        </w:rPr>
        <w:t xml:space="preserve"> </w:t>
      </w:r>
      <w:proofErr w:type="spellStart"/>
      <w:r>
        <w:rPr>
          <w:rStyle w:val="2"/>
          <w:rFonts w:ascii="Times New Roman" w:hAnsi="Times New Roman" w:cs="Times New Roman"/>
          <w:color w:val="000000"/>
          <w:sz w:val="20"/>
          <w:szCs w:val="20"/>
          <w:lang w:eastAsia="uk-UA"/>
        </w:rPr>
        <w:t>питань</w:t>
      </w:r>
      <w:proofErr w:type="spellEnd"/>
      <w:r>
        <w:rPr>
          <w:rStyle w:val="2"/>
          <w:rFonts w:ascii="Times New Roman" w:hAnsi="Times New Roman" w:cs="Times New Roman"/>
          <w:color w:val="000000"/>
          <w:sz w:val="20"/>
          <w:szCs w:val="20"/>
          <w:lang w:eastAsia="uk-UA"/>
        </w:rPr>
        <w:t xml:space="preserve"> </w:t>
      </w:r>
      <w:proofErr w:type="spellStart"/>
      <w:r>
        <w:rPr>
          <w:rStyle w:val="2"/>
          <w:rFonts w:ascii="Times New Roman" w:hAnsi="Times New Roman" w:cs="Times New Roman"/>
          <w:color w:val="000000"/>
          <w:sz w:val="20"/>
          <w:szCs w:val="20"/>
          <w:lang w:eastAsia="uk-UA"/>
        </w:rPr>
        <w:t>проведення</w:t>
      </w:r>
      <w:proofErr w:type="spellEnd"/>
      <w:r>
        <w:rPr>
          <w:rStyle w:val="2"/>
          <w:rFonts w:ascii="Times New Roman" w:hAnsi="Times New Roman" w:cs="Times New Roman"/>
          <w:color w:val="000000"/>
          <w:sz w:val="20"/>
          <w:szCs w:val="20"/>
          <w:lang w:eastAsia="uk-UA"/>
        </w:rPr>
        <w:t xml:space="preserve"> конкурсу: </w:t>
      </w:r>
      <w:r>
        <w:rPr>
          <w:rStyle w:val="2"/>
          <w:rFonts w:ascii="Times New Roman" w:hAnsi="Times New Roman" w:cs="Times New Roman"/>
          <w:color w:val="000000"/>
          <w:sz w:val="20"/>
          <w:szCs w:val="20"/>
          <w:lang w:val="uk-UA" w:eastAsia="uk-UA"/>
        </w:rPr>
        <w:t xml:space="preserve">(056) </w:t>
      </w:r>
      <w:r>
        <w:rPr>
          <w:rStyle w:val="2"/>
          <w:rFonts w:ascii="Times New Roman" w:hAnsi="Times New Roman" w:cs="Times New Roman"/>
          <w:color w:val="000000"/>
          <w:sz w:val="20"/>
          <w:szCs w:val="20"/>
          <w:lang w:eastAsia="uk-UA"/>
        </w:rPr>
        <w:t>370-10-64.</w:t>
      </w:r>
    </w:p>
    <w:p w:rsidR="00804EB0" w:rsidRDefault="00804EB0" w:rsidP="00804EB0">
      <w:pPr>
        <w:adjustRightInd w:val="0"/>
        <w:rPr>
          <w:rFonts w:ascii="Times New Roman" w:hAnsi="Times New Roman" w:cs="Times New Roman"/>
          <w:b/>
          <w:sz w:val="20"/>
          <w:szCs w:val="20"/>
          <w:lang w:val="uk-UA"/>
        </w:rPr>
      </w:pPr>
      <w:proofErr w:type="spellStart"/>
      <w:r>
        <w:rPr>
          <w:rStyle w:val="2"/>
          <w:rFonts w:ascii="Times New Roman" w:hAnsi="Times New Roman" w:cs="Times New Roman"/>
          <w:sz w:val="20"/>
          <w:szCs w:val="20"/>
          <w:lang w:eastAsia="uk-UA"/>
        </w:rPr>
        <w:t>Інформацію</w:t>
      </w:r>
      <w:proofErr w:type="spellEnd"/>
      <w:r>
        <w:rPr>
          <w:rStyle w:val="2"/>
          <w:rFonts w:ascii="Times New Roman" w:hAnsi="Times New Roman" w:cs="Times New Roman"/>
          <w:sz w:val="20"/>
          <w:szCs w:val="20"/>
          <w:lang w:eastAsia="uk-UA"/>
        </w:rPr>
        <w:t xml:space="preserve"> про </w:t>
      </w:r>
      <w:proofErr w:type="spellStart"/>
      <w:r>
        <w:rPr>
          <w:rStyle w:val="2"/>
          <w:rFonts w:ascii="Times New Roman" w:hAnsi="Times New Roman" w:cs="Times New Roman"/>
          <w:sz w:val="20"/>
          <w:szCs w:val="20"/>
          <w:lang w:eastAsia="uk-UA"/>
        </w:rPr>
        <w:t>документи</w:t>
      </w:r>
      <w:proofErr w:type="spellEnd"/>
      <w:r>
        <w:rPr>
          <w:rStyle w:val="2"/>
          <w:rFonts w:ascii="Times New Roman" w:hAnsi="Times New Roman" w:cs="Times New Roman"/>
          <w:sz w:val="20"/>
          <w:szCs w:val="20"/>
          <w:lang w:eastAsia="uk-UA"/>
        </w:rPr>
        <w:t xml:space="preserve">, </w:t>
      </w:r>
      <w:proofErr w:type="spellStart"/>
      <w:r>
        <w:rPr>
          <w:rStyle w:val="2"/>
          <w:rFonts w:ascii="Times New Roman" w:hAnsi="Times New Roman" w:cs="Times New Roman"/>
          <w:sz w:val="20"/>
          <w:szCs w:val="20"/>
          <w:lang w:eastAsia="uk-UA"/>
        </w:rPr>
        <w:t>які</w:t>
      </w:r>
      <w:proofErr w:type="spellEnd"/>
      <w:r>
        <w:rPr>
          <w:rStyle w:val="2"/>
          <w:rFonts w:ascii="Times New Roman" w:hAnsi="Times New Roman" w:cs="Times New Roman"/>
          <w:sz w:val="20"/>
          <w:szCs w:val="20"/>
          <w:lang w:eastAsia="uk-UA"/>
        </w:rPr>
        <w:t xml:space="preserve"> </w:t>
      </w:r>
      <w:proofErr w:type="spellStart"/>
      <w:r>
        <w:rPr>
          <w:rStyle w:val="2"/>
          <w:rFonts w:ascii="Times New Roman" w:hAnsi="Times New Roman" w:cs="Times New Roman"/>
          <w:sz w:val="20"/>
          <w:szCs w:val="20"/>
          <w:lang w:eastAsia="uk-UA"/>
        </w:rPr>
        <w:t>необхідно</w:t>
      </w:r>
      <w:proofErr w:type="spellEnd"/>
      <w:r>
        <w:rPr>
          <w:rStyle w:val="2"/>
          <w:rFonts w:ascii="Times New Roman" w:hAnsi="Times New Roman" w:cs="Times New Roman"/>
          <w:sz w:val="20"/>
          <w:szCs w:val="20"/>
          <w:lang w:eastAsia="uk-UA"/>
        </w:rPr>
        <w:t xml:space="preserve"> подати на </w:t>
      </w:r>
      <w:proofErr w:type="spellStart"/>
      <w:r>
        <w:rPr>
          <w:rStyle w:val="2"/>
          <w:rFonts w:ascii="Times New Roman" w:hAnsi="Times New Roman" w:cs="Times New Roman"/>
          <w:sz w:val="20"/>
          <w:szCs w:val="20"/>
          <w:lang w:eastAsia="uk-UA"/>
        </w:rPr>
        <w:t>розгляд</w:t>
      </w:r>
      <w:proofErr w:type="spellEnd"/>
      <w:r>
        <w:rPr>
          <w:rStyle w:val="2"/>
          <w:rFonts w:ascii="Times New Roman" w:hAnsi="Times New Roman" w:cs="Times New Roman"/>
          <w:sz w:val="20"/>
          <w:szCs w:val="20"/>
          <w:lang w:eastAsia="uk-UA"/>
        </w:rPr>
        <w:t xml:space="preserve"> </w:t>
      </w:r>
      <w:proofErr w:type="spellStart"/>
      <w:r>
        <w:rPr>
          <w:rStyle w:val="2"/>
          <w:rFonts w:ascii="Times New Roman" w:hAnsi="Times New Roman" w:cs="Times New Roman"/>
          <w:sz w:val="20"/>
          <w:szCs w:val="20"/>
          <w:lang w:eastAsia="uk-UA"/>
        </w:rPr>
        <w:t>комісії</w:t>
      </w:r>
      <w:proofErr w:type="spellEnd"/>
      <w:r>
        <w:rPr>
          <w:rStyle w:val="2"/>
          <w:rFonts w:ascii="Times New Roman" w:hAnsi="Times New Roman" w:cs="Times New Roman"/>
          <w:sz w:val="20"/>
          <w:szCs w:val="20"/>
          <w:lang w:eastAsia="uk-UA"/>
        </w:rPr>
        <w:t xml:space="preserve"> для </w:t>
      </w:r>
      <w:proofErr w:type="spellStart"/>
      <w:r>
        <w:rPr>
          <w:rStyle w:val="2"/>
          <w:rFonts w:ascii="Times New Roman" w:hAnsi="Times New Roman" w:cs="Times New Roman"/>
          <w:sz w:val="20"/>
          <w:szCs w:val="20"/>
          <w:lang w:eastAsia="uk-UA"/>
        </w:rPr>
        <w:t>участі</w:t>
      </w:r>
      <w:proofErr w:type="spellEnd"/>
      <w:r>
        <w:rPr>
          <w:rStyle w:val="2"/>
          <w:rFonts w:ascii="Times New Roman" w:hAnsi="Times New Roman" w:cs="Times New Roman"/>
          <w:sz w:val="20"/>
          <w:szCs w:val="20"/>
          <w:lang w:eastAsia="uk-UA"/>
        </w:rPr>
        <w:t xml:space="preserve"> </w:t>
      </w:r>
      <w:proofErr w:type="gramStart"/>
      <w:r>
        <w:rPr>
          <w:rStyle w:val="2"/>
          <w:rFonts w:ascii="Times New Roman" w:hAnsi="Times New Roman" w:cs="Times New Roman"/>
          <w:sz w:val="20"/>
          <w:szCs w:val="20"/>
          <w:lang w:eastAsia="uk-UA"/>
        </w:rPr>
        <w:t>у</w:t>
      </w:r>
      <w:proofErr w:type="gramEnd"/>
      <w:r>
        <w:rPr>
          <w:rStyle w:val="2"/>
          <w:rFonts w:ascii="Times New Roman" w:hAnsi="Times New Roman" w:cs="Times New Roman"/>
          <w:sz w:val="20"/>
          <w:szCs w:val="20"/>
          <w:lang w:eastAsia="uk-UA"/>
        </w:rPr>
        <w:t xml:space="preserve"> </w:t>
      </w:r>
      <w:proofErr w:type="spellStart"/>
      <w:r>
        <w:rPr>
          <w:rStyle w:val="2"/>
          <w:rFonts w:ascii="Times New Roman" w:hAnsi="Times New Roman" w:cs="Times New Roman"/>
          <w:sz w:val="20"/>
          <w:szCs w:val="20"/>
          <w:lang w:eastAsia="uk-UA"/>
        </w:rPr>
        <w:t>конкурсі</w:t>
      </w:r>
      <w:proofErr w:type="spellEnd"/>
      <w:r>
        <w:rPr>
          <w:rStyle w:val="2"/>
          <w:rFonts w:ascii="Times New Roman" w:hAnsi="Times New Roman" w:cs="Times New Roman"/>
          <w:sz w:val="20"/>
          <w:szCs w:val="20"/>
          <w:lang w:eastAsia="uk-UA"/>
        </w:rPr>
        <w:t xml:space="preserve">, </w:t>
      </w:r>
      <w:proofErr w:type="spellStart"/>
      <w:r>
        <w:rPr>
          <w:rStyle w:val="2"/>
          <w:rFonts w:ascii="Times New Roman" w:hAnsi="Times New Roman" w:cs="Times New Roman"/>
          <w:sz w:val="20"/>
          <w:szCs w:val="20"/>
          <w:lang w:eastAsia="uk-UA"/>
        </w:rPr>
        <w:t>розміщено</w:t>
      </w:r>
      <w:proofErr w:type="spellEnd"/>
      <w:r>
        <w:rPr>
          <w:rStyle w:val="2"/>
          <w:rFonts w:ascii="Times New Roman" w:hAnsi="Times New Roman" w:cs="Times New Roman"/>
          <w:sz w:val="20"/>
          <w:szCs w:val="20"/>
          <w:lang w:eastAsia="uk-UA"/>
        </w:rPr>
        <w:t xml:space="preserve"> на </w:t>
      </w:r>
      <w:proofErr w:type="spellStart"/>
      <w:r>
        <w:rPr>
          <w:rStyle w:val="2"/>
          <w:rFonts w:ascii="Times New Roman" w:hAnsi="Times New Roman" w:cs="Times New Roman"/>
          <w:sz w:val="20"/>
          <w:szCs w:val="20"/>
          <w:lang w:val="uk-UA" w:eastAsia="uk-UA"/>
        </w:rPr>
        <w:t>суб</w:t>
      </w:r>
      <w:r>
        <w:rPr>
          <w:rStyle w:val="2"/>
          <w:rFonts w:ascii="Times New Roman" w:hAnsi="Times New Roman" w:cs="Times New Roman"/>
          <w:sz w:val="20"/>
          <w:szCs w:val="20"/>
          <w:lang w:eastAsia="uk-UA"/>
        </w:rPr>
        <w:t>сайті</w:t>
      </w:r>
      <w:proofErr w:type="spellEnd"/>
      <w:r>
        <w:rPr>
          <w:rStyle w:val="2"/>
          <w:rFonts w:ascii="Times New Roman" w:hAnsi="Times New Roman" w:cs="Times New Roman"/>
          <w:sz w:val="20"/>
          <w:szCs w:val="20"/>
          <w:lang w:eastAsia="uk-UA"/>
        </w:rPr>
        <w:t xml:space="preserve"> </w:t>
      </w:r>
      <w:r>
        <w:rPr>
          <w:rStyle w:val="2"/>
          <w:rFonts w:ascii="Times New Roman" w:hAnsi="Times New Roman" w:cs="Times New Roman"/>
          <w:sz w:val="20"/>
          <w:szCs w:val="20"/>
          <w:lang w:val="uk-UA" w:eastAsia="uk-UA"/>
        </w:rPr>
        <w:t xml:space="preserve">«Територіальні органи ДПС </w:t>
      </w:r>
      <w:r>
        <w:rPr>
          <w:rStyle w:val="2"/>
          <w:rFonts w:ascii="Times New Roman" w:hAnsi="Times New Roman" w:cs="Times New Roman"/>
          <w:sz w:val="20"/>
          <w:szCs w:val="20"/>
          <w:lang w:eastAsia="uk-UA"/>
        </w:rPr>
        <w:t xml:space="preserve">у Дніпропетровській </w:t>
      </w:r>
      <w:proofErr w:type="spellStart"/>
      <w:r>
        <w:rPr>
          <w:rStyle w:val="2"/>
          <w:rFonts w:ascii="Times New Roman" w:hAnsi="Times New Roman" w:cs="Times New Roman"/>
          <w:sz w:val="20"/>
          <w:szCs w:val="20"/>
          <w:lang w:eastAsia="uk-UA"/>
        </w:rPr>
        <w:t>області</w:t>
      </w:r>
      <w:proofErr w:type="spellEnd"/>
      <w:r>
        <w:rPr>
          <w:rStyle w:val="2"/>
          <w:rFonts w:ascii="Times New Roman" w:hAnsi="Times New Roman" w:cs="Times New Roman"/>
          <w:sz w:val="20"/>
          <w:szCs w:val="20"/>
          <w:lang w:val="uk-UA" w:eastAsia="uk-UA"/>
        </w:rPr>
        <w:t xml:space="preserve">» за посиланням </w:t>
      </w:r>
      <w:proofErr w:type="spellStart"/>
      <w:r>
        <w:rPr>
          <w:rFonts w:ascii="Times New Roman" w:hAnsi="Times New Roman" w:cs="Times New Roman"/>
          <w:b/>
          <w:sz w:val="20"/>
          <w:szCs w:val="20"/>
          <w:lang w:val="uk-UA"/>
        </w:rPr>
        <w:t>dp</w:t>
      </w:r>
      <w:proofErr w:type="spellEnd"/>
      <w:r>
        <w:rPr>
          <w:rFonts w:ascii="Times New Roman" w:hAnsi="Times New Roman" w:cs="Times New Roman"/>
          <w:b/>
          <w:sz w:val="20"/>
          <w:szCs w:val="20"/>
          <w:lang w:val="uk-UA"/>
        </w:rPr>
        <w:t>.</w:t>
      </w:r>
      <w:r>
        <w:rPr>
          <w:rFonts w:ascii="Times New Roman" w:hAnsi="Times New Roman" w:cs="Times New Roman"/>
          <w:b/>
          <w:sz w:val="20"/>
          <w:szCs w:val="20"/>
          <w:lang w:val="en-US"/>
        </w:rPr>
        <w:t>tax</w:t>
      </w:r>
      <w:proofErr w:type="spellStart"/>
      <w:r>
        <w:rPr>
          <w:rFonts w:ascii="Times New Roman" w:hAnsi="Times New Roman" w:cs="Times New Roman"/>
          <w:b/>
          <w:sz w:val="20"/>
          <w:szCs w:val="20"/>
          <w:lang w:val="uk-UA"/>
        </w:rPr>
        <w:t>.gov.ua</w:t>
      </w:r>
      <w:proofErr w:type="spellEnd"/>
      <w:r>
        <w:rPr>
          <w:rFonts w:ascii="Times New Roman" w:hAnsi="Times New Roman" w:cs="Times New Roman"/>
          <w:b/>
          <w:sz w:val="20"/>
          <w:szCs w:val="20"/>
          <w:lang w:val="uk-UA"/>
        </w:rPr>
        <w:t>.</w:t>
      </w:r>
    </w:p>
    <w:p w:rsidR="00804EB0" w:rsidRDefault="00804EB0" w:rsidP="00680C74">
      <w:pPr>
        <w:outlineLvl w:val="0"/>
        <w:rPr>
          <w:rFonts w:ascii="Times New Roman" w:eastAsia="Times New Roman" w:hAnsi="Times New Roman" w:cs="Times New Roman"/>
          <w:b/>
          <w:bCs/>
          <w:kern w:val="36"/>
          <w:sz w:val="20"/>
          <w:szCs w:val="20"/>
          <w:lang w:val="uk-UA" w:eastAsia="ru-RU"/>
        </w:rPr>
      </w:pPr>
    </w:p>
    <w:p w:rsidR="00C51C92" w:rsidRPr="00680C74" w:rsidRDefault="00C51C9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Про отримання фіскального чеку покупцем за оплачені товари (послуги) через програмний РРО </w:t>
      </w:r>
    </w:p>
    <w:p w:rsidR="00C51C92"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Законом України від 20 вересня 2019 року № 128-IX «Про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w:t>
      </w:r>
      <w:proofErr w:type="spellStart"/>
      <w:r w:rsidRPr="00680C74">
        <w:rPr>
          <w:rFonts w:ascii="Times New Roman" w:eastAsia="Times New Roman" w:hAnsi="Times New Roman" w:cs="Times New Roman"/>
          <w:sz w:val="20"/>
          <w:szCs w:val="20"/>
          <w:lang w:val="uk-UA" w:eastAsia="ru-RU"/>
        </w:rPr>
        <w:t>детінізації</w:t>
      </w:r>
      <w:proofErr w:type="spellEnd"/>
      <w:r w:rsidRPr="00680C74">
        <w:rPr>
          <w:rFonts w:ascii="Times New Roman" w:eastAsia="Times New Roman" w:hAnsi="Times New Roman" w:cs="Times New Roman"/>
          <w:sz w:val="20"/>
          <w:szCs w:val="20"/>
          <w:lang w:val="uk-UA" w:eastAsia="ru-RU"/>
        </w:rPr>
        <w:t xml:space="preserve"> розрахунків в сфері торгівлі і послуг» із змінами встановлено, що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надавати особі, яка отримує або повертає товар, отримує послугу або відмовляється від неї, в обов’язковому порядку розрахунковий документ встановленої форми та змісту на повну суму проведеної операції, створений в паперовій та/або електронній формі (у тому числі, але не виключно, з відтворюванням на дисплеї пристрою, на якому встановлений програмний реєстратор розрахункових операцій (програмний РРО) QR-коду, який дозволяє особі здійснювати його зчитування та ідентифікацію з розрахунковим документом за структурою даних, що в ньому міститься, та/або надсиланням електронного розрахункового документа на наданий такою особою абонентський номер або адресу електронної пошти). </w:t>
      </w:r>
    </w:p>
    <w:p w:rsidR="00680C74" w:rsidRPr="00680C74" w:rsidRDefault="00680C74" w:rsidP="00680C74">
      <w:pPr>
        <w:rPr>
          <w:rFonts w:ascii="Times New Roman" w:eastAsia="Times New Roman" w:hAnsi="Times New Roman" w:cs="Times New Roman"/>
          <w:sz w:val="20"/>
          <w:szCs w:val="20"/>
          <w:lang w:val="uk-UA" w:eastAsia="ru-RU"/>
        </w:rPr>
      </w:pPr>
    </w:p>
    <w:p w:rsidR="005F2222" w:rsidRPr="00680C74" w:rsidRDefault="005F222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Про можливі корупційні правопорушення у сфері службової діяльності посадових осіб структурних підрозділів ДПС повідомте на «Пульс»! </w:t>
      </w:r>
    </w:p>
    <w:p w:rsidR="005F2222" w:rsidRPr="00680C74" w:rsidRDefault="00680C74" w:rsidP="00680C74">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П</w:t>
      </w:r>
      <w:r w:rsidR="005F2222" w:rsidRPr="00680C74">
        <w:rPr>
          <w:rFonts w:ascii="Times New Roman" w:eastAsia="Times New Roman" w:hAnsi="Times New Roman" w:cs="Times New Roman"/>
          <w:sz w:val="20"/>
          <w:szCs w:val="20"/>
          <w:lang w:val="uk-UA" w:eastAsia="ru-RU"/>
        </w:rPr>
        <w:t>овідомляє</w:t>
      </w:r>
      <w:r>
        <w:rPr>
          <w:rFonts w:ascii="Times New Roman" w:eastAsia="Times New Roman" w:hAnsi="Times New Roman" w:cs="Times New Roman"/>
          <w:sz w:val="20"/>
          <w:szCs w:val="20"/>
          <w:lang w:val="uk-UA" w:eastAsia="ru-RU"/>
        </w:rPr>
        <w:t>мо</w:t>
      </w:r>
      <w:r w:rsidR="005F2222" w:rsidRPr="00680C74">
        <w:rPr>
          <w:rFonts w:ascii="Times New Roman" w:eastAsia="Times New Roman" w:hAnsi="Times New Roman" w:cs="Times New Roman"/>
          <w:sz w:val="20"/>
          <w:szCs w:val="20"/>
          <w:lang w:val="uk-UA" w:eastAsia="ru-RU"/>
        </w:rPr>
        <w:t xml:space="preserve">, що сервіс «Пульс» приймає звернення громадян та суб’єктів господарювання (далі – Заявники) щодо неправомірних дій та бездіяльності, можливі корупційні правопорушення у сфері службової діяльності з боку конкретних посадових осіб структурних підрозділів ДПС та її територіальних органів (далі – Інформація). </w:t>
      </w:r>
    </w:p>
    <w:p w:rsidR="005F2222" w:rsidRPr="00680C74" w:rsidRDefault="005F222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У період карантину Заявники можуть надати Інформацію за номером телефону Контакт-центру ДПС </w:t>
      </w:r>
      <w:r w:rsidRPr="00680C74">
        <w:rPr>
          <w:rFonts w:ascii="Times New Roman" w:eastAsia="Times New Roman" w:hAnsi="Times New Roman" w:cs="Times New Roman"/>
          <w:b/>
          <w:bCs/>
          <w:sz w:val="20"/>
          <w:szCs w:val="20"/>
          <w:lang w:val="uk-UA" w:eastAsia="ru-RU"/>
        </w:rPr>
        <w:t>0800-501-007,</w:t>
      </w:r>
      <w:r w:rsidRPr="00680C74">
        <w:rPr>
          <w:rFonts w:ascii="Times New Roman" w:eastAsia="Times New Roman" w:hAnsi="Times New Roman" w:cs="Times New Roman"/>
          <w:sz w:val="20"/>
          <w:szCs w:val="20"/>
          <w:lang w:val="uk-UA" w:eastAsia="ru-RU"/>
        </w:rPr>
        <w:t xml:space="preserve"> </w:t>
      </w:r>
    </w:p>
    <w:p w:rsidR="005F2222" w:rsidRPr="00680C74" w:rsidRDefault="005F222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b/>
          <w:bCs/>
          <w:sz w:val="20"/>
          <w:szCs w:val="20"/>
          <w:lang w:val="uk-UA" w:eastAsia="ru-RU"/>
        </w:rPr>
        <w:t>з  08 год. 00 хв. – до 18 год. 00 хв.</w:t>
      </w:r>
      <w:r w:rsidRPr="00680C74">
        <w:rPr>
          <w:rFonts w:ascii="Times New Roman" w:eastAsia="Times New Roman" w:hAnsi="Times New Roman" w:cs="Times New Roman"/>
          <w:sz w:val="20"/>
          <w:szCs w:val="20"/>
          <w:lang w:val="uk-UA" w:eastAsia="ru-RU"/>
        </w:rPr>
        <w:t xml:space="preserve"> </w:t>
      </w:r>
      <w:r w:rsidRPr="00680C74">
        <w:rPr>
          <w:rFonts w:ascii="Times New Roman" w:eastAsia="Times New Roman" w:hAnsi="Times New Roman" w:cs="Times New Roman"/>
          <w:i/>
          <w:iCs/>
          <w:sz w:val="20"/>
          <w:szCs w:val="20"/>
          <w:lang w:val="uk-UA" w:eastAsia="ru-RU"/>
        </w:rPr>
        <w:t>(крім, вихідних і святкових днів)</w:t>
      </w:r>
      <w:r w:rsidRPr="00680C74">
        <w:rPr>
          <w:rFonts w:ascii="Times New Roman" w:eastAsia="Times New Roman" w:hAnsi="Times New Roman" w:cs="Times New Roman"/>
          <w:sz w:val="20"/>
          <w:szCs w:val="20"/>
          <w:lang w:val="uk-UA" w:eastAsia="ru-RU"/>
        </w:rPr>
        <w:t xml:space="preserve"> обравши на інтерактивному голосовому автовідповідачі напрямок </w:t>
      </w:r>
      <w:r w:rsidRPr="00680C74">
        <w:rPr>
          <w:rFonts w:ascii="Times New Roman" w:eastAsia="Times New Roman" w:hAnsi="Times New Roman" w:cs="Times New Roman"/>
          <w:b/>
          <w:bCs/>
          <w:sz w:val="20"/>
          <w:szCs w:val="20"/>
          <w:lang w:val="uk-UA" w:eastAsia="ru-RU"/>
        </w:rPr>
        <w:t>«4»</w:t>
      </w:r>
      <w:r w:rsidRPr="00680C74">
        <w:rPr>
          <w:rFonts w:ascii="Times New Roman" w:eastAsia="Times New Roman" w:hAnsi="Times New Roman" w:cs="Times New Roman"/>
          <w:sz w:val="20"/>
          <w:szCs w:val="20"/>
          <w:lang w:val="uk-UA" w:eastAsia="ru-RU"/>
        </w:rPr>
        <w:t xml:space="preserve">, та </w:t>
      </w:r>
      <w:r w:rsidRPr="00680C74">
        <w:rPr>
          <w:rFonts w:ascii="Times New Roman" w:eastAsia="Times New Roman" w:hAnsi="Times New Roman" w:cs="Times New Roman"/>
          <w:b/>
          <w:bCs/>
          <w:sz w:val="20"/>
          <w:szCs w:val="20"/>
          <w:lang w:val="uk-UA" w:eastAsia="ru-RU"/>
        </w:rPr>
        <w:t>з 18 год. 00 хв. – до 08 год. 00 хв</w:t>
      </w:r>
      <w:r w:rsidRPr="00680C74">
        <w:rPr>
          <w:rFonts w:ascii="Times New Roman" w:eastAsia="Times New Roman" w:hAnsi="Times New Roman" w:cs="Times New Roman"/>
          <w:sz w:val="20"/>
          <w:szCs w:val="20"/>
          <w:lang w:val="uk-UA" w:eastAsia="ru-RU"/>
        </w:rPr>
        <w:t xml:space="preserve">. (також у вихідні і святкові дні) скориставшись послугою </w:t>
      </w:r>
      <w:r w:rsidRPr="00680C74">
        <w:rPr>
          <w:rFonts w:ascii="Times New Roman" w:eastAsia="Times New Roman" w:hAnsi="Times New Roman" w:cs="Times New Roman"/>
          <w:i/>
          <w:iCs/>
          <w:sz w:val="20"/>
          <w:szCs w:val="20"/>
          <w:lang w:val="uk-UA" w:eastAsia="ru-RU"/>
        </w:rPr>
        <w:t>«Залиште запитання – ми Вам зателефонуємо»</w:t>
      </w:r>
      <w:r w:rsidRPr="00680C74">
        <w:rPr>
          <w:rFonts w:ascii="Times New Roman" w:eastAsia="Times New Roman" w:hAnsi="Times New Roman" w:cs="Times New Roman"/>
          <w:sz w:val="20"/>
          <w:szCs w:val="20"/>
          <w:lang w:val="uk-UA" w:eastAsia="ru-RU"/>
        </w:rPr>
        <w:t xml:space="preserve"> і на електронну пошту </w:t>
      </w:r>
      <w:hyperlink r:id="rId4" w:history="1">
        <w:r w:rsidRPr="00680C74">
          <w:rPr>
            <w:rFonts w:ascii="Times New Roman" w:eastAsia="Times New Roman" w:hAnsi="Times New Roman" w:cs="Times New Roman"/>
            <w:color w:val="0000FF"/>
            <w:sz w:val="20"/>
            <w:szCs w:val="20"/>
            <w:u w:val="single"/>
            <w:lang w:val="uk-UA" w:eastAsia="ru-RU"/>
          </w:rPr>
          <w:t>idd@tax.gov.ua</w:t>
        </w:r>
      </w:hyperlink>
      <w:r w:rsidRPr="00680C74">
        <w:rPr>
          <w:rFonts w:ascii="Times New Roman" w:eastAsia="Times New Roman" w:hAnsi="Times New Roman" w:cs="Times New Roman"/>
          <w:sz w:val="20"/>
          <w:szCs w:val="20"/>
          <w:lang w:val="uk-UA" w:eastAsia="ru-RU"/>
        </w:rPr>
        <w:t xml:space="preserve">. </w:t>
      </w:r>
    </w:p>
    <w:p w:rsidR="005F2222" w:rsidRPr="00680C74" w:rsidRDefault="005F222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При наданні Інформації бажано назвати своє прізвище, ім’я, по батькові (найменування підприємства, установи, організації, суб’єкта господарювання), контактний телефон, місце проживання/реєстрації, а також прізвище, ім’я, по батькові та посаду працівника органу ДПС, з яким пов’язана подія, дата, місце і суть події, конкретні обставини, зауваження, прохання чи вимоги. Якщо Заявник не бажає називати своє прізвище, ім’я, по батькові, місце проживання/реєстрації, Інформація реєструється як анонімна. </w:t>
      </w:r>
    </w:p>
    <w:p w:rsidR="005F2222" w:rsidRPr="00680C74" w:rsidRDefault="005F222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У разі звернення представника Заявника обов’язково надаються відомості стосовно його повноважень здійснювати представництво законних інтересів та ведення справ Заявника, пов’язаних із сплатою податків, на підставі закону або довіреності. Якщо представник Заявника не надає такі дані, Інформація на сервіс «Пульс» не приймається. </w:t>
      </w:r>
    </w:p>
    <w:p w:rsidR="005F2222" w:rsidRPr="00680C74" w:rsidRDefault="005F222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Про результати розгляду Інформації клієнти повідомляються невідкладно або протягом 3 робочих днів. Якщо інформація потребує додаткового розгляду, то загальний термін її опрацювання може бути подовжено. </w:t>
      </w:r>
    </w:p>
    <w:p w:rsidR="005F2222" w:rsidRPr="00680C74" w:rsidRDefault="005F222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Не повідомляються Заявникам результати розгляду анонімної Інформації та повідомлень про наявність на офіційному </w:t>
      </w:r>
      <w:proofErr w:type="spellStart"/>
      <w:r w:rsidRPr="00680C74">
        <w:rPr>
          <w:rFonts w:ascii="Times New Roman" w:eastAsia="Times New Roman" w:hAnsi="Times New Roman" w:cs="Times New Roman"/>
          <w:sz w:val="20"/>
          <w:szCs w:val="20"/>
          <w:lang w:val="uk-UA" w:eastAsia="ru-RU"/>
        </w:rPr>
        <w:t>вебпорталі</w:t>
      </w:r>
      <w:proofErr w:type="spellEnd"/>
      <w:r w:rsidRPr="00680C74">
        <w:rPr>
          <w:rFonts w:ascii="Times New Roman" w:eastAsia="Times New Roman" w:hAnsi="Times New Roman" w:cs="Times New Roman"/>
          <w:sz w:val="20"/>
          <w:szCs w:val="20"/>
          <w:lang w:val="uk-UA" w:eastAsia="ru-RU"/>
        </w:rPr>
        <w:t>/</w:t>
      </w:r>
      <w:proofErr w:type="spellStart"/>
      <w:r w:rsidRPr="00680C74">
        <w:rPr>
          <w:rFonts w:ascii="Times New Roman" w:eastAsia="Times New Roman" w:hAnsi="Times New Roman" w:cs="Times New Roman"/>
          <w:sz w:val="20"/>
          <w:szCs w:val="20"/>
          <w:lang w:val="uk-UA" w:eastAsia="ru-RU"/>
        </w:rPr>
        <w:t>субсайтах</w:t>
      </w:r>
      <w:proofErr w:type="spellEnd"/>
      <w:r w:rsidRPr="00680C74">
        <w:rPr>
          <w:rFonts w:ascii="Times New Roman" w:eastAsia="Times New Roman" w:hAnsi="Times New Roman" w:cs="Times New Roman"/>
          <w:sz w:val="20"/>
          <w:szCs w:val="20"/>
          <w:lang w:val="uk-UA" w:eastAsia="ru-RU"/>
        </w:rPr>
        <w:t xml:space="preserve"> ДПС недостовірної/застарілої інформації; методологічних чи технічних проблем в роботі електронних сервісів чи систем; відомості що надходить до </w:t>
      </w:r>
      <w:proofErr w:type="spellStart"/>
      <w:r w:rsidRPr="00680C74">
        <w:rPr>
          <w:rFonts w:ascii="Times New Roman" w:eastAsia="Times New Roman" w:hAnsi="Times New Roman" w:cs="Times New Roman"/>
          <w:sz w:val="20"/>
          <w:szCs w:val="20"/>
          <w:lang w:val="uk-UA" w:eastAsia="ru-RU"/>
        </w:rPr>
        <w:t>ІДД</w:t>
      </w:r>
      <w:proofErr w:type="spellEnd"/>
      <w:r w:rsidRPr="00680C74">
        <w:rPr>
          <w:rFonts w:ascii="Times New Roman" w:eastAsia="Times New Roman" w:hAnsi="Times New Roman" w:cs="Times New Roman"/>
          <w:sz w:val="20"/>
          <w:szCs w:val="20"/>
          <w:lang w:val="uk-UA" w:eastAsia="ru-RU"/>
        </w:rPr>
        <w:t xml:space="preserve"> ДПС електронною поштою щодо мінімізації сплати податків, зборів, єдиного внеску. </w:t>
      </w:r>
    </w:p>
    <w:p w:rsidR="00680C74" w:rsidRPr="00680C74" w:rsidRDefault="00680C74" w:rsidP="00680C74">
      <w:pPr>
        <w:rPr>
          <w:rFonts w:ascii="Times New Roman" w:eastAsia="Times New Roman" w:hAnsi="Times New Roman" w:cs="Times New Roman"/>
          <w:sz w:val="20"/>
          <w:szCs w:val="20"/>
          <w:lang w:val="uk-UA" w:eastAsia="ru-RU"/>
        </w:rPr>
      </w:pPr>
    </w:p>
    <w:p w:rsidR="005F2222" w:rsidRPr="00680C74" w:rsidRDefault="005F222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Державна податкова служба України запустила свій Telegram-канал </w:t>
      </w:r>
    </w:p>
    <w:p w:rsidR="005F2222" w:rsidRPr="00680C74" w:rsidRDefault="005F222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Державна податкова служба України запустила свій Telegram-канал. </w:t>
      </w:r>
    </w:p>
    <w:p w:rsidR="005F2222" w:rsidRPr="00680C74" w:rsidRDefault="005F222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Про податки і не тільки – відтепер у більш зручному та мобільному форматі. </w:t>
      </w:r>
    </w:p>
    <w:p w:rsidR="005F2222" w:rsidRPr="00680C74" w:rsidRDefault="005F222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Що ж цікавого запропоновано? </w:t>
      </w:r>
    </w:p>
    <w:p w:rsidR="005F2222" w:rsidRPr="00680C74" w:rsidRDefault="005F222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Це – ексклюзивні матеріали, </w:t>
      </w:r>
      <w:proofErr w:type="spellStart"/>
      <w:r w:rsidRPr="00680C74">
        <w:rPr>
          <w:rFonts w:ascii="Times New Roman" w:eastAsia="Times New Roman" w:hAnsi="Times New Roman" w:cs="Times New Roman"/>
          <w:sz w:val="20"/>
          <w:szCs w:val="20"/>
          <w:lang w:val="uk-UA" w:eastAsia="ru-RU"/>
        </w:rPr>
        <w:t>інфографіки</w:t>
      </w:r>
      <w:proofErr w:type="spellEnd"/>
      <w:r w:rsidRPr="00680C74">
        <w:rPr>
          <w:rFonts w:ascii="Times New Roman" w:eastAsia="Times New Roman" w:hAnsi="Times New Roman" w:cs="Times New Roman"/>
          <w:sz w:val="20"/>
          <w:szCs w:val="20"/>
          <w:lang w:val="uk-UA" w:eastAsia="ru-RU"/>
        </w:rPr>
        <w:t xml:space="preserve">, все про сервіси податкової, анонси, роз’яснення та коментарі фахівців. </w:t>
      </w:r>
    </w:p>
    <w:p w:rsidR="005F2222" w:rsidRPr="00680C74" w:rsidRDefault="005F222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Підписуйтеся на Telegram-канал Державної податкової служби України </w:t>
      </w:r>
      <w:hyperlink r:id="rId5" w:tgtFrame="_blank" w:history="1">
        <w:r w:rsidRPr="00680C74">
          <w:rPr>
            <w:rFonts w:ascii="Times New Roman" w:eastAsia="Times New Roman" w:hAnsi="Times New Roman" w:cs="Times New Roman"/>
            <w:color w:val="0000FF"/>
            <w:sz w:val="20"/>
            <w:szCs w:val="20"/>
            <w:u w:val="single"/>
            <w:lang w:val="uk-UA" w:eastAsia="ru-RU"/>
          </w:rPr>
          <w:t>https://t.me/tax_gov_ua</w:t>
        </w:r>
      </w:hyperlink>
      <w:r w:rsidRPr="00680C74">
        <w:rPr>
          <w:rFonts w:ascii="Times New Roman" w:eastAsia="Times New Roman" w:hAnsi="Times New Roman" w:cs="Times New Roman"/>
          <w:sz w:val="20"/>
          <w:szCs w:val="20"/>
          <w:lang w:val="uk-UA" w:eastAsia="ru-RU"/>
        </w:rPr>
        <w:t xml:space="preserve"> </w:t>
      </w:r>
    </w:p>
    <w:p w:rsidR="00680C74" w:rsidRPr="00680C74" w:rsidRDefault="00680C74" w:rsidP="00680C74">
      <w:pPr>
        <w:rPr>
          <w:rFonts w:ascii="Times New Roman" w:eastAsia="Times New Roman" w:hAnsi="Times New Roman" w:cs="Times New Roman"/>
          <w:sz w:val="20"/>
          <w:szCs w:val="20"/>
          <w:lang w:val="uk-UA" w:eastAsia="ru-RU"/>
        </w:rPr>
      </w:pPr>
    </w:p>
    <w:p w:rsidR="00C51C92" w:rsidRPr="00680C74" w:rsidRDefault="00C51C9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Право внутрішньо переміщеної особи на податкову знижку за витратами на оренду житла </w:t>
      </w:r>
    </w:p>
    <w:p w:rsidR="00C51C92" w:rsidRPr="00680C74" w:rsidRDefault="00680C74" w:rsidP="00680C74">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Н</w:t>
      </w:r>
      <w:r w:rsidR="00C51C92" w:rsidRPr="00680C74">
        <w:rPr>
          <w:rFonts w:ascii="Times New Roman" w:eastAsia="Times New Roman" w:hAnsi="Times New Roman" w:cs="Times New Roman"/>
          <w:sz w:val="20"/>
          <w:szCs w:val="20"/>
          <w:lang w:val="uk-UA" w:eastAsia="ru-RU"/>
        </w:rPr>
        <w:t>агадує</w:t>
      </w:r>
      <w:r>
        <w:rPr>
          <w:rFonts w:ascii="Times New Roman" w:eastAsia="Times New Roman" w:hAnsi="Times New Roman" w:cs="Times New Roman"/>
          <w:sz w:val="20"/>
          <w:szCs w:val="20"/>
          <w:lang w:val="uk-UA" w:eastAsia="ru-RU"/>
        </w:rPr>
        <w:t>мо</w:t>
      </w:r>
      <w:r w:rsidR="00C51C92" w:rsidRPr="00680C74">
        <w:rPr>
          <w:rFonts w:ascii="Times New Roman" w:eastAsia="Times New Roman" w:hAnsi="Times New Roman" w:cs="Times New Roman"/>
          <w:sz w:val="20"/>
          <w:szCs w:val="20"/>
          <w:lang w:val="uk-UA" w:eastAsia="ru-RU"/>
        </w:rPr>
        <w:t xml:space="preserve">, що право платника податку на доходи фізичних осіб (далі – ПДФО) на податкову знижку, підстави для її нарахування, перелік витрат, дозволених до включення до податкової знижки, обмеження права на її нарахування визначені ст. 166 Податкового кодексу України (далі – ПКУ).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Відповідно до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166.3.9 п. 166.3 ст. 166 ПКУ платник ПДФО має право включити до податкової знижки у зменшення оподатковуваного доходу платника ПДФО за наслідками звітного податкового року, визначеного з урахуванням положень п. 164.6 ст. 164 ПКУ, фактично сплачені ним протягом звітного податкового року суми коштів, у вигляді </w:t>
      </w:r>
      <w:r w:rsidRPr="00680C74">
        <w:rPr>
          <w:rFonts w:ascii="Times New Roman" w:eastAsia="Times New Roman" w:hAnsi="Times New Roman" w:cs="Times New Roman"/>
          <w:sz w:val="20"/>
          <w:szCs w:val="20"/>
          <w:lang w:val="uk-UA" w:eastAsia="ru-RU"/>
        </w:rPr>
        <w:lastRenderedPageBreak/>
        <w:t xml:space="preserve">орендної плати за договором оренди житла (квартири, будинку), оформленим відповідно до вимог чинного законодавства, фактично сплачених платником ПДФО, який має статус внутрішньо переміщеної особи.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Платник ПДФО має право скористатися зазначеною в п. 166.3.9 п. 166.3  ст. 166 ПКУ податковою знижкою виключно за умови, що він та/або члени його сім’ї першого ступеня споріднення: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не мають у власності придатної для проживання житлової нерухомості, розташованої поза межами тимчасово окупованої території України;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не отримують передбачених законодавством України бюджетних виплат для покриття витрат на проживання.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Розмір такої знижки не може перевищувати (у розрахунку на календарний рік) 30 розмірів мінімальної заробітної плати, встановленої на 1 січня звітного (податкового) року. </w:t>
      </w:r>
    </w:p>
    <w:p w:rsidR="00C51C92" w:rsidRDefault="00C51C92" w:rsidP="00680C74">
      <w:pPr>
        <w:rPr>
          <w:rFonts w:ascii="Times New Roman" w:eastAsia="Times New Roman" w:hAnsi="Times New Roman" w:cs="Times New Roman"/>
          <w:sz w:val="20"/>
          <w:szCs w:val="20"/>
          <w:lang w:val="uk-UA" w:eastAsia="ru-RU"/>
        </w:rPr>
      </w:pPr>
      <w:proofErr w:type="spellStart"/>
      <w:r w:rsidRPr="00680C74">
        <w:rPr>
          <w:rFonts w:ascii="Times New Roman" w:eastAsia="Times New Roman" w:hAnsi="Times New Roman" w:cs="Times New Roman"/>
          <w:sz w:val="20"/>
          <w:szCs w:val="20"/>
          <w:lang w:val="uk-UA" w:eastAsia="ru-RU"/>
        </w:rPr>
        <w:t>Довідково</w:t>
      </w:r>
      <w:proofErr w:type="spellEnd"/>
      <w:r w:rsidRPr="00680C74">
        <w:rPr>
          <w:rFonts w:ascii="Times New Roman" w:eastAsia="Times New Roman" w:hAnsi="Times New Roman" w:cs="Times New Roman"/>
          <w:sz w:val="20"/>
          <w:szCs w:val="20"/>
          <w:lang w:val="uk-UA" w:eastAsia="ru-RU"/>
        </w:rPr>
        <w:t xml:space="preserve">: за 2019 рік платник ПДФО має можливість скористатись правом на податкову знижку по 31 грудня 2020 року. </w:t>
      </w:r>
    </w:p>
    <w:p w:rsidR="00680C74" w:rsidRPr="00680C74" w:rsidRDefault="00680C74" w:rsidP="00680C74">
      <w:pPr>
        <w:rPr>
          <w:rFonts w:ascii="Times New Roman" w:eastAsia="Times New Roman" w:hAnsi="Times New Roman" w:cs="Times New Roman"/>
          <w:sz w:val="20"/>
          <w:szCs w:val="20"/>
          <w:lang w:val="uk-UA" w:eastAsia="ru-RU"/>
        </w:rPr>
      </w:pPr>
    </w:p>
    <w:p w:rsidR="00C51C92" w:rsidRPr="00680C74" w:rsidRDefault="00C51C9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Повідомлення про прийняття працівника на роботу можливо подавати за допомогою програмного забезпечення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Державною податковою службою України розроблено спеціалізоване клієнтське програмне забезпечення для формування та подання звітності до «Єдиного вікна подання електронної звітності» (за версією чинною на дату подання повідомлення), яке розповсюджується на безоплатній основі, зокрема розміщено у розділі </w:t>
      </w:r>
      <w:r w:rsidRPr="00680C74">
        <w:rPr>
          <w:rFonts w:ascii="Times New Roman" w:eastAsia="Times New Roman" w:hAnsi="Times New Roman" w:cs="Times New Roman"/>
          <w:i/>
          <w:iCs/>
          <w:sz w:val="20"/>
          <w:szCs w:val="20"/>
          <w:lang w:val="uk-UA" w:eastAsia="ru-RU"/>
        </w:rPr>
        <w:t>«Платникам податків про електронну звітність»</w:t>
      </w:r>
      <w:r w:rsidRPr="00680C74">
        <w:rPr>
          <w:rFonts w:ascii="Times New Roman" w:eastAsia="Times New Roman" w:hAnsi="Times New Roman" w:cs="Times New Roman"/>
          <w:sz w:val="20"/>
          <w:szCs w:val="20"/>
          <w:lang w:val="uk-UA" w:eastAsia="ru-RU"/>
        </w:rPr>
        <w:t xml:space="preserve"> офіційного </w:t>
      </w:r>
      <w:proofErr w:type="spellStart"/>
      <w:r w:rsidRPr="00680C74">
        <w:rPr>
          <w:rFonts w:ascii="Times New Roman" w:eastAsia="Times New Roman" w:hAnsi="Times New Roman" w:cs="Times New Roman"/>
          <w:sz w:val="20"/>
          <w:szCs w:val="20"/>
          <w:lang w:val="uk-UA" w:eastAsia="ru-RU"/>
        </w:rPr>
        <w:t>вебпорталу</w:t>
      </w:r>
      <w:proofErr w:type="spellEnd"/>
      <w:r w:rsidRPr="00680C74">
        <w:rPr>
          <w:rFonts w:ascii="Times New Roman" w:eastAsia="Times New Roman" w:hAnsi="Times New Roman" w:cs="Times New Roman"/>
          <w:sz w:val="20"/>
          <w:szCs w:val="20"/>
          <w:lang w:val="uk-UA" w:eastAsia="ru-RU"/>
        </w:rPr>
        <w:t xml:space="preserve"> ДПС (</w:t>
      </w:r>
      <w:hyperlink r:id="rId6" w:history="1">
        <w:r w:rsidRPr="00680C74">
          <w:rPr>
            <w:rFonts w:ascii="Times New Roman" w:eastAsia="Times New Roman" w:hAnsi="Times New Roman" w:cs="Times New Roman"/>
            <w:color w:val="0000FF"/>
            <w:sz w:val="20"/>
            <w:szCs w:val="20"/>
            <w:u w:val="single"/>
            <w:lang w:val="uk-UA" w:eastAsia="ru-RU"/>
          </w:rPr>
          <w:t>http://tax.gov.ua/elektronna-zvitnist/spetsializovane-klientske-program/</w:t>
        </w:r>
      </w:hyperlink>
      <w:r w:rsidRPr="00680C74">
        <w:rPr>
          <w:rFonts w:ascii="Times New Roman" w:eastAsia="Times New Roman" w:hAnsi="Times New Roman" w:cs="Times New Roman"/>
          <w:sz w:val="20"/>
          <w:szCs w:val="20"/>
          <w:lang w:val="uk-UA" w:eastAsia="ru-RU"/>
        </w:rPr>
        <w:t xml:space="preserve">).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 даному програмному забезпеченні платникам надана можливість сформувати Повідомлення про прийняття працівника на роботу, накласти кваліфікований електронний підпис чи печатку та направити його до Єдиного вікна податкової звітності.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Нагадуємо, що відповідно до Порядку повідомлення Державній податковій службі та її територіальним органам про прийняття працівника на роботу, затвердженого постановою Кабінету Міністрів України від 17 червня 2015 року  № 413 із змінами та доповненнями (далі – Порядок № 413), повідомлення про прийняття працівника на роботу подається власником підприємства, установи, організації або уповноваженим ним органом (особою) чи фізичною особою (</w:t>
      </w:r>
      <w:r w:rsidRPr="00680C74">
        <w:rPr>
          <w:rFonts w:ascii="Times New Roman" w:eastAsia="Times New Roman" w:hAnsi="Times New Roman" w:cs="Times New Roman"/>
          <w:i/>
          <w:iCs/>
          <w:sz w:val="20"/>
          <w:szCs w:val="20"/>
          <w:lang w:val="uk-UA" w:eastAsia="ru-RU"/>
        </w:rPr>
        <w:t>крім повідомлення про прийняття на роботу члена виконавчого органу господарського товариства, керівника підприємства, установи, організації)</w:t>
      </w:r>
      <w:r w:rsidRPr="00680C74">
        <w:rPr>
          <w:rFonts w:ascii="Times New Roman" w:eastAsia="Times New Roman" w:hAnsi="Times New Roman" w:cs="Times New Roman"/>
          <w:sz w:val="20"/>
          <w:szCs w:val="20"/>
          <w:lang w:val="uk-UA" w:eastAsia="ru-RU"/>
        </w:rPr>
        <w:t xml:space="preserve"> до територіальних органів Державної податкової служби (далі – ДПС) за місцем обліку їх як платника єдиного внеску на загальнообов’язкове державне соціальне страхування за формою згідно з додатком до Порядку № 413 до початку роботи працівника за укладеним трудовим договором одним із таких способів: </w:t>
      </w:r>
    </w:p>
    <w:p w:rsidR="00C51C92"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Повідомленням про прийняття на роботу члена виконавчого органу господарського товариства, керівника підприємства, установи, організації є відомості, отримані органами ДПС з Єдиного державного реєстру юридичних осіб, фізичних осіб – підприємців та громадських формувань. </w:t>
      </w:r>
    </w:p>
    <w:p w:rsidR="00680C74" w:rsidRPr="00680C74" w:rsidRDefault="00680C74" w:rsidP="00680C74">
      <w:pPr>
        <w:rPr>
          <w:rFonts w:ascii="Times New Roman" w:eastAsia="Times New Roman" w:hAnsi="Times New Roman" w:cs="Times New Roman"/>
          <w:sz w:val="20"/>
          <w:szCs w:val="20"/>
          <w:lang w:val="uk-UA" w:eastAsia="ru-RU"/>
        </w:rPr>
      </w:pPr>
    </w:p>
    <w:p w:rsidR="00C51C92" w:rsidRPr="00680C74" w:rsidRDefault="00C51C9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Останній день строку сплати єдиного внеску, який припадає на вихідний або святковий день, переноситься </w:t>
      </w:r>
    </w:p>
    <w:p w:rsidR="00C51C92" w:rsidRPr="00680C74" w:rsidRDefault="00680C74" w:rsidP="00680C74">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З</w:t>
      </w:r>
      <w:r w:rsidR="00C51C92" w:rsidRPr="00680C74">
        <w:rPr>
          <w:rFonts w:ascii="Times New Roman" w:eastAsia="Times New Roman" w:hAnsi="Times New Roman" w:cs="Times New Roman"/>
          <w:sz w:val="20"/>
          <w:szCs w:val="20"/>
          <w:lang w:val="uk-UA" w:eastAsia="ru-RU"/>
        </w:rPr>
        <w:t>вертає</w:t>
      </w:r>
      <w:r>
        <w:rPr>
          <w:rFonts w:ascii="Times New Roman" w:eastAsia="Times New Roman" w:hAnsi="Times New Roman" w:cs="Times New Roman"/>
          <w:sz w:val="20"/>
          <w:szCs w:val="20"/>
          <w:lang w:val="uk-UA" w:eastAsia="ru-RU"/>
        </w:rPr>
        <w:t>мо</w:t>
      </w:r>
      <w:r w:rsidR="00C51C92" w:rsidRPr="00680C74">
        <w:rPr>
          <w:rFonts w:ascii="Times New Roman" w:eastAsia="Times New Roman" w:hAnsi="Times New Roman" w:cs="Times New Roman"/>
          <w:sz w:val="20"/>
          <w:szCs w:val="20"/>
          <w:lang w:val="uk-UA" w:eastAsia="ru-RU"/>
        </w:rPr>
        <w:t xml:space="preserve"> увагу, що роботодавці зобов’язані сплачувати єдиний внесок на загальнообов’язкове державне соціальне страхування (далі – єдиний внесок), нарахований за календарний місяць, не пізніше 20 числа наступного місяця, </w:t>
      </w:r>
      <w:r w:rsidR="00C51C92" w:rsidRPr="00680C74">
        <w:rPr>
          <w:rFonts w:ascii="Times New Roman" w:eastAsia="Times New Roman" w:hAnsi="Times New Roman" w:cs="Times New Roman"/>
          <w:i/>
          <w:iCs/>
          <w:sz w:val="20"/>
          <w:szCs w:val="20"/>
          <w:lang w:val="uk-UA" w:eastAsia="ru-RU"/>
        </w:rPr>
        <w:t>крім гірничих підприємств, які зобов’язані сплачувати єдиний внесок, нарахований за календарний місяць, не пізніше 28 числа наступного місяця</w:t>
      </w:r>
      <w:r w:rsidR="00C51C92" w:rsidRPr="00680C74">
        <w:rPr>
          <w:rFonts w:ascii="Times New Roman" w:eastAsia="Times New Roman" w:hAnsi="Times New Roman" w:cs="Times New Roman"/>
          <w:sz w:val="20"/>
          <w:szCs w:val="20"/>
          <w:lang w:val="uk-UA" w:eastAsia="ru-RU"/>
        </w:rPr>
        <w:t xml:space="preserve">.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Норми встановлені частиною 8 ст. 9 Закону України від 08 липня 2010 року      № 2464-VI «Про збір та облік єдиного внеску на загальнообов’язкове державне соціальне страхування» із змінами та доповненнями.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Порядок нарахування і сплати єдиного внеску затверджено наказом Міністерства фінансів України від 20.04.2015 № 449 «Про затвердження Інструкції про порядок нарахування і сплати єдиного внеску на загальнообов’язкове державне соціальне страхування» із змінами (далі – Інструкція № 449).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Згідно з п. 12 розділу ІV Інструкції № 449 у разі якщо останній день строків сплати єдиного внеску, зазначених у Інструкції № 449, припадає на вихідний або святковий день, останнім днем таких строків сплати єдиного внеску вважається перший робочий день, що настає за вихідним або святковим днем. </w:t>
      </w:r>
    </w:p>
    <w:p w:rsidR="00680C74" w:rsidRPr="00680C74" w:rsidRDefault="00680C74" w:rsidP="00680C74">
      <w:pPr>
        <w:outlineLvl w:val="0"/>
        <w:rPr>
          <w:rFonts w:ascii="Times New Roman" w:eastAsia="Times New Roman" w:hAnsi="Times New Roman" w:cs="Times New Roman"/>
          <w:b/>
          <w:bCs/>
          <w:kern w:val="36"/>
          <w:sz w:val="20"/>
          <w:szCs w:val="20"/>
          <w:lang w:val="uk-UA" w:eastAsia="ru-RU"/>
        </w:rPr>
      </w:pPr>
    </w:p>
    <w:p w:rsidR="00555CCC" w:rsidRPr="00680C74" w:rsidRDefault="00555CCC"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Олексій Любченко: Я готовий взяти на себе зобов’язання не виходити на перевірки бізнесу з обігом менше 50 </w:t>
      </w:r>
      <w:proofErr w:type="spellStart"/>
      <w:r w:rsidRPr="00680C74">
        <w:rPr>
          <w:rFonts w:ascii="Times New Roman" w:eastAsia="Times New Roman" w:hAnsi="Times New Roman" w:cs="Times New Roman"/>
          <w:b/>
          <w:bCs/>
          <w:kern w:val="36"/>
          <w:sz w:val="20"/>
          <w:szCs w:val="20"/>
          <w:lang w:val="uk-UA" w:eastAsia="ru-RU"/>
        </w:rPr>
        <w:t>млн</w:t>
      </w:r>
      <w:proofErr w:type="spellEnd"/>
      <w:r w:rsidRPr="00680C74">
        <w:rPr>
          <w:rFonts w:ascii="Times New Roman" w:eastAsia="Times New Roman" w:hAnsi="Times New Roman" w:cs="Times New Roman"/>
          <w:b/>
          <w:bCs/>
          <w:kern w:val="36"/>
          <w:sz w:val="20"/>
          <w:szCs w:val="20"/>
          <w:lang w:val="uk-UA" w:eastAsia="ru-RU"/>
        </w:rPr>
        <w:t xml:space="preserve"> EUR, крім ризикових </w:t>
      </w:r>
    </w:p>
    <w:p w:rsidR="00555CCC" w:rsidRPr="00680C74" w:rsidRDefault="00555CCC"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Законодавцем надано право Кабінету Міністрів України знімати обмеження на проведення податкових перевірок. З огляду на це на листопад-грудень 2020 року заплановано 812 перевірок на загальну суму ризиків понад 5 </w:t>
      </w:r>
      <w:proofErr w:type="spellStart"/>
      <w:r w:rsidRPr="00680C74">
        <w:rPr>
          <w:rFonts w:ascii="Times New Roman" w:eastAsia="Times New Roman" w:hAnsi="Times New Roman" w:cs="Times New Roman"/>
          <w:sz w:val="20"/>
          <w:szCs w:val="20"/>
          <w:lang w:val="uk-UA" w:eastAsia="ru-RU"/>
        </w:rPr>
        <w:t>млрд</w:t>
      </w:r>
      <w:proofErr w:type="spellEnd"/>
      <w:r w:rsidRPr="00680C74">
        <w:rPr>
          <w:rFonts w:ascii="Times New Roman" w:eastAsia="Times New Roman" w:hAnsi="Times New Roman" w:cs="Times New Roman"/>
          <w:sz w:val="20"/>
          <w:szCs w:val="20"/>
          <w:lang w:val="uk-UA" w:eastAsia="ru-RU"/>
        </w:rPr>
        <w:t xml:space="preserve"> гривень. Про це заявив Голова ДПС Олексій Любченко в інтерв’ю інформаційному агентству «Інтерфакс-Україна». </w:t>
      </w:r>
    </w:p>
    <w:p w:rsidR="00555CCC" w:rsidRPr="00680C74" w:rsidRDefault="00555CCC"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За його словами, наразі залишаються зупиненими 353 планові перевірки платників податків, за якими загальна сума ризиків несплати податків складає 39 </w:t>
      </w:r>
      <w:proofErr w:type="spellStart"/>
      <w:r w:rsidRPr="00680C74">
        <w:rPr>
          <w:rFonts w:ascii="Times New Roman" w:eastAsia="Times New Roman" w:hAnsi="Times New Roman" w:cs="Times New Roman"/>
          <w:sz w:val="20"/>
          <w:szCs w:val="20"/>
          <w:lang w:val="uk-UA" w:eastAsia="ru-RU"/>
        </w:rPr>
        <w:t>млрд</w:t>
      </w:r>
      <w:proofErr w:type="spellEnd"/>
      <w:r w:rsidRPr="00680C74">
        <w:rPr>
          <w:rFonts w:ascii="Times New Roman" w:eastAsia="Times New Roman" w:hAnsi="Times New Roman" w:cs="Times New Roman"/>
          <w:sz w:val="20"/>
          <w:szCs w:val="20"/>
          <w:lang w:val="uk-UA" w:eastAsia="ru-RU"/>
        </w:rPr>
        <w:t xml:space="preserve"> гривень. Це ті перевірки, які були розпочаті, але зупинені 18 березня через карантин. </w:t>
      </w:r>
    </w:p>
    <w:p w:rsidR="00555CCC" w:rsidRPr="00680C74" w:rsidRDefault="00555CCC"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Голова ДПС також наголосив, що готовий відмовитися від перевірок суб’єктів господарювання з обігом менше 50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EUR. </w:t>
      </w:r>
    </w:p>
    <w:p w:rsidR="00555CCC" w:rsidRPr="00680C74" w:rsidRDefault="00555CCC"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«Я можу взяти на себе зобов’язання – менше 50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EUR не виходити, окрім ризикових. Це моя особиста позиція. Окрім ризикових, підкреслю», – наголосив Голова ДПС. </w:t>
      </w:r>
    </w:p>
    <w:p w:rsidR="00555CCC" w:rsidRPr="00680C74" w:rsidRDefault="00555CCC"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P.S. Голова ДПС дав доручення структурним підрозділам підготувати та оприлюднити профілі ризиків. </w:t>
      </w:r>
    </w:p>
    <w:p w:rsidR="00555CCC" w:rsidRPr="00680C74" w:rsidRDefault="00555CCC" w:rsidP="00680C74">
      <w:pPr>
        <w:rPr>
          <w:rFonts w:ascii="Times New Roman" w:eastAsia="Times New Roman" w:hAnsi="Times New Roman" w:cs="Times New Roman"/>
          <w:sz w:val="20"/>
          <w:szCs w:val="20"/>
          <w:lang w:val="uk-UA" w:eastAsia="ru-RU"/>
        </w:rPr>
      </w:pPr>
    </w:p>
    <w:p w:rsidR="00555CCC" w:rsidRPr="00680C74" w:rsidRDefault="00555CCC"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Олексій Любченко: Ми будемо руйнувати схеми з відшкодування ПДВ по непідтвердженим залишкам товару, адже ціна – 1 </w:t>
      </w:r>
      <w:proofErr w:type="spellStart"/>
      <w:r w:rsidRPr="00680C74">
        <w:rPr>
          <w:rFonts w:ascii="Times New Roman" w:eastAsia="Times New Roman" w:hAnsi="Times New Roman" w:cs="Times New Roman"/>
          <w:b/>
          <w:bCs/>
          <w:kern w:val="36"/>
          <w:sz w:val="20"/>
          <w:szCs w:val="20"/>
          <w:lang w:val="uk-UA" w:eastAsia="ru-RU"/>
        </w:rPr>
        <w:t>млрд</w:t>
      </w:r>
      <w:proofErr w:type="spellEnd"/>
      <w:r w:rsidRPr="00680C74">
        <w:rPr>
          <w:rFonts w:ascii="Times New Roman" w:eastAsia="Times New Roman" w:hAnsi="Times New Roman" w:cs="Times New Roman"/>
          <w:b/>
          <w:bCs/>
          <w:kern w:val="36"/>
          <w:sz w:val="20"/>
          <w:szCs w:val="20"/>
          <w:lang w:val="uk-UA" w:eastAsia="ru-RU"/>
        </w:rPr>
        <w:t xml:space="preserve"> гривень </w:t>
      </w:r>
    </w:p>
    <w:p w:rsidR="00555CCC" w:rsidRPr="00F36CE0" w:rsidRDefault="00555CCC"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Протягом 2020 року представниками ДПС було проведено 401 перевірку щодо зберігання та торгівлі тютюновими виробами, які належать 37 суб’єктам господарювання. За їх результатами було встановлено, що 148 місць не здійснювали діяльність. Крім того, там не підтвердилася наявність залишків, яких було задекларовано у кількості 195,5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пачок вартістю 8,8 </w:t>
      </w:r>
      <w:proofErr w:type="spellStart"/>
      <w:r w:rsidRPr="00680C74">
        <w:rPr>
          <w:rFonts w:ascii="Times New Roman" w:eastAsia="Times New Roman" w:hAnsi="Times New Roman" w:cs="Times New Roman"/>
          <w:sz w:val="20"/>
          <w:szCs w:val="20"/>
          <w:lang w:val="uk-UA" w:eastAsia="ru-RU"/>
        </w:rPr>
        <w:t>млрд</w:t>
      </w:r>
      <w:proofErr w:type="spellEnd"/>
      <w:r w:rsidRPr="00680C74">
        <w:rPr>
          <w:rFonts w:ascii="Times New Roman" w:eastAsia="Times New Roman" w:hAnsi="Times New Roman" w:cs="Times New Roman"/>
          <w:sz w:val="20"/>
          <w:szCs w:val="20"/>
          <w:lang w:val="uk-UA" w:eastAsia="ru-RU"/>
        </w:rPr>
        <w:t xml:space="preserve"> грн. Про це Голова ДПС Олексій Любченко розповів в </w:t>
      </w:r>
      <w:r w:rsidRPr="00F36CE0">
        <w:rPr>
          <w:rFonts w:ascii="Times New Roman" w:eastAsia="Times New Roman" w:hAnsi="Times New Roman" w:cs="Times New Roman"/>
          <w:bCs/>
          <w:sz w:val="20"/>
          <w:szCs w:val="20"/>
          <w:lang w:val="uk-UA" w:eastAsia="ru-RU"/>
        </w:rPr>
        <w:t>інтерв’ю інформаційному агентству «Інтерфакс – Україна»</w:t>
      </w:r>
      <w:r w:rsidRPr="00F36CE0">
        <w:rPr>
          <w:rFonts w:ascii="Times New Roman" w:eastAsia="Times New Roman" w:hAnsi="Times New Roman" w:cs="Times New Roman"/>
          <w:sz w:val="20"/>
          <w:szCs w:val="20"/>
          <w:lang w:val="uk-UA" w:eastAsia="ru-RU"/>
        </w:rPr>
        <w:t xml:space="preserve">. </w:t>
      </w:r>
    </w:p>
    <w:p w:rsidR="00555CCC" w:rsidRPr="00680C74" w:rsidRDefault="00555CCC" w:rsidP="00680C74">
      <w:pPr>
        <w:rPr>
          <w:rFonts w:ascii="Times New Roman" w:eastAsia="Times New Roman" w:hAnsi="Times New Roman" w:cs="Times New Roman"/>
          <w:sz w:val="20"/>
          <w:szCs w:val="20"/>
          <w:lang w:val="uk-UA" w:eastAsia="ru-RU"/>
        </w:rPr>
      </w:pPr>
      <w:r w:rsidRPr="00F36CE0">
        <w:rPr>
          <w:rFonts w:ascii="Times New Roman" w:eastAsia="Times New Roman" w:hAnsi="Times New Roman" w:cs="Times New Roman"/>
          <w:sz w:val="20"/>
          <w:szCs w:val="20"/>
          <w:lang w:val="uk-UA" w:eastAsia="ru-RU"/>
        </w:rPr>
        <w:t>За його словами, за рахунок цього порушники мали з</w:t>
      </w:r>
      <w:r w:rsidRPr="00680C74">
        <w:rPr>
          <w:rFonts w:ascii="Times New Roman" w:eastAsia="Times New Roman" w:hAnsi="Times New Roman" w:cs="Times New Roman"/>
          <w:sz w:val="20"/>
          <w:szCs w:val="20"/>
          <w:lang w:val="uk-UA" w:eastAsia="ru-RU"/>
        </w:rPr>
        <w:t xml:space="preserve">могу сформувати незаконного податкового кредиту з ПДВ на 1,4 </w:t>
      </w:r>
      <w:proofErr w:type="spellStart"/>
      <w:r w:rsidRPr="00680C74">
        <w:rPr>
          <w:rFonts w:ascii="Times New Roman" w:eastAsia="Times New Roman" w:hAnsi="Times New Roman" w:cs="Times New Roman"/>
          <w:sz w:val="20"/>
          <w:szCs w:val="20"/>
          <w:lang w:val="uk-UA" w:eastAsia="ru-RU"/>
        </w:rPr>
        <w:t>млрд</w:t>
      </w:r>
      <w:proofErr w:type="spellEnd"/>
      <w:r w:rsidRPr="00680C74">
        <w:rPr>
          <w:rFonts w:ascii="Times New Roman" w:eastAsia="Times New Roman" w:hAnsi="Times New Roman" w:cs="Times New Roman"/>
          <w:sz w:val="20"/>
          <w:szCs w:val="20"/>
          <w:lang w:val="uk-UA" w:eastAsia="ru-RU"/>
        </w:rPr>
        <w:t xml:space="preserve"> гривень. Проте податківці їм завадили. </w:t>
      </w:r>
    </w:p>
    <w:p w:rsidR="00555CCC" w:rsidRPr="00680C74" w:rsidRDefault="00555CCC"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lastRenderedPageBreak/>
        <w:t xml:space="preserve">«Виробники зараз ведуть себе дуже достойно. Є недостойні «громадяни», які не допускають нас на інвентаризацію. Це надто самовпевнені люди, імпортери, які вирішили, що можна завезти товар, реалізувати його на внутрішньому ринку, а документи щодо цього товару відобразити в декларації з ПДВ у вигляді залишків. При тому, що товар продається і все «згортається» - зобов’язання, кредит. Схема у тому, що товар проданий за готівку, а суб’єкт намагається отримати відшкодування нібито за залишками. Хтось вигадав таку норму – відшкодування ПДВ за залишками товару, і не проблема – були б залишки», – зазначив Голова ДПС. </w:t>
      </w:r>
    </w:p>
    <w:p w:rsidR="00555CCC" w:rsidRPr="00680C74" w:rsidRDefault="00555CCC"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Податківці мають право перевірити наявність залишків (підакцизна група при заявці на відшкодування), однак деякі платники не допускають їх на склади нібито через карантинні заходи, або через інші причини. Такими чином вони очікують, поки закінчиться встановлений Податковим кодексом термін на перевірку. </w:t>
      </w:r>
    </w:p>
    <w:p w:rsidR="00555CCC" w:rsidRPr="00680C74" w:rsidRDefault="00555CCC"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«Ми вже пішли далі, в технічні експертизи, чим руйнуємо подібні схеми. І будемо руйнувати, адже – ціна 1 </w:t>
      </w:r>
      <w:proofErr w:type="spellStart"/>
      <w:r w:rsidRPr="00680C74">
        <w:rPr>
          <w:rFonts w:ascii="Times New Roman" w:eastAsia="Times New Roman" w:hAnsi="Times New Roman" w:cs="Times New Roman"/>
          <w:sz w:val="20"/>
          <w:szCs w:val="20"/>
          <w:lang w:val="uk-UA" w:eastAsia="ru-RU"/>
        </w:rPr>
        <w:t>млрд</w:t>
      </w:r>
      <w:proofErr w:type="spellEnd"/>
      <w:r w:rsidRPr="00680C74">
        <w:rPr>
          <w:rFonts w:ascii="Times New Roman" w:eastAsia="Times New Roman" w:hAnsi="Times New Roman" w:cs="Times New Roman"/>
          <w:sz w:val="20"/>
          <w:szCs w:val="20"/>
          <w:lang w:val="uk-UA" w:eastAsia="ru-RU"/>
        </w:rPr>
        <w:t xml:space="preserve"> гривень. Розраховуємо на підтримку правоохоронних органів», – підкреслив Олексій Любченко. </w:t>
      </w:r>
    </w:p>
    <w:p w:rsidR="007C291B" w:rsidRPr="00680C74" w:rsidRDefault="007C291B" w:rsidP="00680C74">
      <w:pPr>
        <w:rPr>
          <w:rFonts w:ascii="Times New Roman" w:hAnsi="Times New Roman" w:cs="Times New Roman"/>
          <w:sz w:val="20"/>
          <w:szCs w:val="20"/>
          <w:lang w:val="uk-UA"/>
        </w:rPr>
      </w:pPr>
    </w:p>
    <w:p w:rsidR="00C51C92" w:rsidRPr="00680C74" w:rsidRDefault="00C51C9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Справляння туристичного збору здійснюється податковими агентами </w:t>
      </w:r>
    </w:p>
    <w:p w:rsidR="00C51C92" w:rsidRPr="00680C74" w:rsidRDefault="00680C74" w:rsidP="00680C74">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І</w:t>
      </w:r>
      <w:r w:rsidR="00C51C92" w:rsidRPr="00680C74">
        <w:rPr>
          <w:rFonts w:ascii="Times New Roman" w:eastAsia="Times New Roman" w:hAnsi="Times New Roman" w:cs="Times New Roman"/>
          <w:sz w:val="20"/>
          <w:szCs w:val="20"/>
          <w:lang w:val="uk-UA" w:eastAsia="ru-RU"/>
        </w:rPr>
        <w:t>нформує</w:t>
      </w:r>
      <w:r>
        <w:rPr>
          <w:rFonts w:ascii="Times New Roman" w:eastAsia="Times New Roman" w:hAnsi="Times New Roman" w:cs="Times New Roman"/>
          <w:sz w:val="20"/>
          <w:szCs w:val="20"/>
          <w:lang w:val="uk-UA" w:eastAsia="ru-RU"/>
        </w:rPr>
        <w:t>мо</w:t>
      </w:r>
      <w:r w:rsidR="00C51C92" w:rsidRPr="00680C74">
        <w:rPr>
          <w:rFonts w:ascii="Times New Roman" w:eastAsia="Times New Roman" w:hAnsi="Times New Roman" w:cs="Times New Roman"/>
          <w:sz w:val="20"/>
          <w:szCs w:val="20"/>
          <w:lang w:val="uk-UA" w:eastAsia="ru-RU"/>
        </w:rPr>
        <w:t xml:space="preserve">, що перелік податкових агентів у разі сплати туристичного збору визначений </w:t>
      </w:r>
      <w:proofErr w:type="spellStart"/>
      <w:r w:rsidR="00C51C92" w:rsidRPr="00680C74">
        <w:rPr>
          <w:rFonts w:ascii="Times New Roman" w:eastAsia="Times New Roman" w:hAnsi="Times New Roman" w:cs="Times New Roman"/>
          <w:sz w:val="20"/>
          <w:szCs w:val="20"/>
          <w:lang w:val="uk-UA" w:eastAsia="ru-RU"/>
        </w:rPr>
        <w:t>п.п</w:t>
      </w:r>
      <w:proofErr w:type="spellEnd"/>
      <w:r w:rsidR="00C51C92" w:rsidRPr="00680C74">
        <w:rPr>
          <w:rFonts w:ascii="Times New Roman" w:eastAsia="Times New Roman" w:hAnsi="Times New Roman" w:cs="Times New Roman"/>
          <w:sz w:val="20"/>
          <w:szCs w:val="20"/>
          <w:lang w:val="uk-UA" w:eastAsia="ru-RU"/>
        </w:rPr>
        <w:t xml:space="preserve">. 268.5.2 п. 268.5 ст. 268 Податкового кодексу України (далі – ПКУ).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Так, згідно з рішенням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справляння збору може здійснюватися такими податковими агентами: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а) юридичними особами, філіями, відділеннями, іншими відокремленими підрозділами юридичних осіб згідно з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268.7.2 п. 268.7 ст. 268 ПКУ, фізичними особами – підприємцями, які надають послуги з тимчасового розміщення осіб у місцях проживання (ночівлі), визначених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268.5.1 п. 268.5 ст. 268 ПКУ;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б) квартирно-посередницькими організаціями, які направляють неорганізованих осіб з метою їх тимчасового розміщення у місцях проживання (ночівлі), визначених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«б»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268.5.1 п. 268.5 ст. 268 ПКУ, що належать фізичним особам на праві власності або на праві користування за договором найму;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 юридичними особами, які уповноважуються сільською, селищною, міською радою або радою об’єднаної територіальної громади, що створена згідно із законом та перспективним планом формування територій громад, справляти збір на умовах договору, укладеного з відповідною радою. </w:t>
      </w:r>
    </w:p>
    <w:p w:rsidR="00C51C92"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Перелік податкових агентів та інформація про них розміщуються та оприлюднюються на офіційному </w:t>
      </w:r>
      <w:proofErr w:type="spellStart"/>
      <w:r w:rsidRPr="00680C74">
        <w:rPr>
          <w:rFonts w:ascii="Times New Roman" w:eastAsia="Times New Roman" w:hAnsi="Times New Roman" w:cs="Times New Roman"/>
          <w:sz w:val="20"/>
          <w:szCs w:val="20"/>
          <w:lang w:val="uk-UA" w:eastAsia="ru-RU"/>
        </w:rPr>
        <w:t>вебсайті</w:t>
      </w:r>
      <w:proofErr w:type="spellEnd"/>
      <w:r w:rsidRPr="00680C74">
        <w:rPr>
          <w:rFonts w:ascii="Times New Roman" w:eastAsia="Times New Roman" w:hAnsi="Times New Roman" w:cs="Times New Roman"/>
          <w:sz w:val="20"/>
          <w:szCs w:val="20"/>
          <w:lang w:val="uk-UA" w:eastAsia="ru-RU"/>
        </w:rPr>
        <w:t xml:space="preserve"> сільської, селищної, міської ради або ради об’єднаної територіальної громади, що створена згідно із законом та перспективним планом формування територій громад. </w:t>
      </w:r>
    </w:p>
    <w:p w:rsidR="00680C74" w:rsidRPr="00680C74" w:rsidRDefault="00680C74" w:rsidP="00680C74">
      <w:pPr>
        <w:rPr>
          <w:rFonts w:ascii="Times New Roman" w:eastAsia="Times New Roman" w:hAnsi="Times New Roman" w:cs="Times New Roman"/>
          <w:sz w:val="20"/>
          <w:szCs w:val="20"/>
          <w:lang w:val="uk-UA" w:eastAsia="ru-RU"/>
        </w:rPr>
      </w:pPr>
    </w:p>
    <w:p w:rsidR="00C51C92" w:rsidRPr="00680C74" w:rsidRDefault="00C51C9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Про одиниці обліку пального та спирту етилового, що використовуються в CЕАРП та СЕ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Пунктом 232.1 ст. 232 Податкового кодексу України (далі – ПКУ) визначено, зокрема, що одиницею обліку обсягів пального в системі електронного адміністрування реалізації пального та спирту етилового (СЕАРП та СЕ) є літри, приведені до температури 15° C, – для пального та декалітри 100-відсоткового спирту, приведені до температури 20° C, – для спирту етилового.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При цьому відпущені літри в місцях роздрібної торгівлі пальним, на які отримано ліцензію на право роздрібної торгівлі пальним, для цілей розділу VІ «Акцизний податок» ПКУ вважаються як літри, приведені до температури 15° C. </w:t>
      </w:r>
    </w:p>
    <w:p w:rsidR="00C51C92"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Такі одиниці обліку для пального та спирту етилового необхідно використовувати в первинних бухгалтерських документах, акцизних накладних/розрахунках коригування до акцизних накладних, декларації з акцизного податку. </w:t>
      </w:r>
    </w:p>
    <w:p w:rsidR="00680C74" w:rsidRPr="00680C74" w:rsidRDefault="00680C74" w:rsidP="00680C74">
      <w:pPr>
        <w:rPr>
          <w:rFonts w:ascii="Times New Roman" w:eastAsia="Times New Roman" w:hAnsi="Times New Roman" w:cs="Times New Roman"/>
          <w:sz w:val="20"/>
          <w:szCs w:val="20"/>
          <w:lang w:val="uk-UA" w:eastAsia="ru-RU"/>
        </w:rPr>
      </w:pPr>
    </w:p>
    <w:p w:rsidR="00C51C92" w:rsidRPr="00680C74" w:rsidRDefault="00C51C9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Припинення суб’єкта господарювання – платника екологічного податку: подання ліквідаційної декларації </w:t>
      </w:r>
      <w:proofErr w:type="spellStart"/>
      <w:r w:rsidRPr="00680C74">
        <w:rPr>
          <w:rFonts w:ascii="Times New Roman" w:eastAsia="Times New Roman" w:hAnsi="Times New Roman" w:cs="Times New Roman"/>
          <w:b/>
          <w:bCs/>
          <w:kern w:val="36"/>
          <w:sz w:val="20"/>
          <w:szCs w:val="20"/>
          <w:lang w:val="uk-UA" w:eastAsia="ru-RU"/>
        </w:rPr>
        <w:t>екоподатку</w:t>
      </w:r>
      <w:proofErr w:type="spellEnd"/>
      <w:r w:rsidRPr="00680C74">
        <w:rPr>
          <w:rFonts w:ascii="Times New Roman" w:eastAsia="Times New Roman" w:hAnsi="Times New Roman" w:cs="Times New Roman"/>
          <w:b/>
          <w:bCs/>
          <w:kern w:val="36"/>
          <w:sz w:val="20"/>
          <w:szCs w:val="20"/>
          <w:lang w:val="uk-UA" w:eastAsia="ru-RU"/>
        </w:rPr>
        <w:t xml:space="preserve"> </w:t>
      </w:r>
    </w:p>
    <w:p w:rsidR="00C51C92" w:rsidRPr="00680C74" w:rsidRDefault="00680C74" w:rsidP="00680C74">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П</w:t>
      </w:r>
      <w:r w:rsidR="00C51C92" w:rsidRPr="00680C74">
        <w:rPr>
          <w:rFonts w:ascii="Times New Roman" w:eastAsia="Times New Roman" w:hAnsi="Times New Roman" w:cs="Times New Roman"/>
          <w:sz w:val="20"/>
          <w:szCs w:val="20"/>
          <w:lang w:val="uk-UA" w:eastAsia="ru-RU"/>
        </w:rPr>
        <w:t>овідомляє</w:t>
      </w:r>
      <w:r>
        <w:rPr>
          <w:rFonts w:ascii="Times New Roman" w:eastAsia="Times New Roman" w:hAnsi="Times New Roman" w:cs="Times New Roman"/>
          <w:sz w:val="20"/>
          <w:szCs w:val="20"/>
          <w:lang w:val="uk-UA" w:eastAsia="ru-RU"/>
        </w:rPr>
        <w:t>мо</w:t>
      </w:r>
      <w:r w:rsidR="00C51C92" w:rsidRPr="00680C74">
        <w:rPr>
          <w:rFonts w:ascii="Times New Roman" w:eastAsia="Times New Roman" w:hAnsi="Times New Roman" w:cs="Times New Roman"/>
          <w:sz w:val="20"/>
          <w:szCs w:val="20"/>
          <w:lang w:val="uk-UA" w:eastAsia="ru-RU"/>
        </w:rPr>
        <w:t xml:space="preserve">, що податкова декларація подається за звітний період в установлені Податкового кодексу України (далі – ПКУ) строки контролюючому органу, в якому перебуває на обліку платник податків.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Норми встановлені п. 49.1 ст. 49 ПКУ.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Платник податків зобов’язаний за кожний встановлений ПКУ звітний період, в якому виникають об’єкти оподаткування, або у разі наявності показників, які підлягають декларуванню, відповідно до вимог ПКУ подавати податкові декларації щодо кожного окремого податку, платником якого він є (п. 49.2 ст. 49 ПКУ).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Пунктом 49.3 ст. 49 ПКУ встановлено, що податкова декларація подається за вибором платника податків, якщо інше не передбачено ПКУ, в один із таких способів: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а) особисто платником податків або уповноваженою на це особою;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б) надсилається поштою з повідомленням про вручення та з описом вкладення;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 засобами електронного зв’язку в електронній формі з дотриманням вимог законів України «Про електронні документи та електронний документообіг» «Про електронні довірчі послуги».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Відповідно до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16.1.10 п. 16.1 ст. 16 ПКУ платник податків зобов’язаний повідомляти контролюючим органам за місцем обліку такого платника про його ліквідацію або реорганізацію протягом трьох робочих днів з дня прийняття відповідного рішення </w:t>
      </w:r>
      <w:r w:rsidRPr="00680C74">
        <w:rPr>
          <w:rFonts w:ascii="Times New Roman" w:eastAsia="Times New Roman" w:hAnsi="Times New Roman" w:cs="Times New Roman"/>
          <w:i/>
          <w:iCs/>
          <w:sz w:val="20"/>
          <w:szCs w:val="20"/>
          <w:lang w:val="uk-UA" w:eastAsia="ru-RU"/>
        </w:rPr>
        <w:t>(крім випадків, коли обов’язок здійснювати таке повідомлення покладено законом на орган державної реєстрації)</w:t>
      </w:r>
      <w:r w:rsidRPr="00680C74">
        <w:rPr>
          <w:rFonts w:ascii="Times New Roman" w:eastAsia="Times New Roman" w:hAnsi="Times New Roman" w:cs="Times New Roman"/>
          <w:sz w:val="20"/>
          <w:szCs w:val="20"/>
          <w:lang w:val="uk-UA" w:eastAsia="ru-RU"/>
        </w:rPr>
        <w:t xml:space="preserve">.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Пунктом 250.2 ст. 250 ПКУ визначено, що платники екологічного податку складають податкові декларації за формою, встановленою у порядку, передбаченому ст. 46 ПКУ, подають їх протягом 40 календарних днів, що настають за останнім календарним днем податкового (звітного) кварталу, до контролюючих органів та сплачують податок протягом 10 календарних днів, що настають за останнім днем граничного строку подання податкової декларації: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за викиди в атмосферне повітря забруднюючих речовин стаціонарними джерелами забруднення, скиди забруднюючих речовин у водні об’єкти, розміщення протягом звітного кварталу відходів у спеціально відведених для цього місцях чи на об’єктах – за місцем розміщення стаціонарних джерел, спеціально відведених для цього місць чи об’єктів;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за утворення радіоактивних відходів та тимчасове зберігання радіоактивних відходів понад установлений особливими умовами ліцензії строк – за місцем перебування платника на податковому обліку у контролюючих органах.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lastRenderedPageBreak/>
        <w:t xml:space="preserve">Водночас, згідно з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49.18.8 п. 49.18 ст. 49 ПКУ, якщо платник податків ліквідується чи реорганізується (у тому числі до закінчення податкового (звітного) періоду), зокрема, декларація екологічного податку може подаватися за податковий (звітний) період, на який припадає дата ліквідації чи реорганізації, до закінчення такого звітного періоду.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Формою податкової декларації екологічного податку, затвердженою наказом Міністерства фінансів України від 17.08.2015 № 715 зі змінами та доповненнями (далі – Декларація), не передбачено </w:t>
      </w:r>
      <w:proofErr w:type="spellStart"/>
      <w:r w:rsidRPr="00680C74">
        <w:rPr>
          <w:rFonts w:ascii="Times New Roman" w:eastAsia="Times New Roman" w:hAnsi="Times New Roman" w:cs="Times New Roman"/>
          <w:sz w:val="20"/>
          <w:szCs w:val="20"/>
          <w:lang w:val="uk-UA" w:eastAsia="ru-RU"/>
        </w:rPr>
        <w:t>проставлення</w:t>
      </w:r>
      <w:proofErr w:type="spellEnd"/>
      <w:r w:rsidRPr="00680C74">
        <w:rPr>
          <w:rFonts w:ascii="Times New Roman" w:eastAsia="Times New Roman" w:hAnsi="Times New Roman" w:cs="Times New Roman"/>
          <w:sz w:val="20"/>
          <w:szCs w:val="20"/>
          <w:lang w:val="uk-UA" w:eastAsia="ru-RU"/>
        </w:rPr>
        <w:t xml:space="preserve"> відмітки про подання Декларації за останній податковий (звітний) період, на який припадає дата ліквідації. </w:t>
      </w:r>
    </w:p>
    <w:p w:rsidR="00C51C92"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Отже, після внесення запису до Єдиного державного реєстру юридичних осіб, фізичних осіб – підприємців та громадських формувань про припинення юридичної особи або підприємницької діяльності фізичної особи – підприємця, платник екологічного податку подає до контролюючих органів останню Декларацію у паперовому вигляді за податковий (звітний) квартал на який припадає дата ліквідації, до закінчення такого звітного кварталу або протягом     40 календарних днів, що настають за останнім календарним днем податкового (звітного) кварталу. </w:t>
      </w:r>
    </w:p>
    <w:p w:rsidR="00680C74" w:rsidRPr="00680C74" w:rsidRDefault="00680C74" w:rsidP="00680C74">
      <w:pPr>
        <w:rPr>
          <w:rFonts w:ascii="Times New Roman" w:eastAsia="Times New Roman" w:hAnsi="Times New Roman" w:cs="Times New Roman"/>
          <w:sz w:val="20"/>
          <w:szCs w:val="20"/>
          <w:lang w:val="uk-UA" w:eastAsia="ru-RU"/>
        </w:rPr>
      </w:pPr>
    </w:p>
    <w:p w:rsidR="00C51C92" w:rsidRPr="00680C74" w:rsidRDefault="00C51C9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Набрав чинності Порядок розгляду звернень та організації особистого прийому громадян в ДПС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ДПС України на офіційному </w:t>
      </w:r>
      <w:proofErr w:type="spellStart"/>
      <w:r w:rsidRPr="00680C74">
        <w:rPr>
          <w:rFonts w:ascii="Times New Roman" w:eastAsia="Times New Roman" w:hAnsi="Times New Roman" w:cs="Times New Roman"/>
          <w:sz w:val="20"/>
          <w:szCs w:val="20"/>
          <w:lang w:val="uk-UA" w:eastAsia="ru-RU"/>
        </w:rPr>
        <w:t>вебпорталі</w:t>
      </w:r>
      <w:proofErr w:type="spellEnd"/>
      <w:r w:rsidRPr="00680C74">
        <w:rPr>
          <w:rFonts w:ascii="Times New Roman" w:eastAsia="Times New Roman" w:hAnsi="Times New Roman" w:cs="Times New Roman"/>
          <w:sz w:val="20"/>
          <w:szCs w:val="20"/>
          <w:lang w:val="uk-UA" w:eastAsia="ru-RU"/>
        </w:rPr>
        <w:t xml:space="preserve"> повідомила, що 16 жовтня 2020 року набрав чинності наказ Міністерства фінансів України від 15.06.2020 № 297 «Про затвердження Порядку розгляду звернень та організації особистого прийому громадян у Державній податковій службі України та її територіальних органах», зареєстрований у Міністерстві юстиції України 02.10.2020 за     № 969/35252 (далі – Наказ).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Наказом затверджено: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порядок розгляду звернень та організації особистого прийому громадян у Державній податковій службі України та її територіальних органах;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порядок приймання, попереднього опрацювання та реєстрації вхідних документів за зверненнями громадян та надсилання вихідних документів заявникам, оформлення реквізитів вихідного документа;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порядок та строки розгляду звернень громадян;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порядок організації особистого прийому громадян.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Визначено, що розгляду підлягають письмові звернення громадян, оформлені відповідно до вимог статті 5 Закону України «Про звернення громадян», а саме ті, у яких зазначено прізвище, ім’я, по батькові (за наявності), місце проживання громадянина, викладено суть порушеного питання, зауваження, пропозиції, заяви чи скарги, прохання чи вимоги.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Письмове звернення повинно бути підписано заявником (заявниками) із зазначенням дати. В електронному зверненні також має бути зазначено електронну поштову адресу, на яку заявнику може бути надіслано відповідь або відомості про інші засоби зв’язку з ним. Застосування кваліфікованого електронного підпису при надсиланні електронного звернення не вимагається.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Електронне звернення, надіслане без використання кваліфікованого електронного підпису, повинно мати вигляд </w:t>
      </w:r>
      <w:proofErr w:type="spellStart"/>
      <w:r w:rsidRPr="00680C74">
        <w:rPr>
          <w:rFonts w:ascii="Times New Roman" w:eastAsia="Times New Roman" w:hAnsi="Times New Roman" w:cs="Times New Roman"/>
          <w:sz w:val="20"/>
          <w:szCs w:val="20"/>
          <w:lang w:val="uk-UA" w:eastAsia="ru-RU"/>
        </w:rPr>
        <w:t>сканкопії</w:t>
      </w:r>
      <w:proofErr w:type="spellEnd"/>
      <w:r w:rsidRPr="00680C74">
        <w:rPr>
          <w:rFonts w:ascii="Times New Roman" w:eastAsia="Times New Roman" w:hAnsi="Times New Roman" w:cs="Times New Roman"/>
          <w:sz w:val="20"/>
          <w:szCs w:val="20"/>
          <w:lang w:val="uk-UA" w:eastAsia="ru-RU"/>
        </w:rPr>
        <w:t xml:space="preserve"> звернення з підписом заявника із зазначенням дати.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Усні звернення, залишені за допомогою засобів телефонного зв’язку без надання громадянами відомостей відповідно до вимог частини сьомої статті 5 Закону України «Про звернення громадян», вважаються анонімними.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Письмові звернення без зазначення місця проживання, не підписані автором (авторами), а також такі, зі змісту яких неможливо встановити авторство, визнаються анонімними. </w:t>
      </w:r>
    </w:p>
    <w:p w:rsidR="00C51C92"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Анонімні звернення розгляду не підлягають (крім анонімних повідомлень про порушення вимог Закону України </w:t>
      </w:r>
      <w:proofErr w:type="spellStart"/>
      <w:r w:rsidRPr="00680C74">
        <w:rPr>
          <w:rFonts w:ascii="Times New Roman" w:eastAsia="Times New Roman" w:hAnsi="Times New Roman" w:cs="Times New Roman"/>
          <w:sz w:val="20"/>
          <w:szCs w:val="20"/>
          <w:lang w:val="uk-UA" w:eastAsia="ru-RU"/>
        </w:rPr>
        <w:t>„Про</w:t>
      </w:r>
      <w:proofErr w:type="spellEnd"/>
      <w:r w:rsidRPr="00680C74">
        <w:rPr>
          <w:rFonts w:ascii="Times New Roman" w:eastAsia="Times New Roman" w:hAnsi="Times New Roman" w:cs="Times New Roman"/>
          <w:sz w:val="20"/>
          <w:szCs w:val="20"/>
          <w:lang w:val="uk-UA" w:eastAsia="ru-RU"/>
        </w:rPr>
        <w:t xml:space="preserve"> запобігання </w:t>
      </w:r>
      <w:proofErr w:type="spellStart"/>
      <w:r w:rsidRPr="00680C74">
        <w:rPr>
          <w:rFonts w:ascii="Times New Roman" w:eastAsia="Times New Roman" w:hAnsi="Times New Roman" w:cs="Times New Roman"/>
          <w:sz w:val="20"/>
          <w:szCs w:val="20"/>
          <w:lang w:val="uk-UA" w:eastAsia="ru-RU"/>
        </w:rPr>
        <w:t>корупції”</w:t>
      </w:r>
      <w:proofErr w:type="spellEnd"/>
      <w:r w:rsidRPr="00680C74">
        <w:rPr>
          <w:rFonts w:ascii="Times New Roman" w:eastAsia="Times New Roman" w:hAnsi="Times New Roman" w:cs="Times New Roman"/>
          <w:sz w:val="20"/>
          <w:szCs w:val="20"/>
          <w:lang w:val="uk-UA" w:eastAsia="ru-RU"/>
        </w:rPr>
        <w:t xml:space="preserve">). </w:t>
      </w:r>
    </w:p>
    <w:p w:rsidR="00680C74" w:rsidRPr="00680C74" w:rsidRDefault="00680C74" w:rsidP="00680C74">
      <w:pPr>
        <w:rPr>
          <w:rFonts w:ascii="Times New Roman" w:eastAsia="Times New Roman" w:hAnsi="Times New Roman" w:cs="Times New Roman"/>
          <w:sz w:val="20"/>
          <w:szCs w:val="20"/>
          <w:lang w:val="uk-UA" w:eastAsia="ru-RU"/>
        </w:rPr>
      </w:pPr>
    </w:p>
    <w:p w:rsidR="00C51C92" w:rsidRPr="00680C74" w:rsidRDefault="00C51C9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Про стан проведення деклараційної кампанії 2020 року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За підсумками деклараційної кампанії 2020 року станом на 01.10.2020 громадянами та особами, які провадять незалежну професійну діяльність Дніпропетровської області, за 2019 рік подано 42 581 податкова декларація про майновий стан і доходи (далі – декларація).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Загальна сума задекларованих доходів становить 5 178,2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що на   705,8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(або на 15,8 %) більше ніж за аналогічний період минулого року.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Загальна сума податку на доходи фізичних осіб (далі – ПДФО), визначена фізичними особами до сплати в бюджет, становить 178,8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що на 75,6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(або на 73,3 %) більше ніж у минулому році. Сума військового збору, яка визначена до сплати в бюджет, становить 26,3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що на 12,4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(або на 88,5 %) більше ніж у минулому році.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Дохід, отриманий у вигляді спадщини/дарування, задекларували 2 789 громадян. Загальна сума отриманого ними доходу складає майже  549,2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гривень.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Дохід від продажу (обміну) рухомого та/або нерухомого майна задекларували 1 833 громадян. Загальна сума такого доходу складає 488,0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гривень.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Також 214 громадян задекларували іноземні доходи. Загальна сума отриманого ними доходу складає 764,5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гривень.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Інші доходи задекларували 22 573 громадян. Загальна сума отриманого доходу ними складає 1 198,3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гривень.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Дохід понад 1,0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задекларували 346 громадян, це на 53 особи (або на 18,1 %) більше ніж у минулому році. Загальна сума задекларованого ними оподатковуваного доходу складає 3 176,2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що на 545,6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(або на 20,7 %) більше ніж у минулому році. Задекларована ними до сплати сума ПДФО складає 104,5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що на 70,0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(або на 203,2 %) більше, ніж у минулому році. Сума військового збору до сплати складає 14,5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що на   10,5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(або на 266,1 %) більше ніж у минулому році. </w:t>
      </w:r>
    </w:p>
    <w:p w:rsidR="00C51C92"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Крім того, правом на податкову знижку скористалися 6 449 громадян. Загальна сума ПДФО, що підлягає поверненню з бюджету складає 15,9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гривень. </w:t>
      </w:r>
    </w:p>
    <w:p w:rsidR="00680C74" w:rsidRPr="00680C74" w:rsidRDefault="00680C74" w:rsidP="00680C74">
      <w:pPr>
        <w:rPr>
          <w:rFonts w:ascii="Times New Roman" w:eastAsia="Times New Roman" w:hAnsi="Times New Roman" w:cs="Times New Roman"/>
          <w:sz w:val="20"/>
          <w:szCs w:val="20"/>
          <w:lang w:val="uk-UA" w:eastAsia="ru-RU"/>
        </w:rPr>
      </w:pPr>
    </w:p>
    <w:p w:rsidR="00C51C92" w:rsidRPr="00680C74" w:rsidRDefault="00C51C9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При реорганізації в єдину </w:t>
      </w:r>
      <w:proofErr w:type="spellStart"/>
      <w:r w:rsidRPr="00680C74">
        <w:rPr>
          <w:rFonts w:ascii="Times New Roman" w:eastAsia="Times New Roman" w:hAnsi="Times New Roman" w:cs="Times New Roman"/>
          <w:b/>
          <w:bCs/>
          <w:kern w:val="36"/>
          <w:sz w:val="20"/>
          <w:szCs w:val="20"/>
          <w:lang w:val="uk-UA" w:eastAsia="ru-RU"/>
        </w:rPr>
        <w:t>юрособу</w:t>
      </w:r>
      <w:proofErr w:type="spellEnd"/>
      <w:r w:rsidRPr="00680C74">
        <w:rPr>
          <w:rFonts w:ascii="Times New Roman" w:eastAsia="Times New Roman" w:hAnsi="Times New Roman" w:cs="Times New Roman"/>
          <w:b/>
          <w:bCs/>
          <w:kern w:val="36"/>
          <w:sz w:val="20"/>
          <w:szCs w:val="20"/>
          <w:lang w:val="uk-UA" w:eastAsia="ru-RU"/>
        </w:rPr>
        <w:t xml:space="preserve"> принципово, щоб не було зайвих управлінських ланок, – Олексій Любченко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Голова Державної податкової служби України Олексій Любченко в </w:t>
      </w:r>
      <w:r w:rsidRPr="00680C74">
        <w:rPr>
          <w:rFonts w:ascii="Times New Roman" w:eastAsia="Times New Roman" w:hAnsi="Times New Roman" w:cs="Times New Roman"/>
          <w:bCs/>
          <w:sz w:val="20"/>
          <w:szCs w:val="20"/>
          <w:lang w:val="uk-UA" w:eastAsia="ru-RU"/>
        </w:rPr>
        <w:t>інтерв’ю інформаційному агентству «Інтерфакс-Україна»</w:t>
      </w:r>
      <w:r w:rsidRPr="00680C74">
        <w:rPr>
          <w:rFonts w:ascii="Times New Roman" w:eastAsia="Times New Roman" w:hAnsi="Times New Roman" w:cs="Times New Roman"/>
          <w:sz w:val="20"/>
          <w:szCs w:val="20"/>
          <w:lang w:val="uk-UA" w:eastAsia="ru-RU"/>
        </w:rPr>
        <w:t xml:space="preserve"> розповів про зміни у структурі ДПС у зв’язку з переходом до  єдиної юридичної особи.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lastRenderedPageBreak/>
        <w:t xml:space="preserve">Наразі вже затверджено нову регіональну структуру територіальних органів. Всі обласні управління, Офіс великих платників податків та Інформаційно-довідковий департамент знаходяться на стадії ліквідації як </w:t>
      </w:r>
      <w:proofErr w:type="spellStart"/>
      <w:r w:rsidRPr="00680C74">
        <w:rPr>
          <w:rFonts w:ascii="Times New Roman" w:eastAsia="Times New Roman" w:hAnsi="Times New Roman" w:cs="Times New Roman"/>
          <w:sz w:val="20"/>
          <w:szCs w:val="20"/>
          <w:lang w:val="uk-UA" w:eastAsia="ru-RU"/>
        </w:rPr>
        <w:t>юрособи</w:t>
      </w:r>
      <w:proofErr w:type="spellEnd"/>
      <w:r w:rsidRPr="00680C74">
        <w:rPr>
          <w:rFonts w:ascii="Times New Roman" w:eastAsia="Times New Roman" w:hAnsi="Times New Roman" w:cs="Times New Roman"/>
          <w:sz w:val="20"/>
          <w:szCs w:val="20"/>
          <w:lang w:val="uk-UA" w:eastAsia="ru-RU"/>
        </w:rPr>
        <w:t xml:space="preserve">.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«Нова структура передбачає 31 територіальний орган, з яких 5 регіональних центрів обслуговування великих платників податків: Київ, Харків, Одеса, Львів, Запоріжжя та Дніпро. Найбільша кадрова ротація очікує Запоріжжя та Дніпро, а також Львів та Одесу. По Києву та Харкову менше всього питань, глобальних кадрових ротацій поки що немає, принаймні у рамках Офісу великих платників», – зазначив Голова ДПС.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Олексій Любченко, зокрема, підкреслив, що при реорганізації ДПС в єдину юридичну особу принциповим питанням є відсутність зайвих управлінських ланок.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Торкнулися зміни і центрального апарату податкової служби. Так, у структурі з’явиться департамент управління ризиками, який займатиметься виключно питаннями ПДВ та податку на прибуток. Буде створено і департамент податкових розслідувань. </w:t>
      </w:r>
    </w:p>
    <w:p w:rsidR="00C51C92"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«Це по суті керуюча компанія за п’ятьма регіональними центрами обслуговування великих платників. Її завдання – виявляти схеми та знаходити ухилення. Це буде виключно аналітичний підрозділ, який повністю займатиметься міжнародним оподаткуванням», – розповів Олексій Любченко. </w:t>
      </w:r>
    </w:p>
    <w:p w:rsidR="00680C74" w:rsidRPr="00680C74" w:rsidRDefault="00680C74" w:rsidP="00680C74">
      <w:pPr>
        <w:rPr>
          <w:rFonts w:ascii="Times New Roman" w:eastAsia="Times New Roman" w:hAnsi="Times New Roman" w:cs="Times New Roman"/>
          <w:sz w:val="20"/>
          <w:szCs w:val="20"/>
          <w:lang w:val="uk-UA" w:eastAsia="ru-RU"/>
        </w:rPr>
      </w:pPr>
    </w:p>
    <w:p w:rsidR="00C51C92" w:rsidRPr="00680C74" w:rsidRDefault="00C51C9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Голова ДПС Олексій Любченко провів зустріч з членами Представництва ЄС в Україні </w:t>
      </w:r>
    </w:p>
    <w:p w:rsidR="00C51C92" w:rsidRPr="00680C74" w:rsidRDefault="00C51C92" w:rsidP="00680C74">
      <w:pPr>
        <w:rPr>
          <w:rFonts w:ascii="Times New Roman" w:eastAsia="Times New Roman" w:hAnsi="Times New Roman" w:cs="Times New Roman"/>
          <w:sz w:val="20"/>
          <w:szCs w:val="20"/>
          <w:lang w:val="uk-UA" w:eastAsia="ru-RU"/>
        </w:rPr>
      </w:pPr>
      <w:proofErr w:type="spellStart"/>
      <w:r w:rsidRPr="00680C74">
        <w:rPr>
          <w:rFonts w:ascii="Times New Roman" w:eastAsia="Times New Roman" w:hAnsi="Times New Roman" w:cs="Times New Roman"/>
          <w:sz w:val="20"/>
          <w:szCs w:val="20"/>
          <w:lang w:val="uk-UA" w:eastAsia="ru-RU"/>
        </w:rPr>
        <w:t>Реформyвання</w:t>
      </w:r>
      <w:proofErr w:type="spellEnd"/>
      <w:r w:rsidRPr="00680C74">
        <w:rPr>
          <w:rFonts w:ascii="Times New Roman" w:eastAsia="Times New Roman" w:hAnsi="Times New Roman" w:cs="Times New Roman"/>
          <w:sz w:val="20"/>
          <w:szCs w:val="20"/>
          <w:lang w:val="uk-UA" w:eastAsia="ru-RU"/>
        </w:rPr>
        <w:t xml:space="preserve"> Державної податкової служби України та подальші кроки служби у напрями розбудови </w:t>
      </w:r>
      <w:proofErr w:type="spellStart"/>
      <w:r w:rsidRPr="00680C74">
        <w:rPr>
          <w:rFonts w:ascii="Times New Roman" w:eastAsia="Times New Roman" w:hAnsi="Times New Roman" w:cs="Times New Roman"/>
          <w:sz w:val="20"/>
          <w:szCs w:val="20"/>
          <w:lang w:val="uk-UA" w:eastAsia="ru-RU"/>
        </w:rPr>
        <w:t>ІТ-складової</w:t>
      </w:r>
      <w:proofErr w:type="spellEnd"/>
      <w:r w:rsidRPr="00680C74">
        <w:rPr>
          <w:rFonts w:ascii="Times New Roman" w:eastAsia="Times New Roman" w:hAnsi="Times New Roman" w:cs="Times New Roman"/>
          <w:sz w:val="20"/>
          <w:szCs w:val="20"/>
          <w:lang w:val="uk-UA" w:eastAsia="ru-RU"/>
        </w:rPr>
        <w:t xml:space="preserve"> обговорили сьогодні Голова ДПС Олексій Любченко та керівник сектору «Належне урядування та демократизація» Представництва ЄС в Україні </w:t>
      </w:r>
      <w:proofErr w:type="spellStart"/>
      <w:r w:rsidRPr="00680C74">
        <w:rPr>
          <w:rFonts w:ascii="Times New Roman" w:eastAsia="Times New Roman" w:hAnsi="Times New Roman" w:cs="Times New Roman"/>
          <w:sz w:val="20"/>
          <w:szCs w:val="20"/>
          <w:lang w:val="uk-UA" w:eastAsia="ru-RU"/>
        </w:rPr>
        <w:t>Ксав’є</w:t>
      </w:r>
      <w:proofErr w:type="spellEnd"/>
      <w:r w:rsidRPr="00680C74">
        <w:rPr>
          <w:rFonts w:ascii="Times New Roman" w:eastAsia="Times New Roman" w:hAnsi="Times New Roman" w:cs="Times New Roman"/>
          <w:sz w:val="20"/>
          <w:szCs w:val="20"/>
          <w:lang w:val="uk-UA" w:eastAsia="ru-RU"/>
        </w:rPr>
        <w:t xml:space="preserve"> Камю. Учасниками зустрічі також були менеджер сектору «Управління державними фінансами» Представництва ЄС в Україні </w:t>
      </w:r>
      <w:proofErr w:type="spellStart"/>
      <w:r w:rsidRPr="00680C74">
        <w:rPr>
          <w:rFonts w:ascii="Times New Roman" w:eastAsia="Times New Roman" w:hAnsi="Times New Roman" w:cs="Times New Roman"/>
          <w:sz w:val="20"/>
          <w:szCs w:val="20"/>
          <w:lang w:val="uk-UA" w:eastAsia="ru-RU"/>
        </w:rPr>
        <w:t>Єкатерина</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Яковлева</w:t>
      </w:r>
      <w:proofErr w:type="spellEnd"/>
      <w:r w:rsidRPr="00680C74">
        <w:rPr>
          <w:rFonts w:ascii="Times New Roman" w:eastAsia="Times New Roman" w:hAnsi="Times New Roman" w:cs="Times New Roman"/>
          <w:sz w:val="20"/>
          <w:szCs w:val="20"/>
          <w:lang w:val="uk-UA" w:eastAsia="ru-RU"/>
        </w:rPr>
        <w:t xml:space="preserve"> та заступник Голови ДПС з питань цифрового розвитку, цифрових трансформацій і </w:t>
      </w:r>
      <w:proofErr w:type="spellStart"/>
      <w:r w:rsidRPr="00680C74">
        <w:rPr>
          <w:rFonts w:ascii="Times New Roman" w:eastAsia="Times New Roman" w:hAnsi="Times New Roman" w:cs="Times New Roman"/>
          <w:sz w:val="20"/>
          <w:szCs w:val="20"/>
          <w:lang w:val="uk-UA" w:eastAsia="ru-RU"/>
        </w:rPr>
        <w:t>цифровізації</w:t>
      </w:r>
      <w:proofErr w:type="spellEnd"/>
      <w:r w:rsidRPr="00680C74">
        <w:rPr>
          <w:rFonts w:ascii="Times New Roman" w:eastAsia="Times New Roman" w:hAnsi="Times New Roman" w:cs="Times New Roman"/>
          <w:sz w:val="20"/>
          <w:szCs w:val="20"/>
          <w:lang w:val="uk-UA" w:eastAsia="ru-RU"/>
        </w:rPr>
        <w:t xml:space="preserve"> Наталія </w:t>
      </w:r>
      <w:proofErr w:type="spellStart"/>
      <w:r w:rsidRPr="00680C74">
        <w:rPr>
          <w:rFonts w:ascii="Times New Roman" w:eastAsia="Times New Roman" w:hAnsi="Times New Roman" w:cs="Times New Roman"/>
          <w:sz w:val="20"/>
          <w:szCs w:val="20"/>
          <w:lang w:val="uk-UA" w:eastAsia="ru-RU"/>
        </w:rPr>
        <w:t>Калєніченко</w:t>
      </w:r>
      <w:proofErr w:type="spellEnd"/>
      <w:r w:rsidRPr="00680C74">
        <w:rPr>
          <w:rFonts w:ascii="Times New Roman" w:eastAsia="Times New Roman" w:hAnsi="Times New Roman" w:cs="Times New Roman"/>
          <w:sz w:val="20"/>
          <w:szCs w:val="20"/>
          <w:lang w:val="uk-UA" w:eastAsia="ru-RU"/>
        </w:rPr>
        <w:t xml:space="preserve">.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Експерти ЄС цікавилися, зокрема, станом реформування податкової служби, зокрема, у рамках переходу до єдиної юридичної особи.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Як відзначив Олексій Любченко, з травня податківцям довелося працювати </w:t>
      </w:r>
      <w:proofErr w:type="spellStart"/>
      <w:r w:rsidRPr="00680C74">
        <w:rPr>
          <w:rFonts w:ascii="Times New Roman" w:eastAsia="Times New Roman" w:hAnsi="Times New Roman" w:cs="Times New Roman"/>
          <w:sz w:val="20"/>
          <w:szCs w:val="20"/>
          <w:lang w:val="uk-UA" w:eastAsia="ru-RU"/>
        </w:rPr>
        <w:t>надшвидкими</w:t>
      </w:r>
      <w:proofErr w:type="spellEnd"/>
      <w:r w:rsidRPr="00680C74">
        <w:rPr>
          <w:rFonts w:ascii="Times New Roman" w:eastAsia="Times New Roman" w:hAnsi="Times New Roman" w:cs="Times New Roman"/>
          <w:sz w:val="20"/>
          <w:szCs w:val="20"/>
          <w:lang w:val="uk-UA" w:eastAsia="ru-RU"/>
        </w:rPr>
        <w:t xml:space="preserve"> темпами, щоб не тільки реалізувати задачі, поставлені Урядом, але й надолужити відставання як в надходженнях до бюджету, так і у впровадженні внутрішніх проектів, зокрема, ПРРО, електронної акцизної марки, єдиного казначейського рахунку тощо.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«Ми провели інституційну реформу, було оптимізовано роботу центрального апарату, переглянуто функції, скорочено кількість департаментів та призначено їх керівників. Також були призначені і керівники територіальних органів ДПС. Робота була побудована за чотирма блоками – адміністрування податків, контрольно-перевірочна робота, апеляція та правова робота, податкові сервіси та </w:t>
      </w:r>
      <w:proofErr w:type="spellStart"/>
      <w:r w:rsidRPr="00680C74">
        <w:rPr>
          <w:rFonts w:ascii="Times New Roman" w:eastAsia="Times New Roman" w:hAnsi="Times New Roman" w:cs="Times New Roman"/>
          <w:sz w:val="20"/>
          <w:szCs w:val="20"/>
          <w:lang w:val="uk-UA" w:eastAsia="ru-RU"/>
        </w:rPr>
        <w:t>ІТ-напрям</w:t>
      </w:r>
      <w:proofErr w:type="spellEnd"/>
      <w:r w:rsidRPr="00680C74">
        <w:rPr>
          <w:rFonts w:ascii="Times New Roman" w:eastAsia="Times New Roman" w:hAnsi="Times New Roman" w:cs="Times New Roman"/>
          <w:sz w:val="20"/>
          <w:szCs w:val="20"/>
          <w:lang w:val="uk-UA" w:eastAsia="ru-RU"/>
        </w:rPr>
        <w:t xml:space="preserve">. Завдяки злагодженості дій ми отримали дієву структуру з фаховими працівниками, здатну на виконання найскладніших завдань»,– розповів Олексій Любченко.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Він також відзначив, що значного прогресу вдалося досягти в реалізації масштабної структурної реформи з переходу ДПС до єдиної юридичної </w:t>
      </w:r>
      <w:proofErr w:type="spellStart"/>
      <w:r w:rsidRPr="00680C74">
        <w:rPr>
          <w:rFonts w:ascii="Times New Roman" w:eastAsia="Times New Roman" w:hAnsi="Times New Roman" w:cs="Times New Roman"/>
          <w:sz w:val="20"/>
          <w:szCs w:val="20"/>
          <w:lang w:val="uk-UA" w:eastAsia="ru-RU"/>
        </w:rPr>
        <w:t>особи.На</w:t>
      </w:r>
      <w:proofErr w:type="spellEnd"/>
      <w:r w:rsidRPr="00680C74">
        <w:rPr>
          <w:rFonts w:ascii="Times New Roman" w:eastAsia="Times New Roman" w:hAnsi="Times New Roman" w:cs="Times New Roman"/>
          <w:sz w:val="20"/>
          <w:szCs w:val="20"/>
          <w:lang w:val="uk-UA" w:eastAsia="ru-RU"/>
        </w:rPr>
        <w:t xml:space="preserve"> сьогодні вже затверджено нову структуру територіальних органів. Всі обласні управління, Офіс великих платників податків та Інформаційно-довідковий департамент знаходяться на стадії ліквідації як </w:t>
      </w:r>
      <w:proofErr w:type="spellStart"/>
      <w:r w:rsidRPr="00680C74">
        <w:rPr>
          <w:rFonts w:ascii="Times New Roman" w:eastAsia="Times New Roman" w:hAnsi="Times New Roman" w:cs="Times New Roman"/>
          <w:sz w:val="20"/>
          <w:szCs w:val="20"/>
          <w:lang w:val="uk-UA" w:eastAsia="ru-RU"/>
        </w:rPr>
        <w:t>юрособи</w:t>
      </w:r>
      <w:proofErr w:type="spellEnd"/>
      <w:r w:rsidRPr="00680C74">
        <w:rPr>
          <w:rFonts w:ascii="Times New Roman" w:eastAsia="Times New Roman" w:hAnsi="Times New Roman" w:cs="Times New Roman"/>
          <w:sz w:val="20"/>
          <w:szCs w:val="20"/>
          <w:lang w:val="uk-UA" w:eastAsia="ru-RU"/>
        </w:rPr>
        <w:t xml:space="preserve">. Значних змін, зокрема, зазнає обслуговування великих платників.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«Буде створено 5 центрів обслуговування великих платників – у Києві, Харкові, Одесі, Львові, Дніпрі. Це будуть так звані центри галузевої компетенції. Тобто кожен центр матиме свій галузевий сегмент і обслуговуватиме тих платників, які задіяні саме в цій сфері», – зазначив </w:t>
      </w:r>
      <w:proofErr w:type="spellStart"/>
      <w:r w:rsidRPr="00680C74">
        <w:rPr>
          <w:rFonts w:ascii="Times New Roman" w:eastAsia="Times New Roman" w:hAnsi="Times New Roman" w:cs="Times New Roman"/>
          <w:sz w:val="20"/>
          <w:szCs w:val="20"/>
          <w:lang w:val="uk-UA" w:eastAsia="ru-RU"/>
        </w:rPr>
        <w:t>очільник</w:t>
      </w:r>
      <w:proofErr w:type="spellEnd"/>
      <w:r w:rsidRPr="00680C74">
        <w:rPr>
          <w:rFonts w:ascii="Times New Roman" w:eastAsia="Times New Roman" w:hAnsi="Times New Roman" w:cs="Times New Roman"/>
          <w:sz w:val="20"/>
          <w:szCs w:val="20"/>
          <w:lang w:val="uk-UA" w:eastAsia="ru-RU"/>
        </w:rPr>
        <w:t xml:space="preserve"> ДПС.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Так, наприклад, центр обслуговування великих платників у Києві здійснюватиме податковий супровід підприємств паливно-енергетичного комплексу, фінансової, банківської, ІТ сфер та зв’язку, у Дніпрі </w:t>
      </w:r>
      <w:proofErr w:type="spellStart"/>
      <w:r w:rsidRPr="00680C74">
        <w:rPr>
          <w:rFonts w:ascii="Times New Roman" w:eastAsia="Times New Roman" w:hAnsi="Times New Roman" w:cs="Times New Roman"/>
          <w:sz w:val="20"/>
          <w:szCs w:val="20"/>
          <w:lang w:val="uk-UA" w:eastAsia="ru-RU"/>
        </w:rPr>
        <w:t>–металургії</w:t>
      </w:r>
      <w:proofErr w:type="spellEnd"/>
      <w:r w:rsidRPr="00680C74">
        <w:rPr>
          <w:rFonts w:ascii="Times New Roman" w:eastAsia="Times New Roman" w:hAnsi="Times New Roman" w:cs="Times New Roman"/>
          <w:sz w:val="20"/>
          <w:szCs w:val="20"/>
          <w:lang w:val="uk-UA" w:eastAsia="ru-RU"/>
        </w:rPr>
        <w:t xml:space="preserve">, Одесі – зернової галузі тощо.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«Наше завдання – навчити керівників цих центрів обслуговування великих платників в межах своєї галузі розуміти проблеми підприємств з усієї України. І тоді у нас будуть інші показники роботи великого бізнесу», – наголосив Олексій Любченко.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Він також відзначив, що для забезпечення комплексного переходу на новий формат роботи ДПС активно співпрацює з представниками програми EU4PFM. Особлива увага приділяється розвитку </w:t>
      </w:r>
      <w:proofErr w:type="spellStart"/>
      <w:r w:rsidRPr="00680C74">
        <w:rPr>
          <w:rFonts w:ascii="Times New Roman" w:eastAsia="Times New Roman" w:hAnsi="Times New Roman" w:cs="Times New Roman"/>
          <w:sz w:val="20"/>
          <w:szCs w:val="20"/>
          <w:lang w:val="uk-UA" w:eastAsia="ru-RU"/>
        </w:rPr>
        <w:t>ІТ-складової</w:t>
      </w:r>
      <w:proofErr w:type="spellEnd"/>
      <w:r w:rsidRPr="00680C74">
        <w:rPr>
          <w:rFonts w:ascii="Times New Roman" w:eastAsia="Times New Roman" w:hAnsi="Times New Roman" w:cs="Times New Roman"/>
          <w:sz w:val="20"/>
          <w:szCs w:val="20"/>
          <w:lang w:val="uk-UA" w:eastAsia="ru-RU"/>
        </w:rPr>
        <w:t xml:space="preserve"> та системі управління персоналом. Водночас ДПС також очікує і на консультативну допомогу при  реалізації кроків Плану дій BEPS в Україні. </w:t>
      </w:r>
    </w:p>
    <w:p w:rsidR="00C51C92"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У свою чергу експерти ЄС відзначили масштабність проведеної реформи ДПС,  її позитивні результати та запевнили у готовності надавати підтримку Державній податковій службі України в подальших кроках. </w:t>
      </w:r>
    </w:p>
    <w:p w:rsidR="00680C74" w:rsidRPr="00680C74" w:rsidRDefault="00680C74" w:rsidP="00680C74">
      <w:pPr>
        <w:rPr>
          <w:rFonts w:ascii="Times New Roman" w:eastAsia="Times New Roman" w:hAnsi="Times New Roman" w:cs="Times New Roman"/>
          <w:sz w:val="20"/>
          <w:szCs w:val="20"/>
          <w:lang w:val="uk-UA" w:eastAsia="ru-RU"/>
        </w:rPr>
      </w:pPr>
    </w:p>
    <w:p w:rsidR="00C51C92" w:rsidRPr="00680C74" w:rsidRDefault="00C51C9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Олексій Любченко: Податки сплачують платники, ми просто контролюємо повноту та своєчасність їх сплати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Поняття «податкова зібрала», «митниця зібрала» – є цілком архаїчною риторикою. Платники сплачують податки, а податкова просто контролює повноту та своєчасність їх сплати. Таку думку висловив в </w:t>
      </w:r>
      <w:r w:rsidRPr="00680C74">
        <w:rPr>
          <w:rFonts w:ascii="Times New Roman" w:eastAsia="Times New Roman" w:hAnsi="Times New Roman" w:cs="Times New Roman"/>
          <w:bCs/>
          <w:sz w:val="20"/>
          <w:szCs w:val="20"/>
          <w:lang w:val="uk-UA" w:eastAsia="ru-RU"/>
        </w:rPr>
        <w:t>інтерв’ю виданню «</w:t>
      </w:r>
      <w:proofErr w:type="spellStart"/>
      <w:r w:rsidRPr="00680C74">
        <w:rPr>
          <w:rFonts w:ascii="Times New Roman" w:eastAsia="Times New Roman" w:hAnsi="Times New Roman" w:cs="Times New Roman"/>
          <w:bCs/>
          <w:sz w:val="20"/>
          <w:szCs w:val="20"/>
          <w:lang w:val="uk-UA" w:eastAsia="ru-RU"/>
        </w:rPr>
        <w:t>Новое</w:t>
      </w:r>
      <w:proofErr w:type="spellEnd"/>
      <w:r w:rsidRPr="00680C74">
        <w:rPr>
          <w:rFonts w:ascii="Times New Roman" w:eastAsia="Times New Roman" w:hAnsi="Times New Roman" w:cs="Times New Roman"/>
          <w:bCs/>
          <w:sz w:val="20"/>
          <w:szCs w:val="20"/>
          <w:lang w:val="uk-UA" w:eastAsia="ru-RU"/>
        </w:rPr>
        <w:t xml:space="preserve"> </w:t>
      </w:r>
      <w:proofErr w:type="spellStart"/>
      <w:r w:rsidRPr="00680C74">
        <w:rPr>
          <w:rFonts w:ascii="Times New Roman" w:eastAsia="Times New Roman" w:hAnsi="Times New Roman" w:cs="Times New Roman"/>
          <w:bCs/>
          <w:sz w:val="20"/>
          <w:szCs w:val="20"/>
          <w:lang w:val="uk-UA" w:eastAsia="ru-RU"/>
        </w:rPr>
        <w:t>время</w:t>
      </w:r>
      <w:proofErr w:type="spellEnd"/>
      <w:r w:rsidRPr="00680C74">
        <w:rPr>
          <w:rFonts w:ascii="Times New Roman" w:eastAsia="Times New Roman" w:hAnsi="Times New Roman" w:cs="Times New Roman"/>
          <w:bCs/>
          <w:sz w:val="20"/>
          <w:szCs w:val="20"/>
          <w:lang w:val="uk-UA" w:eastAsia="ru-RU"/>
        </w:rPr>
        <w:t>»</w:t>
      </w:r>
      <w:r w:rsidRPr="00680C74">
        <w:rPr>
          <w:rFonts w:ascii="Times New Roman" w:eastAsia="Times New Roman" w:hAnsi="Times New Roman" w:cs="Times New Roman"/>
          <w:sz w:val="20"/>
          <w:szCs w:val="20"/>
          <w:lang w:val="uk-UA" w:eastAsia="ru-RU"/>
        </w:rPr>
        <w:t xml:space="preserve"> Голова ДПС Олексій Любченко.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«Є поняття податкової ефективності, ми завжди над цим працювали. Це – відношення між сплаченими податками та базою оподаткування. Нецікаво мислити категоріями «квартал», «рік». Ми взяли десять років і одним алгоритмом прорахували Україну. Отримали цікаву картину», – розповів Голова ДПС.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За його словами, починаючи з 2016 року (перший повний рік функціонування електронної системи адміністрування ПДВ), податкова ефективність почала потроху зростати. Ці коефіцієнти варіюються від 0,1 % та вище.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«Якщо база оподаткування 700 </w:t>
      </w:r>
      <w:proofErr w:type="spellStart"/>
      <w:r w:rsidRPr="00680C74">
        <w:rPr>
          <w:rFonts w:ascii="Times New Roman" w:eastAsia="Times New Roman" w:hAnsi="Times New Roman" w:cs="Times New Roman"/>
          <w:sz w:val="20"/>
          <w:szCs w:val="20"/>
          <w:lang w:val="uk-UA" w:eastAsia="ru-RU"/>
        </w:rPr>
        <w:t>млрд</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а сплатили 700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то коефіцієнт – 0,1%. У минулому році ефективність досягала 2,7 % у квітні. Починаючи з травня поточного року, податкова ефективність становить в середньому понад 3,1 %», – наголосив Олексій Любченко.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Він також відзначив, що зростання надходжень податку на додану вартість пов’язане, зокрема, через перекриття податківцями можливостей для діяльності компаній, які «регулярно складали конкуренцію на ринку дешевими ставками ПДВ – 8 % або 10 % в залежності від ситуації». </w:t>
      </w:r>
    </w:p>
    <w:p w:rsidR="00C51C92"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«Ось півроку таких можливостей немає. Близько 20 </w:t>
      </w:r>
      <w:proofErr w:type="spellStart"/>
      <w:r w:rsidRPr="00680C74">
        <w:rPr>
          <w:rFonts w:ascii="Times New Roman" w:eastAsia="Times New Roman" w:hAnsi="Times New Roman" w:cs="Times New Roman"/>
          <w:sz w:val="20"/>
          <w:szCs w:val="20"/>
          <w:lang w:val="uk-UA" w:eastAsia="ru-RU"/>
        </w:rPr>
        <w:t>млрд</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з плюсом за 5 місяців було зростання до минулого року. Якщо б податкова ефективність була як у минулому році, то не було б цих 20 </w:t>
      </w:r>
      <w:proofErr w:type="spellStart"/>
      <w:r w:rsidRPr="00680C74">
        <w:rPr>
          <w:rFonts w:ascii="Times New Roman" w:eastAsia="Times New Roman" w:hAnsi="Times New Roman" w:cs="Times New Roman"/>
          <w:sz w:val="20"/>
          <w:szCs w:val="20"/>
          <w:lang w:val="uk-UA" w:eastAsia="ru-RU"/>
        </w:rPr>
        <w:t>млрд</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ПДВ. Та ж ситуація зараз – </w:t>
      </w:r>
      <w:r w:rsidRPr="00680C74">
        <w:rPr>
          <w:rFonts w:ascii="Times New Roman" w:eastAsia="Times New Roman" w:hAnsi="Times New Roman" w:cs="Times New Roman"/>
          <w:sz w:val="20"/>
          <w:szCs w:val="20"/>
          <w:lang w:val="uk-UA" w:eastAsia="ru-RU"/>
        </w:rPr>
        <w:lastRenderedPageBreak/>
        <w:t xml:space="preserve">мінімум 2,5 </w:t>
      </w:r>
      <w:proofErr w:type="spellStart"/>
      <w:r w:rsidRPr="00680C74">
        <w:rPr>
          <w:rFonts w:ascii="Times New Roman" w:eastAsia="Times New Roman" w:hAnsi="Times New Roman" w:cs="Times New Roman"/>
          <w:sz w:val="20"/>
          <w:szCs w:val="20"/>
          <w:lang w:val="uk-UA" w:eastAsia="ru-RU"/>
        </w:rPr>
        <w:t>млрд</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ПДВ буде ще плюсом у жовтні. Близько 24 </w:t>
      </w:r>
      <w:proofErr w:type="spellStart"/>
      <w:r w:rsidRPr="00680C74">
        <w:rPr>
          <w:rFonts w:ascii="Times New Roman" w:eastAsia="Times New Roman" w:hAnsi="Times New Roman" w:cs="Times New Roman"/>
          <w:sz w:val="20"/>
          <w:szCs w:val="20"/>
          <w:lang w:val="uk-UA" w:eastAsia="ru-RU"/>
        </w:rPr>
        <w:t>млрд</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грн</w:t>
      </w:r>
      <w:proofErr w:type="spellEnd"/>
      <w:r w:rsidRPr="00680C74">
        <w:rPr>
          <w:rFonts w:ascii="Times New Roman" w:eastAsia="Times New Roman" w:hAnsi="Times New Roman" w:cs="Times New Roman"/>
          <w:sz w:val="20"/>
          <w:szCs w:val="20"/>
          <w:lang w:val="uk-UA" w:eastAsia="ru-RU"/>
        </w:rPr>
        <w:t xml:space="preserve"> з’явилося через те, що всі стали сплачувати податок за ставкою 20%», – підкреслив </w:t>
      </w:r>
      <w:proofErr w:type="spellStart"/>
      <w:r w:rsidRPr="00680C74">
        <w:rPr>
          <w:rFonts w:ascii="Times New Roman" w:eastAsia="Times New Roman" w:hAnsi="Times New Roman" w:cs="Times New Roman"/>
          <w:sz w:val="20"/>
          <w:szCs w:val="20"/>
          <w:lang w:val="uk-UA" w:eastAsia="ru-RU"/>
        </w:rPr>
        <w:t>очільник</w:t>
      </w:r>
      <w:proofErr w:type="spellEnd"/>
      <w:r w:rsidRPr="00680C74">
        <w:rPr>
          <w:rFonts w:ascii="Times New Roman" w:eastAsia="Times New Roman" w:hAnsi="Times New Roman" w:cs="Times New Roman"/>
          <w:sz w:val="20"/>
          <w:szCs w:val="20"/>
          <w:lang w:val="uk-UA" w:eastAsia="ru-RU"/>
        </w:rPr>
        <w:t xml:space="preserve"> ДПС. </w:t>
      </w:r>
    </w:p>
    <w:p w:rsidR="00680C74" w:rsidRPr="00680C74" w:rsidRDefault="00680C74" w:rsidP="00680C74">
      <w:pPr>
        <w:rPr>
          <w:rFonts w:ascii="Times New Roman" w:eastAsia="Times New Roman" w:hAnsi="Times New Roman" w:cs="Times New Roman"/>
          <w:sz w:val="20"/>
          <w:szCs w:val="20"/>
          <w:lang w:val="uk-UA" w:eastAsia="ru-RU"/>
        </w:rPr>
      </w:pPr>
    </w:p>
    <w:p w:rsidR="00C51C92" w:rsidRPr="00680C74" w:rsidRDefault="00C51C9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З 01.09.2020 діє новий порядок обміну електронними документами між платниками і податковими органами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Міністерством фінансів України наказом від 01.06.2020 № 261 викладено у новій редакції Порядок обміну електронними документами з контролюючими органами (далі – Порядок № 261). Порядок № 261 набрав чинності з 01.09.2020.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Порядок № 261 визначає основні організаційно-правові засади обміну електронними документами між суб’єктами електронного документообігу.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Суб’єкти електронного документообігу, які здійснюють його на договірних засадах, самостійно визначають режим доступу до електронних документів, що містять конфіденційну інформацію, та встановлюють для них систему (способи) захисту. Для державних інформаційних ресурсів має забезпечуватися рівень захисту інформації, який відповідно до законодавства має відповідати ступеню обмеження доступу до неї.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Автор електронного документа (далі – автор) створює електронні документи у строки та відповідно до порядку, що визначені законодавством для відповідних документів в електронному та паперовому вигляді, із зазначенням всіх обов’язкових реквізитів та з використанням засобу кваліфікованого електронного підпису чи печатки, керуючись Порядком № 261, а також Договором про визнання електронних документів. Далі автор здійснює шифрування електронного документа з дотриманням вимог до форматів криптографічних повідомлень, та надсилає його до адресата протягом операційного дня.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У разі якщо адресатом є контролюючий орган, після надходження електронного документа здійснюється його автоматизована перевірка (здійснюється у день надходження або не пізніше наступного робочого дня, якщо електронний документ надійшов після закінчення операційного дня).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Перша квитанція формується за результатами автоматизованої перевірки та надсилається автору протягом двох годин з часу його отримання контролюючим органом, в іншому разі – протягом перших двох годин наступного операційного дня.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У разі негативних результатів автоматизованої перевірки у першій квитанції повідомляється про неприйняття електронного документа із зазначенням причин, у такому випадку друга квитанція не формується. На першу квитанцію накладається печатка контролюючого органу, здійснюється її шифрування та надсилання автору електронного документа. Другий примірник першої квитанції в електронному вигляді зберігається в контролюючому органі.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Якщо автору протягом встановленого строку після відправки електронного документа не надійшла перша квитанція, електронний документ вважається не одержаним адресатом.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Не пізніше наступного робочого дня з моменту формування першої квитанції, формується друга квитанція.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Друга квитанція є підтвердженням про прийняття (реєстрацію) або повідомленням про неприйняття в контролюючому органі електронного документа. На другу квитанцію накладається печатка відповідного контролюючого органу, здійснюється її шифрування та надсилання автору електронного документа. Другий примірник другої квитанції зберігається в контролюючому органі. У разі наявності другої квитанції про прийняття електронного документа датою та часом прийняття (реєстрації) електронного документа контролюючим органом вважаються дата та час, зафіксовані у першій квитанції.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Оригіналом електронного документа вважається електронний примірник такого документа з обов’язковими реквізитами, у тому числі з кваліфікованим електронним підписом чи печаткою </w:t>
      </w:r>
      <w:proofErr w:type="spellStart"/>
      <w:r w:rsidRPr="00680C74">
        <w:rPr>
          <w:rFonts w:ascii="Times New Roman" w:eastAsia="Times New Roman" w:hAnsi="Times New Roman" w:cs="Times New Roman"/>
          <w:sz w:val="20"/>
          <w:szCs w:val="20"/>
          <w:lang w:val="uk-UA" w:eastAsia="ru-RU"/>
        </w:rPr>
        <w:t>підписувача</w:t>
      </w:r>
      <w:proofErr w:type="spellEnd"/>
      <w:r w:rsidRPr="00680C74">
        <w:rPr>
          <w:rFonts w:ascii="Times New Roman" w:eastAsia="Times New Roman" w:hAnsi="Times New Roman" w:cs="Times New Roman"/>
          <w:sz w:val="20"/>
          <w:szCs w:val="20"/>
          <w:lang w:val="uk-UA" w:eastAsia="ru-RU"/>
        </w:rPr>
        <w:t xml:space="preserve"> (</w:t>
      </w:r>
      <w:proofErr w:type="spellStart"/>
      <w:r w:rsidRPr="00680C74">
        <w:rPr>
          <w:rFonts w:ascii="Times New Roman" w:eastAsia="Times New Roman" w:hAnsi="Times New Roman" w:cs="Times New Roman"/>
          <w:sz w:val="20"/>
          <w:szCs w:val="20"/>
          <w:lang w:val="uk-UA" w:eastAsia="ru-RU"/>
        </w:rPr>
        <w:t>підписувачів</w:t>
      </w:r>
      <w:proofErr w:type="spellEnd"/>
      <w:r w:rsidRPr="00680C74">
        <w:rPr>
          <w:rFonts w:ascii="Times New Roman" w:eastAsia="Times New Roman" w:hAnsi="Times New Roman" w:cs="Times New Roman"/>
          <w:sz w:val="20"/>
          <w:szCs w:val="20"/>
          <w:lang w:val="uk-UA" w:eastAsia="ru-RU"/>
        </w:rPr>
        <w:t xml:space="preserve">) відповідно до Закону України «Про електронні довірчі послуги». </w:t>
      </w:r>
    </w:p>
    <w:p w:rsidR="00C51C92"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Оригінал електронного документа має забезпечувати підтвердження його цілісності та справжності у порядку, визначеному законодавством (у визначених законодавством випадках може бути пред’явлений у візуальній формі відображення, у тому числі у паперовій копії). </w:t>
      </w:r>
    </w:p>
    <w:p w:rsidR="00680C74" w:rsidRPr="00680C74" w:rsidRDefault="00680C74" w:rsidP="00680C74">
      <w:pPr>
        <w:rPr>
          <w:rFonts w:ascii="Times New Roman" w:eastAsia="Times New Roman" w:hAnsi="Times New Roman" w:cs="Times New Roman"/>
          <w:sz w:val="20"/>
          <w:szCs w:val="20"/>
          <w:lang w:val="uk-UA" w:eastAsia="ru-RU"/>
        </w:rPr>
      </w:pPr>
    </w:p>
    <w:p w:rsidR="00C51C92" w:rsidRPr="00680C74" w:rsidRDefault="00C51C9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Закон України № 786: випадки виплати дивідендів без нарахування авансових внесків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Законом України від 14 липня 2020 року № 786-ІХ «Про внесення змін до Податкового кодексу України щодо функціонування електронного кабінету та спрощення роботи фізичних осіб – підприємців» (далі – Закон № 786) </w:t>
      </w:r>
      <w:r w:rsidRPr="00680C74">
        <w:rPr>
          <w:rFonts w:ascii="Times New Roman" w:eastAsia="Times New Roman" w:hAnsi="Times New Roman" w:cs="Times New Roman"/>
          <w:b/>
          <w:bCs/>
          <w:sz w:val="20"/>
          <w:szCs w:val="20"/>
          <w:lang w:val="uk-UA" w:eastAsia="ru-RU"/>
        </w:rPr>
        <w:t>з 01.01.2021</w:t>
      </w:r>
      <w:r w:rsidRPr="00680C74">
        <w:rPr>
          <w:rFonts w:ascii="Times New Roman" w:eastAsia="Times New Roman" w:hAnsi="Times New Roman" w:cs="Times New Roman"/>
          <w:sz w:val="20"/>
          <w:szCs w:val="20"/>
          <w:lang w:val="uk-UA" w:eastAsia="ru-RU"/>
        </w:rPr>
        <w:t xml:space="preserve"> уточнено порядок сплати податкового зобов’язання з податку на прибуток підприємств при виплаті дивідендів та визначено, що авансові внески не справляються/не нараховуються на суми операцій, які для цілей оподаткування прирівнюються до дивідендів, визначених відповідно до абзаців четвертого – сьомого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14.1.49 п. 14.1 ст. 14 Податкового кодексу України (далі – ПКУ).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Норми встановлені новим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57.1</w:t>
      </w:r>
      <w:r w:rsidRPr="00680C74">
        <w:rPr>
          <w:rFonts w:ascii="Times New Roman" w:eastAsia="Times New Roman" w:hAnsi="Times New Roman" w:cs="Times New Roman"/>
          <w:sz w:val="20"/>
          <w:szCs w:val="20"/>
          <w:vertAlign w:val="superscript"/>
          <w:lang w:val="uk-UA" w:eastAsia="ru-RU"/>
        </w:rPr>
        <w:t>1</w:t>
      </w:r>
      <w:r w:rsidRPr="00680C74">
        <w:rPr>
          <w:rFonts w:ascii="Times New Roman" w:eastAsia="Times New Roman" w:hAnsi="Times New Roman" w:cs="Times New Roman"/>
          <w:sz w:val="20"/>
          <w:szCs w:val="20"/>
          <w:lang w:val="uk-UA" w:eastAsia="ru-RU"/>
        </w:rPr>
        <w:t>.7 п. 57.1</w:t>
      </w:r>
      <w:r w:rsidRPr="00680C74">
        <w:rPr>
          <w:rFonts w:ascii="Times New Roman" w:eastAsia="Times New Roman" w:hAnsi="Times New Roman" w:cs="Times New Roman"/>
          <w:sz w:val="20"/>
          <w:szCs w:val="20"/>
          <w:vertAlign w:val="superscript"/>
          <w:lang w:val="uk-UA" w:eastAsia="ru-RU"/>
        </w:rPr>
        <w:t>1</w:t>
      </w:r>
      <w:r w:rsidRPr="00680C74">
        <w:rPr>
          <w:rFonts w:ascii="Times New Roman" w:eastAsia="Times New Roman" w:hAnsi="Times New Roman" w:cs="Times New Roman"/>
          <w:sz w:val="20"/>
          <w:szCs w:val="20"/>
          <w:lang w:val="uk-UA" w:eastAsia="ru-RU"/>
        </w:rPr>
        <w:t xml:space="preserve"> ст. 57 ПКУ – набирає чинності </w:t>
      </w:r>
      <w:r w:rsidRPr="00680C74">
        <w:rPr>
          <w:rFonts w:ascii="Times New Roman" w:eastAsia="Times New Roman" w:hAnsi="Times New Roman" w:cs="Times New Roman"/>
          <w:b/>
          <w:bCs/>
          <w:sz w:val="20"/>
          <w:szCs w:val="20"/>
          <w:lang w:val="uk-UA" w:eastAsia="ru-RU"/>
        </w:rPr>
        <w:t>01.01.2021</w:t>
      </w:r>
      <w:r w:rsidRPr="00680C74">
        <w:rPr>
          <w:rFonts w:ascii="Times New Roman" w:eastAsia="Times New Roman" w:hAnsi="Times New Roman" w:cs="Times New Roman"/>
          <w:sz w:val="20"/>
          <w:szCs w:val="20"/>
          <w:lang w:val="uk-UA" w:eastAsia="ru-RU"/>
        </w:rPr>
        <w:t xml:space="preserve">.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Нагадаємо, що з 01.01.2021 року до дивідендів, прирівнюється: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платіж у грошовій чи </w:t>
      </w:r>
      <w:proofErr w:type="spellStart"/>
      <w:r w:rsidRPr="00680C74">
        <w:rPr>
          <w:rFonts w:ascii="Times New Roman" w:eastAsia="Times New Roman" w:hAnsi="Times New Roman" w:cs="Times New Roman"/>
          <w:sz w:val="20"/>
          <w:szCs w:val="20"/>
          <w:lang w:val="uk-UA" w:eastAsia="ru-RU"/>
        </w:rPr>
        <w:t>негрошовій</w:t>
      </w:r>
      <w:proofErr w:type="spellEnd"/>
      <w:r w:rsidRPr="00680C74">
        <w:rPr>
          <w:rFonts w:ascii="Times New Roman" w:eastAsia="Times New Roman" w:hAnsi="Times New Roman" w:cs="Times New Roman"/>
          <w:sz w:val="20"/>
          <w:szCs w:val="20"/>
          <w:lang w:val="uk-UA" w:eastAsia="ru-RU"/>
        </w:rPr>
        <w:t xml:space="preserve"> формі, що здійснюється юридичною особою на користь її засновника та/або учасника (учасників) у зв'язку з розподілом чистого прибутку (його частини);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суми доходів у вигляді платежів за цінні папери (корпоративні права), що виплачуються на користь нерезидента, зазначеного в підпунктах «а», «в», «г»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39.2.1.1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39.2.1 п. 39.2 ст. 39 ПКУ, у контрольованих операціях понад суму, яка відповідає принципу «витягнутої руки»;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вартість товарів (робіт, послуг), крім цінних паперів та деривативів), що придбаваються у нерезидента, зазначеного у підпунктах «а», «в», «г»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39.2.1.1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39.2.1 п. 39.2 ст. 39 ПКУ, у контрольованих операціях понад суму, яка відповідає принципу «витягнутої руки»;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сума заниження вартості товарів (робіт, послуг), які продаються нерезиденту, зазначеному у підпунктах «а», «в», «г»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39.2.1.1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39.2.1 п. 39.2 ст. 39 ПКУ, у контрольованих операціях порівняно із сумою, яка відповідає принципу «витягнутої руки»; </w:t>
      </w:r>
    </w:p>
    <w:p w:rsidR="00C51C92"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виплата в грошовій або </w:t>
      </w:r>
      <w:proofErr w:type="spellStart"/>
      <w:r w:rsidRPr="00680C74">
        <w:rPr>
          <w:rFonts w:ascii="Times New Roman" w:eastAsia="Times New Roman" w:hAnsi="Times New Roman" w:cs="Times New Roman"/>
          <w:sz w:val="20"/>
          <w:szCs w:val="20"/>
          <w:lang w:val="uk-UA" w:eastAsia="ru-RU"/>
        </w:rPr>
        <w:t>негрошовій</w:t>
      </w:r>
      <w:proofErr w:type="spellEnd"/>
      <w:r w:rsidRPr="00680C74">
        <w:rPr>
          <w:rFonts w:ascii="Times New Roman" w:eastAsia="Times New Roman" w:hAnsi="Times New Roman" w:cs="Times New Roman"/>
          <w:sz w:val="20"/>
          <w:szCs w:val="20"/>
          <w:lang w:val="uk-UA" w:eastAsia="ru-RU"/>
        </w:rPr>
        <w:t xml:space="preserve"> формі, що здійснюється юридичною особою на користь її засновника та/або учасника – нерезидента України у зв'язку зі зменшенням статутного капіталу, викупом юридичною особою корпоративних прав у власному статутному капіталі, виходом учасника зі складу господарського товариства або іншої аналогічної операції між юридичною особою та її учасником, у розмірі, що призводить до зменшення нерозподіленого прибутку юридичної особи. </w:t>
      </w:r>
    </w:p>
    <w:p w:rsidR="00680C74" w:rsidRPr="00680C74" w:rsidRDefault="00680C74" w:rsidP="00680C74">
      <w:pPr>
        <w:rPr>
          <w:rFonts w:ascii="Times New Roman" w:eastAsia="Times New Roman" w:hAnsi="Times New Roman" w:cs="Times New Roman"/>
          <w:sz w:val="20"/>
          <w:szCs w:val="20"/>
          <w:lang w:val="uk-UA" w:eastAsia="ru-RU"/>
        </w:rPr>
      </w:pPr>
    </w:p>
    <w:p w:rsidR="00C51C92" w:rsidRPr="00680C74" w:rsidRDefault="00C51C9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Подану звітність можливо переглянути в Електронному кабінеті </w:t>
      </w:r>
    </w:p>
    <w:p w:rsidR="00C51C92" w:rsidRPr="00680C74" w:rsidRDefault="00680C74" w:rsidP="00680C74">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Н</w:t>
      </w:r>
      <w:r w:rsidR="00C51C92" w:rsidRPr="00680C74">
        <w:rPr>
          <w:rFonts w:ascii="Times New Roman" w:eastAsia="Times New Roman" w:hAnsi="Times New Roman" w:cs="Times New Roman"/>
          <w:sz w:val="20"/>
          <w:szCs w:val="20"/>
          <w:lang w:val="uk-UA" w:eastAsia="ru-RU"/>
        </w:rPr>
        <w:t>агадує</w:t>
      </w:r>
      <w:r>
        <w:rPr>
          <w:rFonts w:ascii="Times New Roman" w:eastAsia="Times New Roman" w:hAnsi="Times New Roman" w:cs="Times New Roman"/>
          <w:sz w:val="20"/>
          <w:szCs w:val="20"/>
          <w:lang w:val="uk-UA" w:eastAsia="ru-RU"/>
        </w:rPr>
        <w:t>мо</w:t>
      </w:r>
      <w:r w:rsidR="00C51C92" w:rsidRPr="00680C74">
        <w:rPr>
          <w:rFonts w:ascii="Times New Roman" w:eastAsia="Times New Roman" w:hAnsi="Times New Roman" w:cs="Times New Roman"/>
          <w:sz w:val="20"/>
          <w:szCs w:val="20"/>
          <w:lang w:val="uk-UA" w:eastAsia="ru-RU"/>
        </w:rPr>
        <w:t xml:space="preserve">, що подання електронних документів здійснюється платниками податків відповідно до норм Податкового кодексу України (далі – ПКУ) та Порядку обміну електронними документами з контролюючими органами, затвердженого наказом Міністерства фінансів України від 06.06.2017 № 557 зі змінами та доповненнями, на підставі договору про визнання електронних документів, що визначає взаємовідносини суб’єктів електронного документообігу та укладається з контролюючим органом.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Відповідно до п. 42</w:t>
      </w:r>
      <w:r w:rsidRPr="00680C74">
        <w:rPr>
          <w:rFonts w:ascii="Times New Roman" w:eastAsia="Times New Roman" w:hAnsi="Times New Roman" w:cs="Times New Roman"/>
          <w:sz w:val="20"/>
          <w:szCs w:val="20"/>
          <w:vertAlign w:val="superscript"/>
          <w:lang w:val="uk-UA" w:eastAsia="ru-RU"/>
        </w:rPr>
        <w:t>1</w:t>
      </w:r>
      <w:r w:rsidRPr="00680C74">
        <w:rPr>
          <w:rFonts w:ascii="Times New Roman" w:eastAsia="Times New Roman" w:hAnsi="Times New Roman" w:cs="Times New Roman"/>
          <w:sz w:val="20"/>
          <w:szCs w:val="20"/>
          <w:lang w:val="uk-UA" w:eastAsia="ru-RU"/>
        </w:rPr>
        <w:t>.1 ст. 42</w:t>
      </w:r>
      <w:r w:rsidRPr="00680C74">
        <w:rPr>
          <w:rFonts w:ascii="Times New Roman" w:eastAsia="Times New Roman" w:hAnsi="Times New Roman" w:cs="Times New Roman"/>
          <w:sz w:val="20"/>
          <w:szCs w:val="20"/>
          <w:vertAlign w:val="superscript"/>
          <w:lang w:val="uk-UA" w:eastAsia="ru-RU"/>
        </w:rPr>
        <w:t>1</w:t>
      </w:r>
      <w:r w:rsidRPr="00680C74">
        <w:rPr>
          <w:rFonts w:ascii="Times New Roman" w:eastAsia="Times New Roman" w:hAnsi="Times New Roman" w:cs="Times New Roman"/>
          <w:sz w:val="20"/>
          <w:szCs w:val="20"/>
          <w:lang w:val="uk-UA" w:eastAsia="ru-RU"/>
        </w:rPr>
        <w:t xml:space="preserve"> ПКУ Електронний кабінет створюється та функціонує за такими принципами, зокрема, здійснення автоматизованого внесення до журналу всіх дій (подій), що відбуваються в електронному кабінеті, включаючи фіксацію дати і часу відправлення, отримання документів через електронний кабінет та будь-якої зміни даних, доступних в Електронному кабінеті, за допомогою кваліфікованої електронної позначки часу. Інформація про дату і час надсилання та отримання документів, іншої кореспонденції з ідентифікацією відправника та </w:t>
      </w:r>
      <w:proofErr w:type="spellStart"/>
      <w:r w:rsidRPr="00680C74">
        <w:rPr>
          <w:rFonts w:ascii="Times New Roman" w:eastAsia="Times New Roman" w:hAnsi="Times New Roman" w:cs="Times New Roman"/>
          <w:sz w:val="20"/>
          <w:szCs w:val="20"/>
          <w:lang w:val="uk-UA" w:eastAsia="ru-RU"/>
        </w:rPr>
        <w:t>отримувача</w:t>
      </w:r>
      <w:proofErr w:type="spellEnd"/>
      <w:r w:rsidRPr="00680C74">
        <w:rPr>
          <w:rFonts w:ascii="Times New Roman" w:eastAsia="Times New Roman" w:hAnsi="Times New Roman" w:cs="Times New Roman"/>
          <w:sz w:val="20"/>
          <w:szCs w:val="20"/>
          <w:lang w:val="uk-UA" w:eastAsia="ru-RU"/>
        </w:rPr>
        <w:t xml:space="preserve"> зберігається безстроково і може бути отримана через Електронний кабінет у вигляді електронного документа, в тому числі у вигляді квитанції у текстовому форматі.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У приватній частині Електронного кабінету в залежності від типу платника (юридична особа, фізична особа – суб’єкт підприємницької діяльності, громадянин тощо) надається доступ, зокрема, до перегляду та друку раніше поданої звітності.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Меню </w:t>
      </w:r>
      <w:r w:rsidRPr="00680C74">
        <w:rPr>
          <w:rFonts w:ascii="Times New Roman" w:eastAsia="Times New Roman" w:hAnsi="Times New Roman" w:cs="Times New Roman"/>
          <w:i/>
          <w:iCs/>
          <w:sz w:val="20"/>
          <w:szCs w:val="20"/>
          <w:lang w:val="uk-UA" w:eastAsia="ru-RU"/>
        </w:rPr>
        <w:t>«Перегляд поданої звітності»</w:t>
      </w:r>
      <w:r w:rsidRPr="00680C74">
        <w:rPr>
          <w:rFonts w:ascii="Times New Roman" w:eastAsia="Times New Roman" w:hAnsi="Times New Roman" w:cs="Times New Roman"/>
          <w:sz w:val="20"/>
          <w:szCs w:val="20"/>
          <w:lang w:val="uk-UA" w:eastAsia="ru-RU"/>
        </w:rPr>
        <w:t xml:space="preserve"> надає користувачу Електронного кабінету можливість перегляду раніше поданої податкової, пенсійної та статистичної звітності до ДПС незалежно від способу її подання, включаючи звіти, подані на паперових носіях до центрів обслуговування платників податків.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За замовчуванням користувач отримує перелік всіх звітів, поданих у відповідному звітному періоді. Звітний період (місяць, квартал чи рік) визначається двома параметрами – роком та місяцем. </w:t>
      </w:r>
    </w:p>
    <w:p w:rsidR="00C51C92"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Перегляд конкретного звіту здійснюється подвійним натисненням лівої кнопки миші, формується pdf-файл звіту зі всіма додатками. </w:t>
      </w:r>
    </w:p>
    <w:p w:rsidR="00680C74" w:rsidRPr="00680C74" w:rsidRDefault="00680C74" w:rsidP="00680C74">
      <w:pPr>
        <w:rPr>
          <w:rFonts w:ascii="Times New Roman" w:eastAsia="Times New Roman" w:hAnsi="Times New Roman" w:cs="Times New Roman"/>
          <w:sz w:val="20"/>
          <w:szCs w:val="20"/>
          <w:lang w:val="uk-UA" w:eastAsia="ru-RU"/>
        </w:rPr>
      </w:pPr>
    </w:p>
    <w:p w:rsidR="00C51C92" w:rsidRPr="00680C74" w:rsidRDefault="00C51C9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Роботу СЕА РПСЕ удосконалено </w:t>
      </w:r>
    </w:p>
    <w:p w:rsidR="00C51C92" w:rsidRPr="00680C74" w:rsidRDefault="00680C74" w:rsidP="00680C74">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П</w:t>
      </w:r>
      <w:r w:rsidR="00C51C92" w:rsidRPr="00680C74">
        <w:rPr>
          <w:rFonts w:ascii="Times New Roman" w:eastAsia="Times New Roman" w:hAnsi="Times New Roman" w:cs="Times New Roman"/>
          <w:sz w:val="20"/>
          <w:szCs w:val="20"/>
          <w:lang w:val="uk-UA" w:eastAsia="ru-RU"/>
        </w:rPr>
        <w:t xml:space="preserve">остановою Кабінету Міністрів України від 22 липня 2020 року № 626 (далі – Постанова № 626) внесено зміни до Порядку електронного адміністрування реалізації пального та спирту етилового (далі – Порядок).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Загалом, постанова упорядковує порядок роботи системи електронного адміністрування реалізації пального та спирту етилового (далі – СЕА РПСЕ).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Змінами до Порядку зокрема врегульовано: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можливість реєстрації контролюючими органами постійних представництв, які здійснюють реалізацію пального та/або спирту етилового;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врахування в СЕА РПСЕ як іншого акцизного складу пересувного транспортного засобу, в якому переміщується та/або зберігається пальне або спирт етиловий, при переході права власності від одного суб’єкта господарювання до іншого, або як окремих акцизних складів пересувних у разі, коли право власності на пальне або спирт етиловий належить декільком розпорядникам акцизного складу пересувного;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порядок обчислення суми залишків акцизного податку, у межах якої платник акцизного податку має право на реєстрацію заявки на поповнення обсягів залишку пального (</w:t>
      </w:r>
      <w:proofErr w:type="spellStart"/>
      <w:r w:rsidRPr="00680C74">
        <w:rPr>
          <w:rFonts w:ascii="Times New Roman" w:eastAsia="Times New Roman" w:hAnsi="Times New Roman" w:cs="Times New Roman"/>
          <w:sz w:val="20"/>
          <w:szCs w:val="20"/>
          <w:lang w:val="uk-UA" w:eastAsia="ru-RU"/>
        </w:rPr>
        <w:t>SЗап</w:t>
      </w:r>
      <w:proofErr w:type="spellEnd"/>
      <w:r w:rsidRPr="00680C74">
        <w:rPr>
          <w:rFonts w:ascii="Times New Roman" w:eastAsia="Times New Roman" w:hAnsi="Times New Roman" w:cs="Times New Roman"/>
          <w:sz w:val="20"/>
          <w:szCs w:val="20"/>
          <w:lang w:val="uk-UA" w:eastAsia="ru-RU"/>
        </w:rPr>
        <w:t xml:space="preserve">) за вирахуванням повернутих платнику сум акцизного податку, помилково сплачених таким платником на електронний рахунок;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порядок оприлюднення інформації з реєстру платників із зазначенням даних щодо уніфікованих номерів та адреси місцезнаходження акцизних складів;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визначення умовного коду для ведення обліку в СЕА РПСЕ скрапленого газу (пропан або суміш пропану з бутаном), інших газів, бутану, ізобутану, тощо. </w:t>
      </w:r>
    </w:p>
    <w:p w:rsidR="00C51C92"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Нагадуємо, що Постанова № 626 набрала чинності з 24.07.2020 року. </w:t>
      </w:r>
    </w:p>
    <w:p w:rsidR="00680C74" w:rsidRPr="00680C74" w:rsidRDefault="00680C74" w:rsidP="00680C74">
      <w:pPr>
        <w:rPr>
          <w:rFonts w:ascii="Times New Roman" w:eastAsia="Times New Roman" w:hAnsi="Times New Roman" w:cs="Times New Roman"/>
          <w:sz w:val="20"/>
          <w:szCs w:val="20"/>
          <w:lang w:val="uk-UA" w:eastAsia="ru-RU"/>
        </w:rPr>
      </w:pPr>
    </w:p>
    <w:p w:rsidR="00C51C92" w:rsidRPr="00680C74" w:rsidRDefault="00C51C9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Єдиний внесок необхідно сплачувати своєчасно та у повному обсязі </w:t>
      </w:r>
    </w:p>
    <w:p w:rsidR="00C51C92" w:rsidRPr="00680C74" w:rsidRDefault="00680C74" w:rsidP="00680C74">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З</w:t>
      </w:r>
      <w:r w:rsidR="00C51C92" w:rsidRPr="00680C74">
        <w:rPr>
          <w:rFonts w:ascii="Times New Roman" w:eastAsia="Times New Roman" w:hAnsi="Times New Roman" w:cs="Times New Roman"/>
          <w:sz w:val="20"/>
          <w:szCs w:val="20"/>
          <w:lang w:val="uk-UA" w:eastAsia="ru-RU"/>
        </w:rPr>
        <w:t>вертає</w:t>
      </w:r>
      <w:r>
        <w:rPr>
          <w:rFonts w:ascii="Times New Roman" w:eastAsia="Times New Roman" w:hAnsi="Times New Roman" w:cs="Times New Roman"/>
          <w:sz w:val="20"/>
          <w:szCs w:val="20"/>
          <w:lang w:val="uk-UA" w:eastAsia="ru-RU"/>
        </w:rPr>
        <w:t>мо</w:t>
      </w:r>
      <w:r w:rsidR="00C51C92" w:rsidRPr="00680C74">
        <w:rPr>
          <w:rFonts w:ascii="Times New Roman" w:eastAsia="Times New Roman" w:hAnsi="Times New Roman" w:cs="Times New Roman"/>
          <w:sz w:val="20"/>
          <w:szCs w:val="20"/>
          <w:lang w:val="uk-UA" w:eastAsia="ru-RU"/>
        </w:rPr>
        <w:t xml:space="preserve"> увагу, що згідно до положень діючого законодавства України єдиний внесок на загальнообов’язкове державне соціальне страхування (далі – єдиний внесок) необхідно сплачувати своєчасно та у повному обсязі.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Крім того, фінансове становище платника не ставиться в залежність до можливості або неможливості виконання обов’язку сплати єдиного внеску.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При цьому законодавцем чітко визначено алгоритм погашення заборгованості з єдиного внеску, згідно якого податкові органи працюють спільно з органами державної виконавчої служби. І в цій взаємодії функції безпосереднього стягнення виконують саме органи державної виконавчої служби, які, в свою чергу, мають широкий спектр повноважень щодо відповідного впливу на боржників та стягнення заборгованості.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Так, якщо платник єдиного внеску ігнорує свій обов’язок щодо сплати єдиного внеску, податкові органи відповідно до діючого законодавства надсилають такому платнику вимогу про сплату боргу. У разі, якщо протягом     10 календарних днів з дня надходження вимоги він не сплачує суму боргу, не оскаржує вимогу у встановленому порядку, податковий орган надсилає вимогу, як виконавчий документ, до органу державної виконавчої служби для її подальшого примусового виконання.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 подальшому державний виконавець розпочинає примусове стягнення, зокрема, шляхом першочергового стягнення коштів з рахунків платника у банках та за рахунок продажу його майна.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 початку поточного року з метою стягнення заборгованості з єдиного внеску до органів державної виконавчої служби відносно платників Дніпропетровської області направлено вимог про сплату боргу з єдиного внеску на суму понад 560 </w:t>
      </w:r>
      <w:proofErr w:type="spellStart"/>
      <w:r w:rsidRPr="00680C74">
        <w:rPr>
          <w:rFonts w:ascii="Times New Roman" w:eastAsia="Times New Roman" w:hAnsi="Times New Roman" w:cs="Times New Roman"/>
          <w:sz w:val="20"/>
          <w:szCs w:val="20"/>
          <w:lang w:val="uk-UA" w:eastAsia="ru-RU"/>
        </w:rPr>
        <w:t>млн</w:t>
      </w:r>
      <w:proofErr w:type="spellEnd"/>
      <w:r w:rsidRPr="00680C74">
        <w:rPr>
          <w:rFonts w:ascii="Times New Roman" w:eastAsia="Times New Roman" w:hAnsi="Times New Roman" w:cs="Times New Roman"/>
          <w:sz w:val="20"/>
          <w:szCs w:val="20"/>
          <w:lang w:val="uk-UA" w:eastAsia="ru-RU"/>
        </w:rPr>
        <w:t xml:space="preserve"> гривень.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Разом з цим, відповідно до положень Закону України «Про виконавче провадження» державному виконавцю надано право у процесі здійснення виконавчого провадження у разі ухилення боржника від виконання зобов’язань, покладених </w:t>
      </w:r>
      <w:r w:rsidRPr="00680C74">
        <w:rPr>
          <w:rFonts w:ascii="Times New Roman" w:eastAsia="Times New Roman" w:hAnsi="Times New Roman" w:cs="Times New Roman"/>
          <w:sz w:val="20"/>
          <w:szCs w:val="20"/>
          <w:lang w:val="uk-UA" w:eastAsia="ru-RU"/>
        </w:rPr>
        <w:lastRenderedPageBreak/>
        <w:t xml:space="preserve">на нього рішенням, звертатися до суду за встановленням тимчасового обмеження у праві виїзду боржника – фізичної особи або керівника боржника – юридичної особи за межі України – до виконання зобов’язань за рішенням.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Отже, боржникам необхідно задуматись, чи не стане ігнорування своїх зобов’язань зі сплати єдиного внеску в подальшому на перепоні своїх побажань.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Звертаємо увагу на необхідність постійного моніторингу платниками стану сплати єдиного внеску та наявності (відсутності) заборгованості з вказаного платежу. </w:t>
      </w:r>
    </w:p>
    <w:p w:rsidR="00C51C92"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Отримати інформацію про стан заборгованості з єдиного внеску можливо, безпосередньо звернувшись до відповідного органу ДПС або за допомогою Електронного кабінету. </w:t>
      </w:r>
    </w:p>
    <w:p w:rsidR="00680C74" w:rsidRPr="00680C74" w:rsidRDefault="00680C74" w:rsidP="00680C74">
      <w:pPr>
        <w:rPr>
          <w:rFonts w:ascii="Times New Roman" w:eastAsia="Times New Roman" w:hAnsi="Times New Roman" w:cs="Times New Roman"/>
          <w:sz w:val="20"/>
          <w:szCs w:val="20"/>
          <w:lang w:val="uk-UA" w:eastAsia="ru-RU"/>
        </w:rPr>
      </w:pPr>
    </w:p>
    <w:p w:rsidR="00C51C92" w:rsidRPr="00680C74" w:rsidRDefault="00C51C9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Дії платника, якщо при підписанні документу виникає помилка «невірний пароль або ключ пошкоджено» </w:t>
      </w:r>
    </w:p>
    <w:p w:rsidR="00C51C92" w:rsidRPr="00680C74" w:rsidRDefault="00680C74" w:rsidP="00680C74">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П</w:t>
      </w:r>
      <w:r w:rsidR="00C51C92" w:rsidRPr="00680C74">
        <w:rPr>
          <w:rFonts w:ascii="Times New Roman" w:eastAsia="Times New Roman" w:hAnsi="Times New Roman" w:cs="Times New Roman"/>
          <w:sz w:val="20"/>
          <w:szCs w:val="20"/>
          <w:lang w:val="uk-UA" w:eastAsia="ru-RU"/>
        </w:rPr>
        <w:t>овідомляє</w:t>
      </w:r>
      <w:r>
        <w:rPr>
          <w:rFonts w:ascii="Times New Roman" w:eastAsia="Times New Roman" w:hAnsi="Times New Roman" w:cs="Times New Roman"/>
          <w:sz w:val="20"/>
          <w:szCs w:val="20"/>
          <w:lang w:val="uk-UA" w:eastAsia="ru-RU"/>
        </w:rPr>
        <w:t>мо</w:t>
      </w:r>
      <w:r w:rsidR="00C51C92" w:rsidRPr="00680C74">
        <w:rPr>
          <w:rFonts w:ascii="Times New Roman" w:eastAsia="Times New Roman" w:hAnsi="Times New Roman" w:cs="Times New Roman"/>
          <w:sz w:val="20"/>
          <w:szCs w:val="20"/>
          <w:lang w:val="uk-UA" w:eastAsia="ru-RU"/>
        </w:rPr>
        <w:t xml:space="preserve">, що для усунення помилки </w:t>
      </w:r>
      <w:r w:rsidR="00C51C92" w:rsidRPr="00680C74">
        <w:rPr>
          <w:rFonts w:ascii="Times New Roman" w:eastAsia="Times New Roman" w:hAnsi="Times New Roman" w:cs="Times New Roman"/>
          <w:i/>
          <w:iCs/>
          <w:sz w:val="20"/>
          <w:szCs w:val="20"/>
          <w:lang w:val="uk-UA" w:eastAsia="ru-RU"/>
        </w:rPr>
        <w:t>«невірний пароль або ключ пошкоджено»</w:t>
      </w:r>
      <w:r w:rsidR="00C51C92" w:rsidRPr="00680C74">
        <w:rPr>
          <w:rFonts w:ascii="Times New Roman" w:eastAsia="Times New Roman" w:hAnsi="Times New Roman" w:cs="Times New Roman"/>
          <w:sz w:val="20"/>
          <w:szCs w:val="20"/>
          <w:lang w:val="uk-UA" w:eastAsia="ru-RU"/>
        </w:rPr>
        <w:t xml:space="preserve"> необхідно перевірити: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який ключ кваліфікованого електронного підпису чи печатки використовується першим (вірна послідовність підписів для податкової звітності: бухгалтер-директор-електронна печатка);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правильність введення паролю, а саме: регістр вводу паролю, мову клавіатури тощо (створений пароль може містити особливі символи);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чи набраний пароль відповідає ключу, якій використовується (наприклад, пароль до ключа бухгалтера використовується тільки з ключем бухгалтера);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чи змінювалось ім’я файлу особистого ключа (у разі зміни ім’я файлу особистий ключ буде пошкоджено, тому необхідно звернутися до відокремленого пункту реєстрації користувачів Кваліфікованого надавача електронних довірчих послуг </w:t>
      </w:r>
      <w:proofErr w:type="spellStart"/>
      <w:r w:rsidRPr="00680C74">
        <w:rPr>
          <w:rFonts w:ascii="Times New Roman" w:eastAsia="Times New Roman" w:hAnsi="Times New Roman" w:cs="Times New Roman"/>
          <w:sz w:val="20"/>
          <w:szCs w:val="20"/>
          <w:lang w:val="uk-UA" w:eastAsia="ru-RU"/>
        </w:rPr>
        <w:t>ІДД</w:t>
      </w:r>
      <w:proofErr w:type="spellEnd"/>
      <w:r w:rsidRPr="00680C74">
        <w:rPr>
          <w:rFonts w:ascii="Times New Roman" w:eastAsia="Times New Roman" w:hAnsi="Times New Roman" w:cs="Times New Roman"/>
          <w:sz w:val="20"/>
          <w:szCs w:val="20"/>
          <w:lang w:val="uk-UA" w:eastAsia="ru-RU"/>
        </w:rPr>
        <w:t xml:space="preserve"> ДПС (далі – КН ЕДП </w:t>
      </w:r>
      <w:proofErr w:type="spellStart"/>
      <w:r w:rsidRPr="00680C74">
        <w:rPr>
          <w:rFonts w:ascii="Times New Roman" w:eastAsia="Times New Roman" w:hAnsi="Times New Roman" w:cs="Times New Roman"/>
          <w:sz w:val="20"/>
          <w:szCs w:val="20"/>
          <w:lang w:val="uk-UA" w:eastAsia="ru-RU"/>
        </w:rPr>
        <w:t>ІДД</w:t>
      </w:r>
      <w:proofErr w:type="spellEnd"/>
      <w:r w:rsidRPr="00680C74">
        <w:rPr>
          <w:rFonts w:ascii="Times New Roman" w:eastAsia="Times New Roman" w:hAnsi="Times New Roman" w:cs="Times New Roman"/>
          <w:sz w:val="20"/>
          <w:szCs w:val="20"/>
          <w:lang w:val="uk-UA" w:eastAsia="ru-RU"/>
        </w:rPr>
        <w:t xml:space="preserve"> ДПС), в якому отримували кваліфікований сертифікат, подати заяву на зміну статусу кваліфікованого сертифіката та новий комплект реєстраційних документів). </w:t>
      </w:r>
    </w:p>
    <w:p w:rsidR="00C51C92"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У разі, якщо жодна з рекомендацій не допомогла вирішити проблему необхідно звернутися до представництва КН ЕДП </w:t>
      </w:r>
      <w:proofErr w:type="spellStart"/>
      <w:r w:rsidRPr="00680C74">
        <w:rPr>
          <w:rFonts w:ascii="Times New Roman" w:eastAsia="Times New Roman" w:hAnsi="Times New Roman" w:cs="Times New Roman"/>
          <w:sz w:val="20"/>
          <w:szCs w:val="20"/>
          <w:lang w:val="uk-UA" w:eastAsia="ru-RU"/>
        </w:rPr>
        <w:t>ІДД</w:t>
      </w:r>
      <w:proofErr w:type="spellEnd"/>
      <w:r w:rsidRPr="00680C74">
        <w:rPr>
          <w:rFonts w:ascii="Times New Roman" w:eastAsia="Times New Roman" w:hAnsi="Times New Roman" w:cs="Times New Roman"/>
          <w:sz w:val="20"/>
          <w:szCs w:val="20"/>
          <w:lang w:val="uk-UA" w:eastAsia="ru-RU"/>
        </w:rPr>
        <w:t xml:space="preserve"> ДПС, в якому були отримані кваліфіковані сертифікати, подати заяву на скасування кваліфікованого сертифіката, згенерувати новий особистий ключ та отримати відповідні йому кваліфіковані сертифікати. </w:t>
      </w:r>
    </w:p>
    <w:p w:rsidR="00680C74" w:rsidRPr="00680C74" w:rsidRDefault="00680C74" w:rsidP="00680C74">
      <w:pPr>
        <w:rPr>
          <w:rFonts w:ascii="Times New Roman" w:eastAsia="Times New Roman" w:hAnsi="Times New Roman" w:cs="Times New Roman"/>
          <w:sz w:val="20"/>
          <w:szCs w:val="20"/>
          <w:lang w:val="uk-UA" w:eastAsia="ru-RU"/>
        </w:rPr>
      </w:pPr>
    </w:p>
    <w:p w:rsidR="00C51C92" w:rsidRPr="00680C74" w:rsidRDefault="00C51C9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Особливості оподаткування процентів за позикою, залученою від нерезидента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Міністерство фінансів України з метою правильності застосування норм податкового законодавства, висловило свою позицію стосовно питання щодо застосування положень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141.4.11 п. 141.4 ст. 141, пунктів 46 та 47 підрозділу XX «Перехідні положення» Податкового кодексу України (далі – ПКУ) у частині оподаткування процентів за позикою, залученою від нерезидента, у разі якщо відбувається зміна позичальника (кредитора) (лист від 06.10.2020     № 11210-09-62/30767), яка полягає у наступному.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Законом України від 21 грудня 2016 року № 1797-У1ІІ «Про внесення змін до Податкового кодексу України щодо покращення інвестиційного клімату в Україні» (далі – Закон № 1797) було, зокрема, внесено зміни в частині оподаткування доходів нерезидентів у вигляді процентів, які сплачуються резидентами за користування позиками або фінансовими кредитами.                        Закон № 1797 набрав чинності з 01 січня 2017 року.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Так, положеннями Закону № 1797 п. 141.4 ст. 141 ПКУ доповнено новим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141.4.11, яким визначається, що доходи нерезидентів у вигляді процентів за позиками або фінансовими кредитами, наданими резидентам, оподатковуються за ставкою в розмірі 5 відсотків у джерела виплати таких доходів та за рахунок таких доходів з одночасно дотриманням таких умов: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а)  кошти, надані нерезидентом за позикою або фінансовим кредитом, залучені ним шляхом розміщення іноземних боргових цінних паперів на іноземній фондовій біржі, що входить до переліку, затвердженого Кабінетом Міністрів України;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б)  кошти, надані нерезидентом за позикою або фінансовим кредитом, залучені з метою надання (прямо або опосередковано) резиденту позики або фінансового кредиту;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  нерезидент, якому виплачуються проценти, та/або уповноважена ним особа (якщо проценти виплачуються через таку особу) не є резидентами юрисдикцій, які на дату розміщення нерезидентом іноземних боргових цінних паперів включені до переліку держав (територій), затвердженого Кабінетом Міністрів України (далі –  Перелік) відповідно до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39.2.1.2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39.2.1 п. 39.2  ст. 39 ПКУ.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Також Законом № 1797 було доповнено підрозділ 4 розділу XX «Перехідні положення» ПКУ новими пунктами 46 та 47.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Так, пунктом 46 підрозділу 4 розділу XX ПКУ було встановлено, що звільняються від оподаткування доходи, які сплачені або сплачуються резидентом на користь нерезидента або уповноваженої ним особи у вигляді процентів за позикою або фінансовим кредитом, що були надані резидентам до 31 грудня 2016 року, якщо кошти, надані нерезидентом за позикою або фінансовим кредитом, були залучені шляхом розміщення іноземних боргових цінних паперів на іноземній фондовій біржі та відповідають умовам підпунктів «б» і «в»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141.4.11 п. 141.4 ст. 141 ПКУ.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Проте з 01 січня 2018 року посилання на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«в»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141.4.11 п. 141.4 ст. 141 ПКУ у п. 46 підрозділу 4 розділу XX ПКУ було виключено відповідно до Закону України від 07 грудня 2017 року № 2245 «Про внесення змін до Податкового кодексу України та деяких законодавчих актів України щодо забезпечення збалансованості бюджетних надходжень у 2018 році» (далі – Закон № 2245).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 свою чергу, п. 47 підрозділу 4 розділу XX ПКУ встановлено, що звільняються від оподаткування доходи, які сплачуються резидентом на користь нерезидента або уповноваженої ним особи у вигляді процентів за позикою або фінансовим кредитом, що були надані резидентам у період з 01 січня 2017 року до 31 грудня 2018 року, з одночасним дотриманням усіх умов, визначених у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141.4.11 п. 141.4 ст. 141 ПКУ.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Тож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141.4.11 п. 141.4 ст. 141 та п. 47 підрозділу 4 розділу ПКУ передбачено одночасне дотримання усіх умов, за яких доходи у вигляді процентів за позикою та фінансовим кредитом, що сплачуються на користь нерезидента або уповноваженої ним особи, оподатковуються за заниженою ставкою податку або звільняються від оподаткування відповідно.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Таким чином, для застосування зниженої ставки податку з доходів нерезидента відповідно до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141.4.11 п. 141.4 ст. 141 ПКУ або звільнення від оподаткування цим податком на підставі пункту 47 підрозділу 4 розділу XX ПКУ мають бути </w:t>
      </w:r>
      <w:r w:rsidRPr="00680C74">
        <w:rPr>
          <w:rFonts w:ascii="Times New Roman" w:eastAsia="Times New Roman" w:hAnsi="Times New Roman" w:cs="Times New Roman"/>
          <w:sz w:val="20"/>
          <w:szCs w:val="20"/>
          <w:lang w:val="uk-UA" w:eastAsia="ru-RU"/>
        </w:rPr>
        <w:lastRenderedPageBreak/>
        <w:t>дотримані усі умови, визначені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141.4.11 п. 141.4 ст. 141 ПКУ, однією з яких є умова щодо країни податкової резиденції нерезидента та/або уповноваженої ним особи, якому виплачуються проценти за позикою або фінансовим кредитом.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Так, зокрема, відповідно до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«в»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141.4.11 п. 141.4 ст. 141 ПКУ такими нерезидентами не можуть бути резиденти юрисдикції, які на дату розміщення іноземних боргових цінних паперів включені до Переліку.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Слід зазначити, що на момент набрання чинності Законом № 1797 застосовувався перелік, який був затверджений розпорядженням Кабінету Міністрів України від 16 вересня 2015 року  № 977-р. Це розпорядження втратило чинність 27.12.2017 з прийняттям Кабінетом Міністрів України постанови від 27 грудня 2017 року № 1045 «Про затвердження переліку держав (територій), які відповідають критеріям, установленим підпунктом 39.2.1.2 підпункту 39.2.1 пункту 39.2 статті 39 Податкового кодексу України, та визнання таким, що втратило чинність, розпорядження Кабінету Міністрів України від 16 вересня 2015 р. № 977», якою затверджено новий Перелік.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Таким чином, у разі якщо відбувається зміна позичальника (кредитора) за позикою або фінансовим кредитом, що були надані резидентам після 31 грудня 2016 року, проценти, що сплачуються резидентами за користування такою позикою або фінансовим кредитом, згідно з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141.4.11 п. 141.4 ст. 141 та п. 47 підрозділу 4 розділу XX ПКУ відповідно оподатковуються за заниженою ставкою податку або звільняються від оподаткування при одночасному дотриманні усіх умов, визначених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141.4.11 п. 141.4 ст. 141 ПКУ.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У разі якщо відбувається зміна позичальника (кредитора) за позикою або фінансовим кредитом, що були надані резидентам до 31 грудня 2016 року (включно) та залучені таким позичальником (кредитом) шліхом розміщення іноземних боргових цінних паперів на іноземній фондовий біржі, проценти, що сплачуються резидентами за користування позикою або фінансовим кредитом в період з 1 січня 2017 року до 31 грудня 2017 року, звільняються від оподаткування відповідно до п. 46 підрозділу 4 розділу XX ПКУ при дотриманні умов, визначених підпунктами «б» і «в»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141.4.11 </w:t>
      </w:r>
      <w:proofErr w:type="spellStart"/>
      <w:r w:rsidRPr="00680C74">
        <w:rPr>
          <w:rFonts w:ascii="Times New Roman" w:eastAsia="Times New Roman" w:hAnsi="Times New Roman" w:cs="Times New Roman"/>
          <w:sz w:val="20"/>
          <w:szCs w:val="20"/>
          <w:lang w:val="uk-UA" w:eastAsia="ru-RU"/>
        </w:rPr>
        <w:t>п.у</w:t>
      </w:r>
      <w:proofErr w:type="spellEnd"/>
      <w:r w:rsidRPr="00680C74">
        <w:rPr>
          <w:rFonts w:ascii="Times New Roman" w:eastAsia="Times New Roman" w:hAnsi="Times New Roman" w:cs="Times New Roman"/>
          <w:sz w:val="20"/>
          <w:szCs w:val="20"/>
          <w:lang w:val="uk-UA" w:eastAsia="ru-RU"/>
        </w:rPr>
        <w:t xml:space="preserve"> 141.4 ст. 141 ПКУ. </w:t>
      </w:r>
    </w:p>
    <w:p w:rsidR="00C51C92"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При цьому, починаючи з 01 січня 2018 року (з дати набрання чинності Законом № 2245), відповідно до п. 46 підрозділу 4 розділу XX ПКУ звільняються від оподаткування проценти, що сплачуються резидентами за користування позикою або фінансовим кредитом, які залучені позичальником (кредитором) шляхом розміщення іноземних боргових цінних паперів на іноземній фондовій біржі, у тому числі при зміні позичальника (кредитора) за такою позикою або фінансовим кредитом, наданими резидентам до 31 грудня 2016 року (включно), при дотриманні умови, визначеної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«б»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141.4.11 п. 141.4 ст. 141 ПКУ, а, отже, незалежно від країни податкової резиденції нерезидента та/або уповноваженої ним особи, якому виплачуються такі проценти. </w:t>
      </w:r>
    </w:p>
    <w:p w:rsidR="00680C74" w:rsidRPr="00680C74" w:rsidRDefault="00680C74" w:rsidP="00680C74">
      <w:pPr>
        <w:rPr>
          <w:rFonts w:ascii="Times New Roman" w:eastAsia="Times New Roman" w:hAnsi="Times New Roman" w:cs="Times New Roman"/>
          <w:sz w:val="20"/>
          <w:szCs w:val="20"/>
          <w:lang w:val="uk-UA" w:eastAsia="ru-RU"/>
        </w:rPr>
      </w:pPr>
    </w:p>
    <w:p w:rsidR="00C51C92" w:rsidRPr="00680C74" w:rsidRDefault="00C51C9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Отримання ліцензії на виробництво алкогольних напоїв для малих виробництв виноробної продукції </w:t>
      </w:r>
    </w:p>
    <w:p w:rsidR="00C51C92" w:rsidRPr="00680C74" w:rsidRDefault="00680C74" w:rsidP="00680C74">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Д</w:t>
      </w:r>
      <w:r w:rsidR="00C51C92" w:rsidRPr="00680C74">
        <w:rPr>
          <w:rFonts w:ascii="Times New Roman" w:eastAsia="Times New Roman" w:hAnsi="Times New Roman" w:cs="Times New Roman"/>
          <w:sz w:val="20"/>
          <w:szCs w:val="20"/>
          <w:lang w:val="uk-UA" w:eastAsia="ru-RU"/>
        </w:rPr>
        <w:t>оводи</w:t>
      </w:r>
      <w:r>
        <w:rPr>
          <w:rFonts w:ascii="Times New Roman" w:eastAsia="Times New Roman" w:hAnsi="Times New Roman" w:cs="Times New Roman"/>
          <w:sz w:val="20"/>
          <w:szCs w:val="20"/>
          <w:lang w:val="uk-UA" w:eastAsia="ru-RU"/>
        </w:rPr>
        <w:t>мо</w:t>
      </w:r>
      <w:r w:rsidR="00C51C92" w:rsidRPr="00680C74">
        <w:rPr>
          <w:rFonts w:ascii="Times New Roman" w:eastAsia="Times New Roman" w:hAnsi="Times New Roman" w:cs="Times New Roman"/>
          <w:sz w:val="20"/>
          <w:szCs w:val="20"/>
          <w:lang w:val="uk-UA" w:eastAsia="ru-RU"/>
        </w:rPr>
        <w:t xml:space="preserve"> до відома платників, що малі виробництва виноробної продукції – це суб’єкти господарювання (у тому числі іноземні суб’єкти господарювання, які діють через свої зареєстровані постійні представництва), які здійснюють за повним технологічним циклом без додавання спирту виробництво та розлив у споживчу тару вин виноградних, вин плодово-ягідних та/або напоїв медових в об’ємі. що не перевищує 10 000 декалітрів на рік, з виноматеріалів виключно власного виробництва (не придбаних), отриманих шляхом переробки плодів, ягід, винограду, меду власного виробництва.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Норми встановлені абзацом сорок дев’ятим ст. 1 Закону України від 19 грудня 1995 року № 481 «Про державне регулювання виробництва і обігу спирту етилового, коньячного і плодового, алкогольних напоїв, тютюнових виробів та пального» (далі – Закон № 481).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Малі виробництва виноробної продукції здійснюють виробництво та розлив у споживчу тару вин виноградних, вин плодово-ягідних та/або напоїв медових з виноматеріалів виключно власного виробництва (не придбаних), отриманих шляхом переробки плодів, ягід, винограду, меду власного виробництва (частина двадцята ст. 2 Закону № 481).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Використання спирту при виробництві суб'єктами господарювання (у тому числі іноземними суб'єктами господарювання, які діють через свої зареєстровані постійні представництва) малих виробництв виноробної продукції заборонено (частина перша ст. 12 Закону № 481).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Для отримання ліцензії на виробництво алкогольних напоїв для малих виробництв виноробної продукції таким суб’єктом господарювання до ДПС подається заява на отримання ліцензії на виробництво алкогольних напоїв із документами, визначеними Законом № 481, а саме: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копіями засновницьких документів;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копіями зареєстрованої декларації відповідності матеріально-технічної бази малих виробництв виноробної продукції вимогам законодавства (далі – Декларація);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документом, що підтверджує внесення річної плати за ліцензію у розмірі 780 гривень;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договором з акредитованою відповідно до законодавства лабораторією (у разі відсутності власної акредитованої лабораторії);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документами, що підтверджують право користування відокремленими нежитловими приміщеннями (цехами, підвалами, ангарами), призначеними для здійснення господарської діяльності, що належать суб'єкту господарювання (у тому числі іноземному суб’єкту господарювання, який діє через своє зареєстроване постійне представництво) на підставі будь-якого речового права, визначеного законодавством України та обладнанням для виробництва та розливу в споживчу тару вин виноградних, вин плодово-ягідних, напоїв медових;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інформацією щодо кодів згідно з УКТ </w:t>
      </w:r>
      <w:proofErr w:type="spellStart"/>
      <w:r w:rsidRPr="00680C74">
        <w:rPr>
          <w:rFonts w:ascii="Times New Roman" w:eastAsia="Times New Roman" w:hAnsi="Times New Roman" w:cs="Times New Roman"/>
          <w:sz w:val="20"/>
          <w:szCs w:val="20"/>
          <w:lang w:val="uk-UA" w:eastAsia="ru-RU"/>
        </w:rPr>
        <w:t>ЗЕД</w:t>
      </w:r>
      <w:proofErr w:type="spellEnd"/>
      <w:r w:rsidRPr="00680C74">
        <w:rPr>
          <w:rFonts w:ascii="Times New Roman" w:eastAsia="Times New Roman" w:hAnsi="Times New Roman" w:cs="Times New Roman"/>
          <w:sz w:val="20"/>
          <w:szCs w:val="20"/>
          <w:lang w:val="uk-UA" w:eastAsia="ru-RU"/>
        </w:rPr>
        <w:t xml:space="preserve"> на продукцію, яку планується виробляти.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Вищезазначені документи подаються в одному примірнику в копіях, засвідчених нотаріально або органом, який видав оригінал документа, або посадовою особою органу ліцензування.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Копії документів, які складені двома та більше сторонами (суб’єктами господарювання) посвідчуються всіма сторонами.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b/>
          <w:bCs/>
          <w:sz w:val="20"/>
          <w:szCs w:val="20"/>
          <w:lang w:val="uk-UA" w:eastAsia="ru-RU"/>
        </w:rPr>
        <w:t>Термін розгляду документів н</w:t>
      </w:r>
      <w:r w:rsidRPr="00680C74">
        <w:rPr>
          <w:rFonts w:ascii="Times New Roman" w:eastAsia="Times New Roman" w:hAnsi="Times New Roman" w:cs="Times New Roman"/>
          <w:sz w:val="20"/>
          <w:szCs w:val="20"/>
          <w:lang w:val="uk-UA" w:eastAsia="ru-RU"/>
        </w:rPr>
        <w:t xml:space="preserve">е пізніше 30 календарних днів з дня надходження заяви із документами.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Звертаємо увагу на поширені помилки у документах, а саме: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1. Відсутність інформації щодо кодів УКТ </w:t>
      </w:r>
      <w:proofErr w:type="spellStart"/>
      <w:r w:rsidRPr="00680C74">
        <w:rPr>
          <w:rFonts w:ascii="Times New Roman" w:eastAsia="Times New Roman" w:hAnsi="Times New Roman" w:cs="Times New Roman"/>
          <w:sz w:val="20"/>
          <w:szCs w:val="20"/>
          <w:lang w:val="uk-UA" w:eastAsia="ru-RU"/>
        </w:rPr>
        <w:t>ЗЕД</w:t>
      </w:r>
      <w:proofErr w:type="spellEnd"/>
      <w:r w:rsidRPr="00680C74">
        <w:rPr>
          <w:rFonts w:ascii="Times New Roman" w:eastAsia="Times New Roman" w:hAnsi="Times New Roman" w:cs="Times New Roman"/>
          <w:sz w:val="20"/>
          <w:szCs w:val="20"/>
          <w:lang w:val="uk-UA" w:eastAsia="ru-RU"/>
        </w:rPr>
        <w:t xml:space="preserve"> на виноматеріали та вина.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2. Декларація заповнена не повністю.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lastRenderedPageBreak/>
        <w:t xml:space="preserve">3. Інформація, зазначена у Декларації суперечить даним, зазначеним у інших документах, поданих разом із заявою на отримання ліцензії.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4. Відсутність відомостей про реєстрацію Декларації. </w:t>
      </w:r>
    </w:p>
    <w:p w:rsidR="00C51C92"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5. Згідно з даними податкового обліку та реєстрів суб’єкти господарювання зареєстровані в якості платника єдиного податку першої </w:t>
      </w:r>
      <w:r w:rsidRPr="00680C74">
        <w:rPr>
          <w:rFonts w:ascii="Times New Roman" w:eastAsia="Times New Roman" w:hAnsi="Times New Roman" w:cs="Times New Roman"/>
          <w:sz w:val="20"/>
          <w:szCs w:val="20"/>
          <w:lang w:val="uk-UA" w:eastAsia="ru-RU"/>
        </w:rPr>
        <w:noBreakHyphen/>
        <w:t xml:space="preserve"> третьої груп. </w:t>
      </w:r>
    </w:p>
    <w:p w:rsidR="00680C74" w:rsidRPr="00680C74" w:rsidRDefault="00680C74" w:rsidP="00680C74">
      <w:pPr>
        <w:rPr>
          <w:rFonts w:ascii="Times New Roman" w:eastAsia="Times New Roman" w:hAnsi="Times New Roman" w:cs="Times New Roman"/>
          <w:sz w:val="20"/>
          <w:szCs w:val="20"/>
          <w:lang w:val="uk-UA" w:eastAsia="ru-RU"/>
        </w:rPr>
      </w:pPr>
    </w:p>
    <w:p w:rsidR="00C51C92" w:rsidRPr="00680C74" w:rsidRDefault="00C51C9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Товари придбаваються у особи, яка не зареєстрована платником ПДВ: заповнення Таблиці даних платника ПДВ </w:t>
      </w:r>
    </w:p>
    <w:p w:rsidR="00C51C92" w:rsidRPr="00680C74" w:rsidRDefault="00680C74" w:rsidP="00680C74">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В</w:t>
      </w:r>
      <w:r w:rsidR="00C51C92" w:rsidRPr="00680C74">
        <w:rPr>
          <w:rFonts w:ascii="Times New Roman" w:eastAsia="Times New Roman" w:hAnsi="Times New Roman" w:cs="Times New Roman"/>
          <w:sz w:val="20"/>
          <w:szCs w:val="20"/>
          <w:lang w:val="uk-UA" w:eastAsia="ru-RU"/>
        </w:rPr>
        <w:t xml:space="preserve">ідповідно до п. 12 Порядку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(далі – Порядок зупинення) платник ПДВ має право подати до ДПС Таблицю даних платника ПДВ (далі – Таблиця) за встановленою формою (додаток 5).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У Таблиці зазначаються: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види економічної діяльності відповідно до КВЕД;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коди товарів згідно з УКТЗЕД, що постачаються та/або придбаваються (отримуються) платником податку, ввозяться на митну територію України;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 коди послуг згідно з Державним класифікатором продукції та послуг    (далі – ДКПП), що постачаються та/або придбаваються (отримуються) платником податку, ввозяться на митну територію України (п. 13 Порядку зупинення).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Згідно з п. 4 Порядку зупинення у разі коли за результатами перевірки податкової накладної/розрахунку коригування (далі – ПН/РК) визначено, що ПН/РК відповідають одній з ознак безумовної реєстрації, визначених у п. 3 Порядку зупинення, зокрема, якщо у ПН/РК відображена операція з товаром за кодом згідно з УКТЗЕД та/або послугою за кодом згідно з ДКПП, які зазначені у Таблиці, врахованій контролюючим органом, реєстрація таких ПН/РК не зупиняється в Єдиному реєстрі податкових накладних.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При цьому Порядком зупинення не визначено заповнення в Таблиці кодів товарів згідно з УКТЗЕД та кодів послуг згідно з ДКПП, що придбаваються (отримуються) платником податку в залежності від статусу постачальника. </w:t>
      </w:r>
    </w:p>
    <w:p w:rsidR="00C51C92"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Отже, якщо товари/послуги придбаваються (отримуються) у особи, яка не зареєстрована платником ПДВ, їх коди, визначені згідно з УКТЗЕД та ДКПП підлягають заповненню у Таблиці. </w:t>
      </w:r>
    </w:p>
    <w:p w:rsidR="00680C74" w:rsidRPr="00680C74" w:rsidRDefault="00680C74" w:rsidP="00680C74">
      <w:pPr>
        <w:rPr>
          <w:rFonts w:ascii="Times New Roman" w:eastAsia="Times New Roman" w:hAnsi="Times New Roman" w:cs="Times New Roman"/>
          <w:sz w:val="20"/>
          <w:szCs w:val="20"/>
          <w:lang w:val="uk-UA" w:eastAsia="ru-RU"/>
        </w:rPr>
      </w:pPr>
    </w:p>
    <w:p w:rsidR="00C51C92" w:rsidRPr="00680C74" w:rsidRDefault="00C51C9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Формування Звіту про підзвітні рахунки у рамках Угоди FATCA </w:t>
      </w:r>
    </w:p>
    <w:p w:rsidR="00C51C92" w:rsidRPr="00680C74" w:rsidRDefault="00680C74" w:rsidP="00680C74">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Н</w:t>
      </w:r>
      <w:r w:rsidR="00C51C92" w:rsidRPr="00680C74">
        <w:rPr>
          <w:rFonts w:ascii="Times New Roman" w:eastAsia="Times New Roman" w:hAnsi="Times New Roman" w:cs="Times New Roman"/>
          <w:sz w:val="20"/>
          <w:szCs w:val="20"/>
          <w:lang w:val="uk-UA" w:eastAsia="ru-RU"/>
        </w:rPr>
        <w:t xml:space="preserve">аказом Міністерства фінансів України від 12.08.2020 № 496, зареєстрованим у Міністерстві юстиції України 20.08.2020 за № 810/35093, затверджено Порядок заповнення і подання фінансовими агентами звіту про підзвітні рахунки відповідно до Угоди між Урядом України та Урядом Сполучених штатів Америки для поліпшення виконання податкових правил застосування Закону США «Про податкові вимоги до іноземних рахунків» (FATCA) (далі – Порядок).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Згідно з Порядком Звіт про підзвітні рахунки заповнюється латиницею та подається виключно в електронній формі одним XML-файлом, формат якого визначено у додатку 1 до Порядку, з дотриманням вимог щодо заповнення та подання XML-файлу, розміщених на </w:t>
      </w:r>
      <w:proofErr w:type="spellStart"/>
      <w:r w:rsidRPr="00680C74">
        <w:rPr>
          <w:rFonts w:ascii="Times New Roman" w:eastAsia="Times New Roman" w:hAnsi="Times New Roman" w:cs="Times New Roman"/>
          <w:sz w:val="20"/>
          <w:szCs w:val="20"/>
          <w:lang w:val="uk-UA" w:eastAsia="ru-RU"/>
        </w:rPr>
        <w:t>вебсайті</w:t>
      </w:r>
      <w:proofErr w:type="spellEnd"/>
      <w:r w:rsidRPr="00680C74">
        <w:rPr>
          <w:rFonts w:ascii="Times New Roman" w:eastAsia="Times New Roman" w:hAnsi="Times New Roman" w:cs="Times New Roman"/>
          <w:sz w:val="20"/>
          <w:szCs w:val="20"/>
          <w:lang w:val="uk-UA" w:eastAsia="ru-RU"/>
        </w:rPr>
        <w:t xml:space="preserve"> Служби внутрішніх доходів США (</w:t>
      </w:r>
      <w:hyperlink r:id="rId7" w:tgtFrame="_blank" w:history="1">
        <w:r w:rsidRPr="00680C74">
          <w:rPr>
            <w:rFonts w:ascii="Times New Roman" w:eastAsia="Times New Roman" w:hAnsi="Times New Roman" w:cs="Times New Roman"/>
            <w:color w:val="0000FF"/>
            <w:sz w:val="20"/>
            <w:szCs w:val="20"/>
            <w:u w:val="single"/>
            <w:lang w:val="uk-UA" w:eastAsia="ru-RU"/>
          </w:rPr>
          <w:t>https://www.irs.gov/businesses/corporations/fatca-xml-schemas-and-business-rules-for-form-8966</w:t>
        </w:r>
      </w:hyperlink>
      <w:r w:rsidRPr="00680C74">
        <w:rPr>
          <w:rFonts w:ascii="Times New Roman" w:eastAsia="Times New Roman" w:hAnsi="Times New Roman" w:cs="Times New Roman"/>
          <w:sz w:val="20"/>
          <w:szCs w:val="20"/>
          <w:lang w:val="uk-UA" w:eastAsia="ru-RU"/>
        </w:rPr>
        <w:t xml:space="preserve">).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У разі відсутності у фінансового агента підзвітних рахунків у звітному періоді до ДПС через IDES надається звіт з нульовими даними відповідно до формату XML-файлу, визначеного додатком 1 до Порядку.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Звіт підписується особою, уповноваженою на надання звіту про підзвітні рахунки від імені фінансового агента та відповідальною за визначення політики, запровадження процедур FATCA та їх виконання.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Фінансові агенти також включають до звітів за 2015 - 2016 роки інформацію, зазначену у підпункті b пункту 1 статті 4 Угоди FATCA.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Звіт про підзвітні рахунки подається фінансовими агентами щорічно у термін до 01 вересня року, що настає за звітним </w:t>
      </w:r>
      <w:r w:rsidRPr="00680C74">
        <w:rPr>
          <w:rFonts w:ascii="Times New Roman" w:eastAsia="Times New Roman" w:hAnsi="Times New Roman" w:cs="Times New Roman"/>
          <w:b/>
          <w:bCs/>
          <w:sz w:val="20"/>
          <w:szCs w:val="20"/>
          <w:lang w:val="uk-UA" w:eastAsia="ru-RU"/>
        </w:rPr>
        <w:t>(у 2020 році – до 01 грудня 2020 року)</w:t>
      </w:r>
      <w:r w:rsidRPr="00680C74">
        <w:rPr>
          <w:rFonts w:ascii="Times New Roman" w:eastAsia="Times New Roman" w:hAnsi="Times New Roman" w:cs="Times New Roman"/>
          <w:sz w:val="20"/>
          <w:szCs w:val="20"/>
          <w:lang w:val="uk-UA" w:eastAsia="ru-RU"/>
        </w:rPr>
        <w:t xml:space="preserve">.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Якщо останній день строку подання звіту про підзвітні рахунки припадає на вихідний або святковий день, останнім днем строку вважається операційний (банківський) день, що настає за вихідним або святковим днем.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Інформація, визначена у пунктах 5 та 6 Порядку, яка стосується звітних періодів з 2014 року по 2019 рік, подається окремими звітами до 01 вересня 2020 року </w:t>
      </w:r>
      <w:r w:rsidRPr="00680C74">
        <w:rPr>
          <w:rFonts w:ascii="Times New Roman" w:eastAsia="Times New Roman" w:hAnsi="Times New Roman" w:cs="Times New Roman"/>
          <w:b/>
          <w:bCs/>
          <w:sz w:val="20"/>
          <w:szCs w:val="20"/>
          <w:lang w:val="uk-UA" w:eastAsia="ru-RU"/>
        </w:rPr>
        <w:t>(у 2020 році – до 01 грудня 2020 року)</w:t>
      </w:r>
      <w:r w:rsidRPr="00680C74">
        <w:rPr>
          <w:rFonts w:ascii="Times New Roman" w:eastAsia="Times New Roman" w:hAnsi="Times New Roman" w:cs="Times New Roman"/>
          <w:sz w:val="20"/>
          <w:szCs w:val="20"/>
          <w:lang w:val="uk-UA" w:eastAsia="ru-RU"/>
        </w:rPr>
        <w:t xml:space="preserve">.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ДПС направляє фінансовому агенту електронне повідомлення про прийняття звіту або про відмову у прийнятті звіту через його невідповідність встановленим вимогам із зазначенням необхідних змін або виправлень не пізніше п’яти робочих днів після отримання інформації, які виправляються протягом 10 робочих днів.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Далі ДПС надає інформацію, отриману від фінансових агентів, компетентному органу США до 30 вересня року, що настає за звітним </w:t>
      </w:r>
      <w:r w:rsidRPr="00680C74">
        <w:rPr>
          <w:rFonts w:ascii="Times New Roman" w:eastAsia="Times New Roman" w:hAnsi="Times New Roman" w:cs="Times New Roman"/>
          <w:b/>
          <w:bCs/>
          <w:sz w:val="20"/>
          <w:szCs w:val="20"/>
          <w:lang w:val="uk-UA" w:eastAsia="ru-RU"/>
        </w:rPr>
        <w:t>(у 2020 році – до 31 грудня 2020 року)</w:t>
      </w:r>
      <w:r w:rsidRPr="00680C74">
        <w:rPr>
          <w:rFonts w:ascii="Times New Roman" w:eastAsia="Times New Roman" w:hAnsi="Times New Roman" w:cs="Times New Roman"/>
          <w:sz w:val="20"/>
          <w:szCs w:val="20"/>
          <w:lang w:val="uk-UA" w:eastAsia="ru-RU"/>
        </w:rPr>
        <w:t xml:space="preserve">.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Якщо за результатами звітності компетентний орган США повідомляє ДПС, що надана фінансовим агентом інформація не відповідає встановленим вимогам, ДПС повідомляє відповідного фінансового агента про виявлені невідповідності та необхідні зміни або виправлення, які виправляються протягом 30 календарних днів або повідомляє ДПС про причини ненадання виправленого звіту та очікувану дату його надання.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У разі самостійного виявлення фінансовим агентом у раніше поданому звіті про підзвітні рахунки помилок, невідповідностей або факту надання неповної інформації фінансовий агент надсилає до ДПС через IDES виправлений звіт.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Звіт про підзвітні рахунки подається виключно в електронній формі у форматі (стандарті), затвердженому в установленому законодавством порядку, з дотриманням вимог законів України «Про електронні документи та електронний документообіг» та «Про електронні довірчі послуги»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69.8.5 п. 69.8 ст. 69 Податкового кодексу України (далі – ПКУ)).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Звертаємо увагу, що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69.8.2 та п.п.69.8.4 п. 69.8 ст. 69 ПКУ передбачена відповідальність та підзвітність власників рахунків перед фінансовими агентами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Крім того, п. 118.4 ст. 118 ПКУ для фінансових агентів передбачена також відповідальність. </w:t>
      </w:r>
    </w:p>
    <w:p w:rsid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lastRenderedPageBreak/>
        <w:t xml:space="preserve">Порядок набрав чинності 25.08.2020 (опубліковано у бюлетені «Офіційний вісник України від 25.08.2020 № 66). </w:t>
      </w:r>
    </w:p>
    <w:p w:rsidR="00680C74" w:rsidRDefault="00680C74" w:rsidP="00680C74">
      <w:pPr>
        <w:rPr>
          <w:rFonts w:ascii="Times New Roman" w:eastAsia="Times New Roman" w:hAnsi="Times New Roman" w:cs="Times New Roman"/>
          <w:b/>
          <w:bCs/>
          <w:kern w:val="36"/>
          <w:sz w:val="20"/>
          <w:szCs w:val="20"/>
          <w:lang w:val="uk-UA" w:eastAsia="ru-RU"/>
        </w:rPr>
      </w:pPr>
    </w:p>
    <w:p w:rsidR="00C51C92" w:rsidRPr="00680C74" w:rsidRDefault="00C51C92" w:rsidP="00680C74">
      <w:pPr>
        <w:rPr>
          <w:rFonts w:ascii="Times New Roman" w:eastAsia="Times New Roman" w:hAnsi="Times New Roman" w:cs="Times New Roman"/>
          <w:b/>
          <w:bCs/>
          <w:kern w:val="36"/>
          <w:sz w:val="20"/>
          <w:szCs w:val="20"/>
          <w:lang w:val="uk-UA" w:eastAsia="ru-RU"/>
        </w:rPr>
      </w:pPr>
      <w:proofErr w:type="spellStart"/>
      <w:r w:rsidRPr="00680C74">
        <w:rPr>
          <w:rFonts w:ascii="Times New Roman" w:eastAsia="Times New Roman" w:hAnsi="Times New Roman" w:cs="Times New Roman"/>
          <w:b/>
          <w:bCs/>
          <w:kern w:val="36"/>
          <w:sz w:val="20"/>
          <w:szCs w:val="20"/>
          <w:lang w:val="uk-UA" w:eastAsia="ru-RU"/>
        </w:rPr>
        <w:t>ФОП</w:t>
      </w:r>
      <w:proofErr w:type="spellEnd"/>
      <w:r w:rsidRPr="00680C74">
        <w:rPr>
          <w:rFonts w:ascii="Times New Roman" w:eastAsia="Times New Roman" w:hAnsi="Times New Roman" w:cs="Times New Roman"/>
          <w:b/>
          <w:bCs/>
          <w:kern w:val="36"/>
          <w:sz w:val="20"/>
          <w:szCs w:val="20"/>
          <w:lang w:val="uk-UA" w:eastAsia="ru-RU"/>
        </w:rPr>
        <w:t xml:space="preserve"> </w:t>
      </w:r>
      <w:proofErr w:type="spellStart"/>
      <w:r w:rsidRPr="00680C74">
        <w:rPr>
          <w:rFonts w:ascii="Times New Roman" w:eastAsia="Times New Roman" w:hAnsi="Times New Roman" w:cs="Times New Roman"/>
          <w:b/>
          <w:bCs/>
          <w:kern w:val="36"/>
          <w:sz w:val="20"/>
          <w:szCs w:val="20"/>
          <w:lang w:val="uk-UA" w:eastAsia="ru-RU"/>
        </w:rPr>
        <w:t>–«загальносистемник</w:t>
      </w:r>
      <w:proofErr w:type="spellEnd"/>
      <w:r w:rsidRPr="00680C74">
        <w:rPr>
          <w:rFonts w:ascii="Times New Roman" w:eastAsia="Times New Roman" w:hAnsi="Times New Roman" w:cs="Times New Roman"/>
          <w:b/>
          <w:bCs/>
          <w:kern w:val="36"/>
          <w:sz w:val="20"/>
          <w:szCs w:val="20"/>
          <w:lang w:val="uk-UA" w:eastAsia="ru-RU"/>
        </w:rPr>
        <w:t xml:space="preserve">» отримав кредит на розрахунковий рахунок: чи виникає дохід? </w:t>
      </w:r>
    </w:p>
    <w:p w:rsidR="00C51C92" w:rsidRPr="00680C74" w:rsidRDefault="00680C74" w:rsidP="00680C74">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І</w:t>
      </w:r>
      <w:r w:rsidR="00C51C92" w:rsidRPr="00680C74">
        <w:rPr>
          <w:rFonts w:ascii="Times New Roman" w:eastAsia="Times New Roman" w:hAnsi="Times New Roman" w:cs="Times New Roman"/>
          <w:sz w:val="20"/>
          <w:szCs w:val="20"/>
          <w:lang w:val="uk-UA" w:eastAsia="ru-RU"/>
        </w:rPr>
        <w:t>нформує</w:t>
      </w:r>
      <w:r>
        <w:rPr>
          <w:rFonts w:ascii="Times New Roman" w:eastAsia="Times New Roman" w:hAnsi="Times New Roman" w:cs="Times New Roman"/>
          <w:sz w:val="20"/>
          <w:szCs w:val="20"/>
          <w:lang w:val="uk-UA" w:eastAsia="ru-RU"/>
        </w:rPr>
        <w:t>мо</w:t>
      </w:r>
      <w:r w:rsidR="00C51C92" w:rsidRPr="00680C74">
        <w:rPr>
          <w:rFonts w:ascii="Times New Roman" w:eastAsia="Times New Roman" w:hAnsi="Times New Roman" w:cs="Times New Roman"/>
          <w:sz w:val="20"/>
          <w:szCs w:val="20"/>
          <w:lang w:val="uk-UA" w:eastAsia="ru-RU"/>
        </w:rPr>
        <w:t xml:space="preserve">, що фінансовий кредит – кошти, що надаються банком – резидентом або нерезидентом, що кваліфікується як банківська установа згідно із законодавством країни перебування нерезидента, або резидентами і нерезидентами, які мають згідно з відповідним законодавством статус небанківських фінансових установ, а також іноземною державою або його офіційними агентствами, міжнародними фінансовими організаціями та іншими кредиторами – нерезидентами юридичній чи фізичній особі на визначений строк для цільового використання та під процент.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Норми встановлені п.п.14.1.258 п.14.1 ст.14 Податкового кодексу України (далі – ПКУ).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Згідно із п. 177.1 ст. 177 ПКУ оподаткуванню підлягають доходи фізичних осіб – підприємців (далі – </w:t>
      </w:r>
      <w:proofErr w:type="spellStart"/>
      <w:r w:rsidRPr="00680C74">
        <w:rPr>
          <w:rFonts w:ascii="Times New Roman" w:eastAsia="Times New Roman" w:hAnsi="Times New Roman" w:cs="Times New Roman"/>
          <w:sz w:val="20"/>
          <w:szCs w:val="20"/>
          <w:lang w:val="uk-UA" w:eastAsia="ru-RU"/>
        </w:rPr>
        <w:t>ФОП</w:t>
      </w:r>
      <w:proofErr w:type="spellEnd"/>
      <w:r w:rsidRPr="00680C74">
        <w:rPr>
          <w:rFonts w:ascii="Times New Roman" w:eastAsia="Times New Roman" w:hAnsi="Times New Roman" w:cs="Times New Roman"/>
          <w:sz w:val="20"/>
          <w:szCs w:val="20"/>
          <w:lang w:val="uk-UA" w:eastAsia="ru-RU"/>
        </w:rPr>
        <w:t xml:space="preserve">), які отримані протягом календарного року від провадження господарської діяльності.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Враховуючи те, що отримання </w:t>
      </w:r>
      <w:proofErr w:type="spellStart"/>
      <w:r w:rsidRPr="00680C74">
        <w:rPr>
          <w:rFonts w:ascii="Times New Roman" w:eastAsia="Times New Roman" w:hAnsi="Times New Roman" w:cs="Times New Roman"/>
          <w:sz w:val="20"/>
          <w:szCs w:val="20"/>
          <w:lang w:val="uk-UA" w:eastAsia="ru-RU"/>
        </w:rPr>
        <w:t>ФОП</w:t>
      </w:r>
      <w:proofErr w:type="spellEnd"/>
      <w:r w:rsidRPr="00680C74">
        <w:rPr>
          <w:rFonts w:ascii="Times New Roman" w:eastAsia="Times New Roman" w:hAnsi="Times New Roman" w:cs="Times New Roman"/>
          <w:sz w:val="20"/>
          <w:szCs w:val="20"/>
          <w:lang w:val="uk-UA" w:eastAsia="ru-RU"/>
        </w:rPr>
        <w:t xml:space="preserve"> кредиту відповідно до умов договору підлягає обов’язковому поверненню у визначені строки, то протягом дії договору кредиту сума кредиту не включається до складу доходу такого суб’єкта господарювання. </w:t>
      </w:r>
    </w:p>
    <w:p w:rsidR="00C51C92"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При цьому слід зазначити, якщо сума кредиту не повертається у визначений у договорі термін, то вона включається до складу доходів </w:t>
      </w:r>
      <w:proofErr w:type="spellStart"/>
      <w:r w:rsidRPr="00680C74">
        <w:rPr>
          <w:rFonts w:ascii="Times New Roman" w:eastAsia="Times New Roman" w:hAnsi="Times New Roman" w:cs="Times New Roman"/>
          <w:sz w:val="20"/>
          <w:szCs w:val="20"/>
          <w:lang w:val="uk-UA" w:eastAsia="ru-RU"/>
        </w:rPr>
        <w:t>ФОП</w:t>
      </w:r>
      <w:proofErr w:type="spellEnd"/>
      <w:r w:rsidRPr="00680C74">
        <w:rPr>
          <w:rFonts w:ascii="Times New Roman" w:eastAsia="Times New Roman" w:hAnsi="Times New Roman" w:cs="Times New Roman"/>
          <w:sz w:val="20"/>
          <w:szCs w:val="20"/>
          <w:lang w:val="uk-UA" w:eastAsia="ru-RU"/>
        </w:rPr>
        <w:t xml:space="preserve"> та оподатковується на загальних підставах. </w:t>
      </w:r>
    </w:p>
    <w:p w:rsidR="00680C74" w:rsidRPr="00680C74" w:rsidRDefault="00680C74" w:rsidP="00680C74">
      <w:pPr>
        <w:rPr>
          <w:rFonts w:ascii="Times New Roman" w:eastAsia="Times New Roman" w:hAnsi="Times New Roman" w:cs="Times New Roman"/>
          <w:sz w:val="20"/>
          <w:szCs w:val="20"/>
          <w:lang w:val="uk-UA" w:eastAsia="ru-RU"/>
        </w:rPr>
      </w:pPr>
    </w:p>
    <w:p w:rsidR="00C51C92" w:rsidRPr="00680C74" w:rsidRDefault="00C51C9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Контролюючий орган має право визначити суми податку на нерухомість за три звітні податкові роки </w:t>
      </w:r>
    </w:p>
    <w:p w:rsidR="00C51C92" w:rsidRPr="00680C74" w:rsidRDefault="00680C74" w:rsidP="00680C74">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Н</w:t>
      </w:r>
      <w:r w:rsidR="00C51C92" w:rsidRPr="00680C74">
        <w:rPr>
          <w:rFonts w:ascii="Times New Roman" w:eastAsia="Times New Roman" w:hAnsi="Times New Roman" w:cs="Times New Roman"/>
          <w:sz w:val="20"/>
          <w:szCs w:val="20"/>
          <w:lang w:val="uk-UA" w:eastAsia="ru-RU"/>
        </w:rPr>
        <w:t>агадує</w:t>
      </w:r>
      <w:r>
        <w:rPr>
          <w:rFonts w:ascii="Times New Roman" w:eastAsia="Times New Roman" w:hAnsi="Times New Roman" w:cs="Times New Roman"/>
          <w:sz w:val="20"/>
          <w:szCs w:val="20"/>
          <w:lang w:val="uk-UA" w:eastAsia="ru-RU"/>
        </w:rPr>
        <w:t>мо</w:t>
      </w:r>
      <w:r w:rsidR="00C51C92" w:rsidRPr="00680C74">
        <w:rPr>
          <w:rFonts w:ascii="Times New Roman" w:eastAsia="Times New Roman" w:hAnsi="Times New Roman" w:cs="Times New Roman"/>
          <w:sz w:val="20"/>
          <w:szCs w:val="20"/>
          <w:lang w:val="uk-UA" w:eastAsia="ru-RU"/>
        </w:rPr>
        <w:t xml:space="preserve">, що контролюючий орган зобов’язаний самостійно визначити суму грошових зобов’язань, передбачених Податковим кодексом України (далі – ПКУ) або іншим законодавством, якщо згідно з податковим та іншим законодавством особою, відповідальною за нарахування сум податкових зобов’язань з окремого податку або збору, контроль за сплатою якого покладено на контролюючі органи, застосування штрафних (фінансових) санкцій та нарахування пені, є контролюючий орган.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Норми встановлені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54.3.3 п. 54.3 ст. 54 ПКУ.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Обчислення суми податку на нерухоме майно, відмінне від земельної ділянки (далі – податок), з об’єкта/об’єктів житлової та/або нежитлової нерухомості, які перебувають у власності фізичних осіб, здійснюється контролюючим органом за місцем податкової адреси (місцем реєстрації) власника такої нерухомості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266.7.1 п. 266.7 ст. 266 ПКУ).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Базовий податковий (звітний) період дорівнює календарному року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266.6.1 п. 266.6 ст. 266 ПКУ).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Податкові повідомлення-рішення про сплату сум податку, обчисленого згідно з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266.7.1 п. 266.7 ст. 266 ПКУ, та відповідні платіжні реквізити, зокрема, органів місцевого самоврядування за місцезнаходженням кожного з об’єктів житлової та/або нежитлової нерухомості, надсилаються платнику податку контролюючим органом у порядку, визначеному ст. 42 ПКУ, до 01 липня року, що настає за базовим податковим (звітним) періодом (роком)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266.7.2 п. 266.7 ст. 266 ПКУ).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У разі якщо контролюючий орган не надіслав (не вручив) податкове/податкові повідомлення-рішення у строки, встановлені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266.7.2 п. 266.7 ст. 266 ПКУ, фізичні особи звільняються від відповідальності, передбаченої ПКУ за несвоєчасну сплату податкового зобов’язання.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Податкове зобов’язання з податку на нерухоме майно, відмінне від земельної ділянки, може бути нараховано за податкові (звітні) періоди (роки) в межах строків, визначених п. 102.1 ст. 102 ПКУ (п. 266.10 ст. 266 ПКУ).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Контролюючий орган, крім випадків, визначених п. 102.2 ст. 102 ПКУ, має право самостійно визначити суму грошових зобов’язань платника податків у випадках, визначених ПКУ, не пізніше закінчення 1095 дня, що настає за останнім днем граничного строку сплати грошових зобов’язань, нарахованих контролюючим органом (п. 102.1 ст. 102 ПКУ). </w:t>
      </w:r>
    </w:p>
    <w:p w:rsidR="00C51C92"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Враховуючи вищевикладене, контролюючий орган має право визначити суми податку за три звітні податкові роки. </w:t>
      </w:r>
    </w:p>
    <w:p w:rsidR="00680C74" w:rsidRPr="00680C74" w:rsidRDefault="00680C74" w:rsidP="00680C74">
      <w:pPr>
        <w:rPr>
          <w:rFonts w:ascii="Times New Roman" w:eastAsia="Times New Roman" w:hAnsi="Times New Roman" w:cs="Times New Roman"/>
          <w:sz w:val="20"/>
          <w:szCs w:val="20"/>
          <w:lang w:val="uk-UA" w:eastAsia="ru-RU"/>
        </w:rPr>
      </w:pPr>
    </w:p>
    <w:p w:rsidR="00C51C92" w:rsidRPr="00680C74" w:rsidRDefault="00C51C9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Операції за договорами управління майном податком на прибуток оподатковуються у загальному порядку </w:t>
      </w:r>
    </w:p>
    <w:p w:rsidR="00C51C92" w:rsidRPr="00680C74" w:rsidRDefault="00680C74" w:rsidP="00680C74">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П</w:t>
      </w:r>
      <w:r w:rsidR="00C51C92" w:rsidRPr="00680C74">
        <w:rPr>
          <w:rFonts w:ascii="Times New Roman" w:eastAsia="Times New Roman" w:hAnsi="Times New Roman" w:cs="Times New Roman"/>
          <w:sz w:val="20"/>
          <w:szCs w:val="20"/>
          <w:lang w:val="uk-UA" w:eastAsia="ru-RU"/>
        </w:rPr>
        <w:t>овідомляє</w:t>
      </w:r>
      <w:r>
        <w:rPr>
          <w:rFonts w:ascii="Times New Roman" w:eastAsia="Times New Roman" w:hAnsi="Times New Roman" w:cs="Times New Roman"/>
          <w:sz w:val="20"/>
          <w:szCs w:val="20"/>
          <w:lang w:val="uk-UA" w:eastAsia="ru-RU"/>
        </w:rPr>
        <w:t>мо</w:t>
      </w:r>
      <w:r w:rsidR="00C51C92" w:rsidRPr="00680C74">
        <w:rPr>
          <w:rFonts w:ascii="Times New Roman" w:eastAsia="Times New Roman" w:hAnsi="Times New Roman" w:cs="Times New Roman"/>
          <w:sz w:val="20"/>
          <w:szCs w:val="20"/>
          <w:lang w:val="uk-UA" w:eastAsia="ru-RU"/>
        </w:rPr>
        <w:t xml:space="preserve">, що об’єктом оподаткування податком на прибуток підприємств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Податкового кодексу України від (далі – ПКУ).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Норми визначені </w:t>
      </w:r>
      <w:proofErr w:type="spellStart"/>
      <w:r w:rsidRPr="00680C74">
        <w:rPr>
          <w:rFonts w:ascii="Times New Roman" w:eastAsia="Times New Roman" w:hAnsi="Times New Roman" w:cs="Times New Roman"/>
          <w:sz w:val="20"/>
          <w:szCs w:val="20"/>
          <w:lang w:val="uk-UA" w:eastAsia="ru-RU"/>
        </w:rPr>
        <w:t>п.п</w:t>
      </w:r>
      <w:proofErr w:type="spellEnd"/>
      <w:r w:rsidRPr="00680C74">
        <w:rPr>
          <w:rFonts w:ascii="Times New Roman" w:eastAsia="Times New Roman" w:hAnsi="Times New Roman" w:cs="Times New Roman"/>
          <w:sz w:val="20"/>
          <w:szCs w:val="20"/>
          <w:lang w:val="uk-UA" w:eastAsia="ru-RU"/>
        </w:rPr>
        <w:t xml:space="preserve">. 134.1.1 п. 134.1 ст. 134 ПКУ. </w:t>
      </w:r>
    </w:p>
    <w:p w:rsidR="00C51C92" w:rsidRPr="00680C74"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Редакція розділу III «Податок на прибуток підприємств» ПКУ не містить положень щодо окремого обліку за договорами управління майном і подання платниками податку – управителями майна окремих декларацій з податку на прибуток. </w:t>
      </w:r>
    </w:p>
    <w:p w:rsidR="00C51C92"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Тобто розрахунок об’єкта оподаткування податком на прибуток здійснюється на підставі даних бухгалтерського обліку шляхом коригування фінансового результату до оподаткування, визначеного у фінансовій звітності з урахуванням операцій за договорами управління майном, на різниці, які збільшують або зменшують фінансовий результат до оподаткування, відповідно до положень ПКУ. </w:t>
      </w:r>
    </w:p>
    <w:p w:rsidR="00680C74" w:rsidRPr="00680C74" w:rsidRDefault="00680C74" w:rsidP="00680C74">
      <w:pPr>
        <w:rPr>
          <w:rFonts w:ascii="Times New Roman" w:eastAsia="Times New Roman" w:hAnsi="Times New Roman" w:cs="Times New Roman"/>
          <w:sz w:val="20"/>
          <w:szCs w:val="20"/>
          <w:lang w:val="uk-UA" w:eastAsia="ru-RU"/>
        </w:rPr>
      </w:pPr>
    </w:p>
    <w:p w:rsidR="00C51C92" w:rsidRPr="00680C74" w:rsidRDefault="00C51C92" w:rsidP="00680C74">
      <w:pPr>
        <w:outlineLvl w:val="0"/>
        <w:rPr>
          <w:rFonts w:ascii="Times New Roman" w:eastAsia="Times New Roman" w:hAnsi="Times New Roman" w:cs="Times New Roman"/>
          <w:b/>
          <w:bCs/>
          <w:kern w:val="36"/>
          <w:sz w:val="20"/>
          <w:szCs w:val="20"/>
          <w:lang w:val="uk-UA" w:eastAsia="ru-RU"/>
        </w:rPr>
      </w:pPr>
      <w:r w:rsidRPr="00680C74">
        <w:rPr>
          <w:rFonts w:ascii="Times New Roman" w:eastAsia="Times New Roman" w:hAnsi="Times New Roman" w:cs="Times New Roman"/>
          <w:b/>
          <w:bCs/>
          <w:kern w:val="36"/>
          <w:sz w:val="20"/>
          <w:szCs w:val="20"/>
          <w:lang w:val="uk-UA" w:eastAsia="ru-RU"/>
        </w:rPr>
        <w:t xml:space="preserve">Перелік текстилю, під час реалізації якого застосовуються РРО та/або програмні РРО, затверджено постановою </w:t>
      </w:r>
    </w:p>
    <w:p w:rsidR="00C51C92" w:rsidRPr="00680C74" w:rsidRDefault="00680C74" w:rsidP="00680C74">
      <w:pPr>
        <w:rPr>
          <w:rFonts w:ascii="Times New Roman" w:eastAsia="Times New Roman" w:hAnsi="Times New Roman" w:cs="Times New Roman"/>
          <w:sz w:val="20"/>
          <w:szCs w:val="20"/>
          <w:lang w:val="uk-UA" w:eastAsia="ru-RU"/>
        </w:rPr>
      </w:pPr>
      <w:r>
        <w:rPr>
          <w:rFonts w:ascii="Times New Roman" w:eastAsia="Times New Roman" w:hAnsi="Times New Roman" w:cs="Times New Roman"/>
          <w:sz w:val="20"/>
          <w:szCs w:val="20"/>
          <w:lang w:val="uk-UA" w:eastAsia="ru-RU"/>
        </w:rPr>
        <w:t>І</w:t>
      </w:r>
      <w:r w:rsidR="00C51C92" w:rsidRPr="00680C74">
        <w:rPr>
          <w:rFonts w:ascii="Times New Roman" w:eastAsia="Times New Roman" w:hAnsi="Times New Roman" w:cs="Times New Roman"/>
          <w:sz w:val="20"/>
          <w:szCs w:val="20"/>
          <w:lang w:val="uk-UA" w:eastAsia="ru-RU"/>
        </w:rPr>
        <w:t>нформує</w:t>
      </w:r>
      <w:r>
        <w:rPr>
          <w:rFonts w:ascii="Times New Roman" w:eastAsia="Times New Roman" w:hAnsi="Times New Roman" w:cs="Times New Roman"/>
          <w:sz w:val="20"/>
          <w:szCs w:val="20"/>
          <w:lang w:val="uk-UA" w:eastAsia="ru-RU"/>
        </w:rPr>
        <w:t>мо</w:t>
      </w:r>
      <w:r w:rsidR="00C51C92" w:rsidRPr="00680C74">
        <w:rPr>
          <w:rFonts w:ascii="Times New Roman" w:eastAsia="Times New Roman" w:hAnsi="Times New Roman" w:cs="Times New Roman"/>
          <w:sz w:val="20"/>
          <w:szCs w:val="20"/>
          <w:lang w:val="uk-UA" w:eastAsia="ru-RU"/>
        </w:rPr>
        <w:t xml:space="preserve">, що відповідно абзацу тринадцятого п. 61 підрозділу 10 розділу XX «Інші перехідні положення» Податкового кодексу України </w:t>
      </w:r>
      <w:r w:rsidR="00C51C92" w:rsidRPr="00680C74">
        <w:rPr>
          <w:rFonts w:ascii="Times New Roman" w:eastAsia="Times New Roman" w:hAnsi="Times New Roman" w:cs="Times New Roman"/>
          <w:b/>
          <w:bCs/>
          <w:sz w:val="20"/>
          <w:szCs w:val="20"/>
          <w:lang w:val="uk-UA" w:eastAsia="ru-RU"/>
        </w:rPr>
        <w:t>з 01 січня 2021 року до 01 квітня 2021 року</w:t>
      </w:r>
      <w:r w:rsidR="00C51C92" w:rsidRPr="00680C74">
        <w:rPr>
          <w:rFonts w:ascii="Times New Roman" w:eastAsia="Times New Roman" w:hAnsi="Times New Roman" w:cs="Times New Roman"/>
          <w:sz w:val="20"/>
          <w:szCs w:val="20"/>
          <w:lang w:val="uk-UA" w:eastAsia="ru-RU"/>
        </w:rPr>
        <w:t xml:space="preserve"> реєстратори розрахункових операцій (далі – РРО) та/або програмні РРО не застосовуються фізичними особами – підприємцями – платниками єдиного податку другої – четвертої груп, обсяг доходу яких протягом календарного року не перевищує 1000 000 </w:t>
      </w:r>
      <w:proofErr w:type="spellStart"/>
      <w:r w:rsidR="00C51C92" w:rsidRPr="00680C74">
        <w:rPr>
          <w:rFonts w:ascii="Times New Roman" w:eastAsia="Times New Roman" w:hAnsi="Times New Roman" w:cs="Times New Roman"/>
          <w:sz w:val="20"/>
          <w:szCs w:val="20"/>
          <w:lang w:val="uk-UA" w:eastAsia="ru-RU"/>
        </w:rPr>
        <w:t>грн</w:t>
      </w:r>
      <w:proofErr w:type="spellEnd"/>
      <w:r w:rsidR="00C51C92" w:rsidRPr="00680C74">
        <w:rPr>
          <w:rFonts w:ascii="Times New Roman" w:eastAsia="Times New Roman" w:hAnsi="Times New Roman" w:cs="Times New Roman"/>
          <w:sz w:val="20"/>
          <w:szCs w:val="20"/>
          <w:lang w:val="uk-UA" w:eastAsia="ru-RU"/>
        </w:rPr>
        <w:t xml:space="preserve">, незалежно від обраного виду діяльності, крім тих, які здійснюють реалізацію текстилю </w:t>
      </w:r>
      <w:r w:rsidR="00C51C92" w:rsidRPr="00680C74">
        <w:rPr>
          <w:rFonts w:ascii="Times New Roman" w:eastAsia="Times New Roman" w:hAnsi="Times New Roman" w:cs="Times New Roman"/>
          <w:i/>
          <w:iCs/>
          <w:sz w:val="20"/>
          <w:szCs w:val="20"/>
          <w:lang w:val="uk-UA" w:eastAsia="ru-RU"/>
        </w:rPr>
        <w:t>(крім реалізації за готівкові кошти на ринках)</w:t>
      </w:r>
      <w:r w:rsidR="00C51C92" w:rsidRPr="00680C74">
        <w:rPr>
          <w:rFonts w:ascii="Times New Roman" w:eastAsia="Times New Roman" w:hAnsi="Times New Roman" w:cs="Times New Roman"/>
          <w:sz w:val="20"/>
          <w:szCs w:val="20"/>
          <w:lang w:val="uk-UA" w:eastAsia="ru-RU"/>
        </w:rPr>
        <w:t xml:space="preserve">, деталей та приладдя для автотранспортних засобів відповідно до переліку, що затверджується Кабінетом Міністрів України. </w:t>
      </w:r>
    </w:p>
    <w:p w:rsidR="00C51C92" w:rsidRDefault="00C51C92" w:rsidP="00680C74">
      <w:pPr>
        <w:rPr>
          <w:rFonts w:ascii="Times New Roman" w:eastAsia="Times New Roman" w:hAnsi="Times New Roman" w:cs="Times New Roman"/>
          <w:sz w:val="20"/>
          <w:szCs w:val="20"/>
          <w:lang w:val="uk-UA" w:eastAsia="ru-RU"/>
        </w:rPr>
      </w:pPr>
      <w:r w:rsidRPr="00680C74">
        <w:rPr>
          <w:rFonts w:ascii="Times New Roman" w:eastAsia="Times New Roman" w:hAnsi="Times New Roman" w:cs="Times New Roman"/>
          <w:sz w:val="20"/>
          <w:szCs w:val="20"/>
          <w:lang w:val="uk-UA" w:eastAsia="ru-RU"/>
        </w:rPr>
        <w:t xml:space="preserve">Перелік текстилю, під час реалізації якого </w:t>
      </w:r>
      <w:r w:rsidRPr="00680C74">
        <w:rPr>
          <w:rFonts w:ascii="Times New Roman" w:eastAsia="Times New Roman" w:hAnsi="Times New Roman" w:cs="Times New Roman"/>
          <w:i/>
          <w:iCs/>
          <w:sz w:val="20"/>
          <w:szCs w:val="20"/>
          <w:lang w:val="uk-UA" w:eastAsia="ru-RU"/>
        </w:rPr>
        <w:t>(крім реалізації за готівкові кошти на ринках)</w:t>
      </w:r>
      <w:r w:rsidRPr="00680C74">
        <w:rPr>
          <w:rFonts w:ascii="Times New Roman" w:eastAsia="Times New Roman" w:hAnsi="Times New Roman" w:cs="Times New Roman"/>
          <w:sz w:val="20"/>
          <w:szCs w:val="20"/>
          <w:lang w:val="uk-UA" w:eastAsia="ru-RU"/>
        </w:rPr>
        <w:t xml:space="preserve"> застосовуються РРО та/або програмні РРО (товарна номенклатура текстильних сировини, матеріалів, виробів та аксесуарів до них згідно з Українським класифікатором товарів зовнішньоекономічної діяльності) затверджений постановою Кабінету Міністрів України від            22 липня 2020 року № 634, яка </w:t>
      </w:r>
      <w:r w:rsidRPr="00680C74">
        <w:rPr>
          <w:rFonts w:ascii="Times New Roman" w:eastAsia="Times New Roman" w:hAnsi="Times New Roman" w:cs="Times New Roman"/>
          <w:b/>
          <w:bCs/>
          <w:sz w:val="20"/>
          <w:szCs w:val="20"/>
          <w:lang w:val="uk-UA" w:eastAsia="ru-RU"/>
        </w:rPr>
        <w:t>набирає чинності з 01.01.2021</w:t>
      </w:r>
      <w:r w:rsidRPr="00680C74">
        <w:rPr>
          <w:rFonts w:ascii="Times New Roman" w:eastAsia="Times New Roman" w:hAnsi="Times New Roman" w:cs="Times New Roman"/>
          <w:sz w:val="20"/>
          <w:szCs w:val="20"/>
          <w:lang w:val="uk-UA" w:eastAsia="ru-RU"/>
        </w:rPr>
        <w:t xml:space="preserve">. </w:t>
      </w:r>
    </w:p>
    <w:p w:rsidR="00680C74" w:rsidRPr="00680C74" w:rsidRDefault="00680C74" w:rsidP="00680C74">
      <w:pPr>
        <w:rPr>
          <w:rFonts w:ascii="Times New Roman" w:eastAsia="Times New Roman" w:hAnsi="Times New Roman" w:cs="Times New Roman"/>
          <w:sz w:val="20"/>
          <w:szCs w:val="20"/>
          <w:lang w:val="uk-UA" w:eastAsia="ru-RU"/>
        </w:rPr>
      </w:pPr>
    </w:p>
    <w:p w:rsidR="005F2222" w:rsidRPr="00680C74" w:rsidRDefault="005F2222" w:rsidP="00680C74">
      <w:pPr>
        <w:rPr>
          <w:rFonts w:ascii="Times New Roman" w:hAnsi="Times New Roman" w:cs="Times New Roman"/>
          <w:sz w:val="20"/>
          <w:szCs w:val="20"/>
          <w:lang w:val="uk-UA"/>
        </w:rPr>
      </w:pPr>
    </w:p>
    <w:sectPr w:rsidR="005F2222" w:rsidRPr="00680C74" w:rsidSect="005F2222">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555CCC"/>
    <w:rsid w:val="000F66F6"/>
    <w:rsid w:val="002E2B29"/>
    <w:rsid w:val="00314BE1"/>
    <w:rsid w:val="00377D98"/>
    <w:rsid w:val="003D491B"/>
    <w:rsid w:val="00542ABC"/>
    <w:rsid w:val="00555CCC"/>
    <w:rsid w:val="00585E40"/>
    <w:rsid w:val="005D1725"/>
    <w:rsid w:val="005F2222"/>
    <w:rsid w:val="00600167"/>
    <w:rsid w:val="00680C74"/>
    <w:rsid w:val="007C291B"/>
    <w:rsid w:val="00804EB0"/>
    <w:rsid w:val="00956337"/>
    <w:rsid w:val="009B7FDB"/>
    <w:rsid w:val="00C51C92"/>
    <w:rsid w:val="00E63425"/>
    <w:rsid w:val="00F36CE0"/>
    <w:rsid w:val="00FE79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5CCC"/>
  </w:style>
  <w:style w:type="paragraph" w:styleId="1">
    <w:name w:val="heading 1"/>
    <w:basedOn w:val="a"/>
    <w:link w:val="10"/>
    <w:uiPriority w:val="9"/>
    <w:qFormat/>
    <w:rsid w:val="00C51C92"/>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1C92"/>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C51C92"/>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C51C92"/>
    <w:rPr>
      <w:rFonts w:ascii="Tahoma" w:hAnsi="Tahoma" w:cs="Tahoma"/>
      <w:sz w:val="16"/>
      <w:szCs w:val="16"/>
    </w:rPr>
  </w:style>
  <w:style w:type="character" w:customStyle="1" w:styleId="a5">
    <w:name w:val="Текст выноски Знак"/>
    <w:basedOn w:val="a0"/>
    <w:link w:val="a4"/>
    <w:uiPriority w:val="99"/>
    <w:semiHidden/>
    <w:rsid w:val="00C51C92"/>
    <w:rPr>
      <w:rFonts w:ascii="Tahoma" w:hAnsi="Tahoma" w:cs="Tahoma"/>
      <w:sz w:val="16"/>
      <w:szCs w:val="16"/>
    </w:rPr>
  </w:style>
  <w:style w:type="character" w:styleId="a6">
    <w:name w:val="Hyperlink"/>
    <w:basedOn w:val="a0"/>
    <w:uiPriority w:val="99"/>
    <w:unhideWhenUsed/>
    <w:rsid w:val="00C51C92"/>
    <w:rPr>
      <w:color w:val="0000FF"/>
      <w:u w:val="single"/>
    </w:rPr>
  </w:style>
  <w:style w:type="character" w:styleId="a7">
    <w:name w:val="Emphasis"/>
    <w:basedOn w:val="a0"/>
    <w:uiPriority w:val="20"/>
    <w:qFormat/>
    <w:rsid w:val="00C51C92"/>
    <w:rPr>
      <w:i/>
      <w:iCs/>
    </w:rPr>
  </w:style>
  <w:style w:type="character" w:styleId="a8">
    <w:name w:val="Strong"/>
    <w:basedOn w:val="a0"/>
    <w:uiPriority w:val="22"/>
    <w:qFormat/>
    <w:rsid w:val="00C51C92"/>
    <w:rPr>
      <w:b/>
      <w:bCs/>
    </w:rPr>
  </w:style>
  <w:style w:type="paragraph" w:customStyle="1" w:styleId="21">
    <w:name w:val="21"/>
    <w:basedOn w:val="a"/>
    <w:rsid w:val="00C51C92"/>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11">
    <w:name w:val="1"/>
    <w:basedOn w:val="a"/>
    <w:rsid w:val="005F2222"/>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default">
    <w:name w:val="default"/>
    <w:basedOn w:val="a"/>
    <w:rsid w:val="005F2222"/>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9">
    <w:name w:val="Body Text"/>
    <w:basedOn w:val="a"/>
    <w:link w:val="aa"/>
    <w:semiHidden/>
    <w:unhideWhenUsed/>
    <w:rsid w:val="00804EB0"/>
    <w:pPr>
      <w:autoSpaceDE w:val="0"/>
      <w:autoSpaceDN w:val="0"/>
    </w:pPr>
    <w:rPr>
      <w:rFonts w:ascii="Times New Roman" w:eastAsia="Times New Roman" w:hAnsi="Times New Roman" w:cs="Times New Roman"/>
      <w:sz w:val="28"/>
      <w:szCs w:val="28"/>
      <w:lang w:val="uk-UA" w:eastAsia="ru-RU"/>
    </w:rPr>
  </w:style>
  <w:style w:type="character" w:customStyle="1" w:styleId="aa">
    <w:name w:val="Основной текст Знак"/>
    <w:basedOn w:val="a0"/>
    <w:link w:val="a9"/>
    <w:semiHidden/>
    <w:rsid w:val="00804EB0"/>
    <w:rPr>
      <w:rFonts w:ascii="Times New Roman" w:eastAsia="Times New Roman" w:hAnsi="Times New Roman" w:cs="Times New Roman"/>
      <w:sz w:val="28"/>
      <w:szCs w:val="28"/>
      <w:lang w:val="uk-UA" w:eastAsia="ru-RU"/>
    </w:rPr>
  </w:style>
  <w:style w:type="character" w:customStyle="1" w:styleId="2">
    <w:name w:val="Основной текст (2)_"/>
    <w:basedOn w:val="a0"/>
    <w:link w:val="210"/>
    <w:locked/>
    <w:rsid w:val="00804EB0"/>
    <w:rPr>
      <w:sz w:val="26"/>
      <w:szCs w:val="26"/>
      <w:shd w:val="clear" w:color="auto" w:fill="FFFFFF"/>
    </w:rPr>
  </w:style>
  <w:style w:type="paragraph" w:customStyle="1" w:styleId="210">
    <w:name w:val="Основной текст (2)1"/>
    <w:basedOn w:val="a"/>
    <w:link w:val="2"/>
    <w:rsid w:val="00804EB0"/>
    <w:pPr>
      <w:widowControl w:val="0"/>
      <w:shd w:val="clear" w:color="auto" w:fill="FFFFFF"/>
      <w:spacing w:line="293" w:lineRule="exact"/>
    </w:pPr>
    <w:rPr>
      <w:sz w:val="26"/>
      <w:szCs w:val="26"/>
    </w:rPr>
  </w:style>
</w:styles>
</file>

<file path=word/webSettings.xml><?xml version="1.0" encoding="utf-8"?>
<w:webSettings xmlns:r="http://schemas.openxmlformats.org/officeDocument/2006/relationships" xmlns:w="http://schemas.openxmlformats.org/wordprocessingml/2006/main">
  <w:divs>
    <w:div w:id="22168681">
      <w:bodyDiv w:val="1"/>
      <w:marLeft w:val="0"/>
      <w:marRight w:val="0"/>
      <w:marTop w:val="0"/>
      <w:marBottom w:val="0"/>
      <w:divBdr>
        <w:top w:val="none" w:sz="0" w:space="0" w:color="auto"/>
        <w:left w:val="none" w:sz="0" w:space="0" w:color="auto"/>
        <w:bottom w:val="none" w:sz="0" w:space="0" w:color="auto"/>
        <w:right w:val="none" w:sz="0" w:space="0" w:color="auto"/>
      </w:divBdr>
      <w:divsChild>
        <w:div w:id="17243378">
          <w:marLeft w:val="0"/>
          <w:marRight w:val="0"/>
          <w:marTop w:val="0"/>
          <w:marBottom w:val="0"/>
          <w:divBdr>
            <w:top w:val="none" w:sz="0" w:space="0" w:color="auto"/>
            <w:left w:val="none" w:sz="0" w:space="0" w:color="auto"/>
            <w:bottom w:val="none" w:sz="0" w:space="0" w:color="auto"/>
            <w:right w:val="none" w:sz="0" w:space="0" w:color="auto"/>
          </w:divBdr>
          <w:divsChild>
            <w:div w:id="103272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17999">
      <w:bodyDiv w:val="1"/>
      <w:marLeft w:val="0"/>
      <w:marRight w:val="0"/>
      <w:marTop w:val="0"/>
      <w:marBottom w:val="0"/>
      <w:divBdr>
        <w:top w:val="none" w:sz="0" w:space="0" w:color="auto"/>
        <w:left w:val="none" w:sz="0" w:space="0" w:color="auto"/>
        <w:bottom w:val="none" w:sz="0" w:space="0" w:color="auto"/>
        <w:right w:val="none" w:sz="0" w:space="0" w:color="auto"/>
      </w:divBdr>
      <w:divsChild>
        <w:div w:id="367800497">
          <w:marLeft w:val="0"/>
          <w:marRight w:val="0"/>
          <w:marTop w:val="0"/>
          <w:marBottom w:val="0"/>
          <w:divBdr>
            <w:top w:val="none" w:sz="0" w:space="0" w:color="auto"/>
            <w:left w:val="none" w:sz="0" w:space="0" w:color="auto"/>
            <w:bottom w:val="none" w:sz="0" w:space="0" w:color="auto"/>
            <w:right w:val="none" w:sz="0" w:space="0" w:color="auto"/>
          </w:divBdr>
          <w:divsChild>
            <w:div w:id="178522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49732">
      <w:bodyDiv w:val="1"/>
      <w:marLeft w:val="0"/>
      <w:marRight w:val="0"/>
      <w:marTop w:val="0"/>
      <w:marBottom w:val="0"/>
      <w:divBdr>
        <w:top w:val="none" w:sz="0" w:space="0" w:color="auto"/>
        <w:left w:val="none" w:sz="0" w:space="0" w:color="auto"/>
        <w:bottom w:val="none" w:sz="0" w:space="0" w:color="auto"/>
        <w:right w:val="none" w:sz="0" w:space="0" w:color="auto"/>
      </w:divBdr>
      <w:divsChild>
        <w:div w:id="929385818">
          <w:marLeft w:val="0"/>
          <w:marRight w:val="0"/>
          <w:marTop w:val="0"/>
          <w:marBottom w:val="0"/>
          <w:divBdr>
            <w:top w:val="none" w:sz="0" w:space="0" w:color="auto"/>
            <w:left w:val="none" w:sz="0" w:space="0" w:color="auto"/>
            <w:bottom w:val="none" w:sz="0" w:space="0" w:color="auto"/>
            <w:right w:val="none" w:sz="0" w:space="0" w:color="auto"/>
          </w:divBdr>
          <w:divsChild>
            <w:div w:id="168165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69959">
      <w:bodyDiv w:val="1"/>
      <w:marLeft w:val="0"/>
      <w:marRight w:val="0"/>
      <w:marTop w:val="0"/>
      <w:marBottom w:val="0"/>
      <w:divBdr>
        <w:top w:val="none" w:sz="0" w:space="0" w:color="auto"/>
        <w:left w:val="none" w:sz="0" w:space="0" w:color="auto"/>
        <w:bottom w:val="none" w:sz="0" w:space="0" w:color="auto"/>
        <w:right w:val="none" w:sz="0" w:space="0" w:color="auto"/>
      </w:divBdr>
      <w:divsChild>
        <w:div w:id="843204440">
          <w:marLeft w:val="0"/>
          <w:marRight w:val="0"/>
          <w:marTop w:val="0"/>
          <w:marBottom w:val="0"/>
          <w:divBdr>
            <w:top w:val="none" w:sz="0" w:space="0" w:color="auto"/>
            <w:left w:val="none" w:sz="0" w:space="0" w:color="auto"/>
            <w:bottom w:val="none" w:sz="0" w:space="0" w:color="auto"/>
            <w:right w:val="none" w:sz="0" w:space="0" w:color="auto"/>
          </w:divBdr>
          <w:divsChild>
            <w:div w:id="57829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29080">
      <w:bodyDiv w:val="1"/>
      <w:marLeft w:val="0"/>
      <w:marRight w:val="0"/>
      <w:marTop w:val="0"/>
      <w:marBottom w:val="0"/>
      <w:divBdr>
        <w:top w:val="none" w:sz="0" w:space="0" w:color="auto"/>
        <w:left w:val="none" w:sz="0" w:space="0" w:color="auto"/>
        <w:bottom w:val="none" w:sz="0" w:space="0" w:color="auto"/>
        <w:right w:val="none" w:sz="0" w:space="0" w:color="auto"/>
      </w:divBdr>
      <w:divsChild>
        <w:div w:id="1261332748">
          <w:marLeft w:val="0"/>
          <w:marRight w:val="0"/>
          <w:marTop w:val="0"/>
          <w:marBottom w:val="0"/>
          <w:divBdr>
            <w:top w:val="none" w:sz="0" w:space="0" w:color="auto"/>
            <w:left w:val="none" w:sz="0" w:space="0" w:color="auto"/>
            <w:bottom w:val="none" w:sz="0" w:space="0" w:color="auto"/>
            <w:right w:val="none" w:sz="0" w:space="0" w:color="auto"/>
          </w:divBdr>
          <w:divsChild>
            <w:div w:id="92638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6974">
      <w:bodyDiv w:val="1"/>
      <w:marLeft w:val="0"/>
      <w:marRight w:val="0"/>
      <w:marTop w:val="0"/>
      <w:marBottom w:val="0"/>
      <w:divBdr>
        <w:top w:val="none" w:sz="0" w:space="0" w:color="auto"/>
        <w:left w:val="none" w:sz="0" w:space="0" w:color="auto"/>
        <w:bottom w:val="none" w:sz="0" w:space="0" w:color="auto"/>
        <w:right w:val="none" w:sz="0" w:space="0" w:color="auto"/>
      </w:divBdr>
      <w:divsChild>
        <w:div w:id="1698777360">
          <w:marLeft w:val="0"/>
          <w:marRight w:val="0"/>
          <w:marTop w:val="0"/>
          <w:marBottom w:val="0"/>
          <w:divBdr>
            <w:top w:val="none" w:sz="0" w:space="0" w:color="auto"/>
            <w:left w:val="none" w:sz="0" w:space="0" w:color="auto"/>
            <w:bottom w:val="none" w:sz="0" w:space="0" w:color="auto"/>
            <w:right w:val="none" w:sz="0" w:space="0" w:color="auto"/>
          </w:divBdr>
          <w:divsChild>
            <w:div w:id="167098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05069">
      <w:bodyDiv w:val="1"/>
      <w:marLeft w:val="0"/>
      <w:marRight w:val="0"/>
      <w:marTop w:val="0"/>
      <w:marBottom w:val="0"/>
      <w:divBdr>
        <w:top w:val="none" w:sz="0" w:space="0" w:color="auto"/>
        <w:left w:val="none" w:sz="0" w:space="0" w:color="auto"/>
        <w:bottom w:val="none" w:sz="0" w:space="0" w:color="auto"/>
        <w:right w:val="none" w:sz="0" w:space="0" w:color="auto"/>
      </w:divBdr>
      <w:divsChild>
        <w:div w:id="1841504535">
          <w:marLeft w:val="0"/>
          <w:marRight w:val="0"/>
          <w:marTop w:val="0"/>
          <w:marBottom w:val="0"/>
          <w:divBdr>
            <w:top w:val="none" w:sz="0" w:space="0" w:color="auto"/>
            <w:left w:val="none" w:sz="0" w:space="0" w:color="auto"/>
            <w:bottom w:val="none" w:sz="0" w:space="0" w:color="auto"/>
            <w:right w:val="none" w:sz="0" w:space="0" w:color="auto"/>
          </w:divBdr>
          <w:divsChild>
            <w:div w:id="761995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239404">
      <w:bodyDiv w:val="1"/>
      <w:marLeft w:val="0"/>
      <w:marRight w:val="0"/>
      <w:marTop w:val="0"/>
      <w:marBottom w:val="0"/>
      <w:divBdr>
        <w:top w:val="none" w:sz="0" w:space="0" w:color="auto"/>
        <w:left w:val="none" w:sz="0" w:space="0" w:color="auto"/>
        <w:bottom w:val="none" w:sz="0" w:space="0" w:color="auto"/>
        <w:right w:val="none" w:sz="0" w:space="0" w:color="auto"/>
      </w:divBdr>
      <w:divsChild>
        <w:div w:id="796949473">
          <w:marLeft w:val="0"/>
          <w:marRight w:val="0"/>
          <w:marTop w:val="0"/>
          <w:marBottom w:val="0"/>
          <w:divBdr>
            <w:top w:val="none" w:sz="0" w:space="0" w:color="auto"/>
            <w:left w:val="none" w:sz="0" w:space="0" w:color="auto"/>
            <w:bottom w:val="none" w:sz="0" w:space="0" w:color="auto"/>
            <w:right w:val="none" w:sz="0" w:space="0" w:color="auto"/>
          </w:divBdr>
          <w:divsChild>
            <w:div w:id="133067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251922">
      <w:bodyDiv w:val="1"/>
      <w:marLeft w:val="0"/>
      <w:marRight w:val="0"/>
      <w:marTop w:val="0"/>
      <w:marBottom w:val="0"/>
      <w:divBdr>
        <w:top w:val="none" w:sz="0" w:space="0" w:color="auto"/>
        <w:left w:val="none" w:sz="0" w:space="0" w:color="auto"/>
        <w:bottom w:val="none" w:sz="0" w:space="0" w:color="auto"/>
        <w:right w:val="none" w:sz="0" w:space="0" w:color="auto"/>
      </w:divBdr>
      <w:divsChild>
        <w:div w:id="1074468596">
          <w:marLeft w:val="0"/>
          <w:marRight w:val="0"/>
          <w:marTop w:val="0"/>
          <w:marBottom w:val="0"/>
          <w:divBdr>
            <w:top w:val="none" w:sz="0" w:space="0" w:color="auto"/>
            <w:left w:val="none" w:sz="0" w:space="0" w:color="auto"/>
            <w:bottom w:val="none" w:sz="0" w:space="0" w:color="auto"/>
            <w:right w:val="none" w:sz="0" w:space="0" w:color="auto"/>
          </w:divBdr>
          <w:divsChild>
            <w:div w:id="152378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374321">
      <w:bodyDiv w:val="1"/>
      <w:marLeft w:val="0"/>
      <w:marRight w:val="0"/>
      <w:marTop w:val="0"/>
      <w:marBottom w:val="0"/>
      <w:divBdr>
        <w:top w:val="none" w:sz="0" w:space="0" w:color="auto"/>
        <w:left w:val="none" w:sz="0" w:space="0" w:color="auto"/>
        <w:bottom w:val="none" w:sz="0" w:space="0" w:color="auto"/>
        <w:right w:val="none" w:sz="0" w:space="0" w:color="auto"/>
      </w:divBdr>
      <w:divsChild>
        <w:div w:id="211768587">
          <w:marLeft w:val="0"/>
          <w:marRight w:val="0"/>
          <w:marTop w:val="0"/>
          <w:marBottom w:val="0"/>
          <w:divBdr>
            <w:top w:val="none" w:sz="0" w:space="0" w:color="auto"/>
            <w:left w:val="none" w:sz="0" w:space="0" w:color="auto"/>
            <w:bottom w:val="none" w:sz="0" w:space="0" w:color="auto"/>
            <w:right w:val="none" w:sz="0" w:space="0" w:color="auto"/>
          </w:divBdr>
          <w:divsChild>
            <w:div w:id="69489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308000">
      <w:bodyDiv w:val="1"/>
      <w:marLeft w:val="0"/>
      <w:marRight w:val="0"/>
      <w:marTop w:val="0"/>
      <w:marBottom w:val="0"/>
      <w:divBdr>
        <w:top w:val="none" w:sz="0" w:space="0" w:color="auto"/>
        <w:left w:val="none" w:sz="0" w:space="0" w:color="auto"/>
        <w:bottom w:val="none" w:sz="0" w:space="0" w:color="auto"/>
        <w:right w:val="none" w:sz="0" w:space="0" w:color="auto"/>
      </w:divBdr>
      <w:divsChild>
        <w:div w:id="1532569793">
          <w:marLeft w:val="0"/>
          <w:marRight w:val="0"/>
          <w:marTop w:val="0"/>
          <w:marBottom w:val="0"/>
          <w:divBdr>
            <w:top w:val="none" w:sz="0" w:space="0" w:color="auto"/>
            <w:left w:val="none" w:sz="0" w:space="0" w:color="auto"/>
            <w:bottom w:val="none" w:sz="0" w:space="0" w:color="auto"/>
            <w:right w:val="none" w:sz="0" w:space="0" w:color="auto"/>
          </w:divBdr>
          <w:divsChild>
            <w:div w:id="7840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738800">
      <w:bodyDiv w:val="1"/>
      <w:marLeft w:val="0"/>
      <w:marRight w:val="0"/>
      <w:marTop w:val="0"/>
      <w:marBottom w:val="0"/>
      <w:divBdr>
        <w:top w:val="none" w:sz="0" w:space="0" w:color="auto"/>
        <w:left w:val="none" w:sz="0" w:space="0" w:color="auto"/>
        <w:bottom w:val="none" w:sz="0" w:space="0" w:color="auto"/>
        <w:right w:val="none" w:sz="0" w:space="0" w:color="auto"/>
      </w:divBdr>
      <w:divsChild>
        <w:div w:id="776214443">
          <w:marLeft w:val="0"/>
          <w:marRight w:val="0"/>
          <w:marTop w:val="0"/>
          <w:marBottom w:val="0"/>
          <w:divBdr>
            <w:top w:val="none" w:sz="0" w:space="0" w:color="auto"/>
            <w:left w:val="none" w:sz="0" w:space="0" w:color="auto"/>
            <w:bottom w:val="none" w:sz="0" w:space="0" w:color="auto"/>
            <w:right w:val="none" w:sz="0" w:space="0" w:color="auto"/>
          </w:divBdr>
          <w:divsChild>
            <w:div w:id="140267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330266">
      <w:bodyDiv w:val="1"/>
      <w:marLeft w:val="0"/>
      <w:marRight w:val="0"/>
      <w:marTop w:val="0"/>
      <w:marBottom w:val="0"/>
      <w:divBdr>
        <w:top w:val="none" w:sz="0" w:space="0" w:color="auto"/>
        <w:left w:val="none" w:sz="0" w:space="0" w:color="auto"/>
        <w:bottom w:val="none" w:sz="0" w:space="0" w:color="auto"/>
        <w:right w:val="none" w:sz="0" w:space="0" w:color="auto"/>
      </w:divBdr>
      <w:divsChild>
        <w:div w:id="1960453850">
          <w:marLeft w:val="0"/>
          <w:marRight w:val="0"/>
          <w:marTop w:val="0"/>
          <w:marBottom w:val="0"/>
          <w:divBdr>
            <w:top w:val="none" w:sz="0" w:space="0" w:color="auto"/>
            <w:left w:val="none" w:sz="0" w:space="0" w:color="auto"/>
            <w:bottom w:val="none" w:sz="0" w:space="0" w:color="auto"/>
            <w:right w:val="none" w:sz="0" w:space="0" w:color="auto"/>
          </w:divBdr>
          <w:divsChild>
            <w:div w:id="154312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316722">
      <w:bodyDiv w:val="1"/>
      <w:marLeft w:val="0"/>
      <w:marRight w:val="0"/>
      <w:marTop w:val="0"/>
      <w:marBottom w:val="0"/>
      <w:divBdr>
        <w:top w:val="none" w:sz="0" w:space="0" w:color="auto"/>
        <w:left w:val="none" w:sz="0" w:space="0" w:color="auto"/>
        <w:bottom w:val="none" w:sz="0" w:space="0" w:color="auto"/>
        <w:right w:val="none" w:sz="0" w:space="0" w:color="auto"/>
      </w:divBdr>
      <w:divsChild>
        <w:div w:id="799610852">
          <w:marLeft w:val="0"/>
          <w:marRight w:val="0"/>
          <w:marTop w:val="0"/>
          <w:marBottom w:val="0"/>
          <w:divBdr>
            <w:top w:val="none" w:sz="0" w:space="0" w:color="auto"/>
            <w:left w:val="none" w:sz="0" w:space="0" w:color="auto"/>
            <w:bottom w:val="none" w:sz="0" w:space="0" w:color="auto"/>
            <w:right w:val="none" w:sz="0" w:space="0" w:color="auto"/>
          </w:divBdr>
          <w:divsChild>
            <w:div w:id="1936091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714103">
      <w:bodyDiv w:val="1"/>
      <w:marLeft w:val="0"/>
      <w:marRight w:val="0"/>
      <w:marTop w:val="0"/>
      <w:marBottom w:val="0"/>
      <w:divBdr>
        <w:top w:val="none" w:sz="0" w:space="0" w:color="auto"/>
        <w:left w:val="none" w:sz="0" w:space="0" w:color="auto"/>
        <w:bottom w:val="none" w:sz="0" w:space="0" w:color="auto"/>
        <w:right w:val="none" w:sz="0" w:space="0" w:color="auto"/>
      </w:divBdr>
      <w:divsChild>
        <w:div w:id="476724216">
          <w:marLeft w:val="0"/>
          <w:marRight w:val="0"/>
          <w:marTop w:val="0"/>
          <w:marBottom w:val="0"/>
          <w:divBdr>
            <w:top w:val="none" w:sz="0" w:space="0" w:color="auto"/>
            <w:left w:val="none" w:sz="0" w:space="0" w:color="auto"/>
            <w:bottom w:val="none" w:sz="0" w:space="0" w:color="auto"/>
            <w:right w:val="none" w:sz="0" w:space="0" w:color="auto"/>
          </w:divBdr>
          <w:divsChild>
            <w:div w:id="182847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784846">
      <w:bodyDiv w:val="1"/>
      <w:marLeft w:val="0"/>
      <w:marRight w:val="0"/>
      <w:marTop w:val="0"/>
      <w:marBottom w:val="0"/>
      <w:divBdr>
        <w:top w:val="none" w:sz="0" w:space="0" w:color="auto"/>
        <w:left w:val="none" w:sz="0" w:space="0" w:color="auto"/>
        <w:bottom w:val="none" w:sz="0" w:space="0" w:color="auto"/>
        <w:right w:val="none" w:sz="0" w:space="0" w:color="auto"/>
      </w:divBdr>
      <w:divsChild>
        <w:div w:id="36586662">
          <w:marLeft w:val="0"/>
          <w:marRight w:val="0"/>
          <w:marTop w:val="0"/>
          <w:marBottom w:val="0"/>
          <w:divBdr>
            <w:top w:val="none" w:sz="0" w:space="0" w:color="auto"/>
            <w:left w:val="none" w:sz="0" w:space="0" w:color="auto"/>
            <w:bottom w:val="none" w:sz="0" w:space="0" w:color="auto"/>
            <w:right w:val="none" w:sz="0" w:space="0" w:color="auto"/>
          </w:divBdr>
          <w:divsChild>
            <w:div w:id="178796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915353">
      <w:bodyDiv w:val="1"/>
      <w:marLeft w:val="0"/>
      <w:marRight w:val="0"/>
      <w:marTop w:val="0"/>
      <w:marBottom w:val="0"/>
      <w:divBdr>
        <w:top w:val="none" w:sz="0" w:space="0" w:color="auto"/>
        <w:left w:val="none" w:sz="0" w:space="0" w:color="auto"/>
        <w:bottom w:val="none" w:sz="0" w:space="0" w:color="auto"/>
        <w:right w:val="none" w:sz="0" w:space="0" w:color="auto"/>
      </w:divBdr>
      <w:divsChild>
        <w:div w:id="2146580191">
          <w:marLeft w:val="0"/>
          <w:marRight w:val="0"/>
          <w:marTop w:val="0"/>
          <w:marBottom w:val="0"/>
          <w:divBdr>
            <w:top w:val="none" w:sz="0" w:space="0" w:color="auto"/>
            <w:left w:val="none" w:sz="0" w:space="0" w:color="auto"/>
            <w:bottom w:val="none" w:sz="0" w:space="0" w:color="auto"/>
            <w:right w:val="none" w:sz="0" w:space="0" w:color="auto"/>
          </w:divBdr>
          <w:divsChild>
            <w:div w:id="133591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446197">
      <w:bodyDiv w:val="1"/>
      <w:marLeft w:val="0"/>
      <w:marRight w:val="0"/>
      <w:marTop w:val="0"/>
      <w:marBottom w:val="0"/>
      <w:divBdr>
        <w:top w:val="none" w:sz="0" w:space="0" w:color="auto"/>
        <w:left w:val="none" w:sz="0" w:space="0" w:color="auto"/>
        <w:bottom w:val="none" w:sz="0" w:space="0" w:color="auto"/>
        <w:right w:val="none" w:sz="0" w:space="0" w:color="auto"/>
      </w:divBdr>
      <w:divsChild>
        <w:div w:id="1968197905">
          <w:marLeft w:val="0"/>
          <w:marRight w:val="0"/>
          <w:marTop w:val="0"/>
          <w:marBottom w:val="0"/>
          <w:divBdr>
            <w:top w:val="none" w:sz="0" w:space="0" w:color="auto"/>
            <w:left w:val="none" w:sz="0" w:space="0" w:color="auto"/>
            <w:bottom w:val="none" w:sz="0" w:space="0" w:color="auto"/>
            <w:right w:val="none" w:sz="0" w:space="0" w:color="auto"/>
          </w:divBdr>
          <w:divsChild>
            <w:div w:id="106086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014977">
      <w:bodyDiv w:val="1"/>
      <w:marLeft w:val="0"/>
      <w:marRight w:val="0"/>
      <w:marTop w:val="0"/>
      <w:marBottom w:val="0"/>
      <w:divBdr>
        <w:top w:val="none" w:sz="0" w:space="0" w:color="auto"/>
        <w:left w:val="none" w:sz="0" w:space="0" w:color="auto"/>
        <w:bottom w:val="none" w:sz="0" w:space="0" w:color="auto"/>
        <w:right w:val="none" w:sz="0" w:space="0" w:color="auto"/>
      </w:divBdr>
      <w:divsChild>
        <w:div w:id="1482385143">
          <w:marLeft w:val="0"/>
          <w:marRight w:val="0"/>
          <w:marTop w:val="0"/>
          <w:marBottom w:val="0"/>
          <w:divBdr>
            <w:top w:val="none" w:sz="0" w:space="0" w:color="auto"/>
            <w:left w:val="none" w:sz="0" w:space="0" w:color="auto"/>
            <w:bottom w:val="none" w:sz="0" w:space="0" w:color="auto"/>
            <w:right w:val="none" w:sz="0" w:space="0" w:color="auto"/>
          </w:divBdr>
          <w:divsChild>
            <w:div w:id="127659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273575">
      <w:bodyDiv w:val="1"/>
      <w:marLeft w:val="0"/>
      <w:marRight w:val="0"/>
      <w:marTop w:val="0"/>
      <w:marBottom w:val="0"/>
      <w:divBdr>
        <w:top w:val="none" w:sz="0" w:space="0" w:color="auto"/>
        <w:left w:val="none" w:sz="0" w:space="0" w:color="auto"/>
        <w:bottom w:val="none" w:sz="0" w:space="0" w:color="auto"/>
        <w:right w:val="none" w:sz="0" w:space="0" w:color="auto"/>
      </w:divBdr>
      <w:divsChild>
        <w:div w:id="289821709">
          <w:marLeft w:val="0"/>
          <w:marRight w:val="0"/>
          <w:marTop w:val="0"/>
          <w:marBottom w:val="0"/>
          <w:divBdr>
            <w:top w:val="none" w:sz="0" w:space="0" w:color="auto"/>
            <w:left w:val="none" w:sz="0" w:space="0" w:color="auto"/>
            <w:bottom w:val="none" w:sz="0" w:space="0" w:color="auto"/>
            <w:right w:val="none" w:sz="0" w:space="0" w:color="auto"/>
          </w:divBdr>
          <w:divsChild>
            <w:div w:id="37185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211205">
      <w:bodyDiv w:val="1"/>
      <w:marLeft w:val="0"/>
      <w:marRight w:val="0"/>
      <w:marTop w:val="0"/>
      <w:marBottom w:val="0"/>
      <w:divBdr>
        <w:top w:val="none" w:sz="0" w:space="0" w:color="auto"/>
        <w:left w:val="none" w:sz="0" w:space="0" w:color="auto"/>
        <w:bottom w:val="none" w:sz="0" w:space="0" w:color="auto"/>
        <w:right w:val="none" w:sz="0" w:space="0" w:color="auto"/>
      </w:divBdr>
      <w:divsChild>
        <w:div w:id="1473906416">
          <w:marLeft w:val="0"/>
          <w:marRight w:val="0"/>
          <w:marTop w:val="0"/>
          <w:marBottom w:val="0"/>
          <w:divBdr>
            <w:top w:val="none" w:sz="0" w:space="0" w:color="auto"/>
            <w:left w:val="none" w:sz="0" w:space="0" w:color="auto"/>
            <w:bottom w:val="none" w:sz="0" w:space="0" w:color="auto"/>
            <w:right w:val="none" w:sz="0" w:space="0" w:color="auto"/>
          </w:divBdr>
          <w:divsChild>
            <w:div w:id="136605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007985">
      <w:bodyDiv w:val="1"/>
      <w:marLeft w:val="0"/>
      <w:marRight w:val="0"/>
      <w:marTop w:val="0"/>
      <w:marBottom w:val="0"/>
      <w:divBdr>
        <w:top w:val="none" w:sz="0" w:space="0" w:color="auto"/>
        <w:left w:val="none" w:sz="0" w:space="0" w:color="auto"/>
        <w:bottom w:val="none" w:sz="0" w:space="0" w:color="auto"/>
        <w:right w:val="none" w:sz="0" w:space="0" w:color="auto"/>
      </w:divBdr>
      <w:divsChild>
        <w:div w:id="1908950506">
          <w:marLeft w:val="0"/>
          <w:marRight w:val="0"/>
          <w:marTop w:val="0"/>
          <w:marBottom w:val="0"/>
          <w:divBdr>
            <w:top w:val="none" w:sz="0" w:space="0" w:color="auto"/>
            <w:left w:val="none" w:sz="0" w:space="0" w:color="auto"/>
            <w:bottom w:val="none" w:sz="0" w:space="0" w:color="auto"/>
            <w:right w:val="none" w:sz="0" w:space="0" w:color="auto"/>
          </w:divBdr>
          <w:divsChild>
            <w:div w:id="59050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070309">
      <w:bodyDiv w:val="1"/>
      <w:marLeft w:val="0"/>
      <w:marRight w:val="0"/>
      <w:marTop w:val="0"/>
      <w:marBottom w:val="0"/>
      <w:divBdr>
        <w:top w:val="none" w:sz="0" w:space="0" w:color="auto"/>
        <w:left w:val="none" w:sz="0" w:space="0" w:color="auto"/>
        <w:bottom w:val="none" w:sz="0" w:space="0" w:color="auto"/>
        <w:right w:val="none" w:sz="0" w:space="0" w:color="auto"/>
      </w:divBdr>
      <w:divsChild>
        <w:div w:id="671951963">
          <w:marLeft w:val="0"/>
          <w:marRight w:val="0"/>
          <w:marTop w:val="0"/>
          <w:marBottom w:val="0"/>
          <w:divBdr>
            <w:top w:val="none" w:sz="0" w:space="0" w:color="auto"/>
            <w:left w:val="none" w:sz="0" w:space="0" w:color="auto"/>
            <w:bottom w:val="none" w:sz="0" w:space="0" w:color="auto"/>
            <w:right w:val="none" w:sz="0" w:space="0" w:color="auto"/>
          </w:divBdr>
          <w:divsChild>
            <w:div w:id="9529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09249">
      <w:bodyDiv w:val="1"/>
      <w:marLeft w:val="0"/>
      <w:marRight w:val="0"/>
      <w:marTop w:val="0"/>
      <w:marBottom w:val="0"/>
      <w:divBdr>
        <w:top w:val="none" w:sz="0" w:space="0" w:color="auto"/>
        <w:left w:val="none" w:sz="0" w:space="0" w:color="auto"/>
        <w:bottom w:val="none" w:sz="0" w:space="0" w:color="auto"/>
        <w:right w:val="none" w:sz="0" w:space="0" w:color="auto"/>
      </w:divBdr>
      <w:divsChild>
        <w:div w:id="106003699">
          <w:marLeft w:val="0"/>
          <w:marRight w:val="0"/>
          <w:marTop w:val="0"/>
          <w:marBottom w:val="0"/>
          <w:divBdr>
            <w:top w:val="none" w:sz="0" w:space="0" w:color="auto"/>
            <w:left w:val="none" w:sz="0" w:space="0" w:color="auto"/>
            <w:bottom w:val="none" w:sz="0" w:space="0" w:color="auto"/>
            <w:right w:val="none" w:sz="0" w:space="0" w:color="auto"/>
          </w:divBdr>
          <w:divsChild>
            <w:div w:id="156391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051597">
      <w:bodyDiv w:val="1"/>
      <w:marLeft w:val="0"/>
      <w:marRight w:val="0"/>
      <w:marTop w:val="0"/>
      <w:marBottom w:val="0"/>
      <w:divBdr>
        <w:top w:val="none" w:sz="0" w:space="0" w:color="auto"/>
        <w:left w:val="none" w:sz="0" w:space="0" w:color="auto"/>
        <w:bottom w:val="none" w:sz="0" w:space="0" w:color="auto"/>
        <w:right w:val="none" w:sz="0" w:space="0" w:color="auto"/>
      </w:divBdr>
      <w:divsChild>
        <w:div w:id="1270743265">
          <w:marLeft w:val="0"/>
          <w:marRight w:val="0"/>
          <w:marTop w:val="0"/>
          <w:marBottom w:val="0"/>
          <w:divBdr>
            <w:top w:val="none" w:sz="0" w:space="0" w:color="auto"/>
            <w:left w:val="none" w:sz="0" w:space="0" w:color="auto"/>
            <w:bottom w:val="none" w:sz="0" w:space="0" w:color="auto"/>
            <w:right w:val="none" w:sz="0" w:space="0" w:color="auto"/>
          </w:divBdr>
          <w:divsChild>
            <w:div w:id="137333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348450">
      <w:bodyDiv w:val="1"/>
      <w:marLeft w:val="0"/>
      <w:marRight w:val="0"/>
      <w:marTop w:val="0"/>
      <w:marBottom w:val="0"/>
      <w:divBdr>
        <w:top w:val="none" w:sz="0" w:space="0" w:color="auto"/>
        <w:left w:val="none" w:sz="0" w:space="0" w:color="auto"/>
        <w:bottom w:val="none" w:sz="0" w:space="0" w:color="auto"/>
        <w:right w:val="none" w:sz="0" w:space="0" w:color="auto"/>
      </w:divBdr>
      <w:divsChild>
        <w:div w:id="1951427206">
          <w:marLeft w:val="0"/>
          <w:marRight w:val="0"/>
          <w:marTop w:val="0"/>
          <w:marBottom w:val="0"/>
          <w:divBdr>
            <w:top w:val="none" w:sz="0" w:space="0" w:color="auto"/>
            <w:left w:val="none" w:sz="0" w:space="0" w:color="auto"/>
            <w:bottom w:val="none" w:sz="0" w:space="0" w:color="auto"/>
            <w:right w:val="none" w:sz="0" w:space="0" w:color="auto"/>
          </w:divBdr>
          <w:divsChild>
            <w:div w:id="176372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023218">
      <w:bodyDiv w:val="1"/>
      <w:marLeft w:val="0"/>
      <w:marRight w:val="0"/>
      <w:marTop w:val="0"/>
      <w:marBottom w:val="0"/>
      <w:divBdr>
        <w:top w:val="none" w:sz="0" w:space="0" w:color="auto"/>
        <w:left w:val="none" w:sz="0" w:space="0" w:color="auto"/>
        <w:bottom w:val="none" w:sz="0" w:space="0" w:color="auto"/>
        <w:right w:val="none" w:sz="0" w:space="0" w:color="auto"/>
      </w:divBdr>
      <w:divsChild>
        <w:div w:id="1839154646">
          <w:marLeft w:val="0"/>
          <w:marRight w:val="0"/>
          <w:marTop w:val="0"/>
          <w:marBottom w:val="0"/>
          <w:divBdr>
            <w:top w:val="none" w:sz="0" w:space="0" w:color="auto"/>
            <w:left w:val="none" w:sz="0" w:space="0" w:color="auto"/>
            <w:bottom w:val="none" w:sz="0" w:space="0" w:color="auto"/>
            <w:right w:val="none" w:sz="0" w:space="0" w:color="auto"/>
          </w:divBdr>
          <w:divsChild>
            <w:div w:id="106413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035081">
      <w:bodyDiv w:val="1"/>
      <w:marLeft w:val="0"/>
      <w:marRight w:val="0"/>
      <w:marTop w:val="0"/>
      <w:marBottom w:val="0"/>
      <w:divBdr>
        <w:top w:val="none" w:sz="0" w:space="0" w:color="auto"/>
        <w:left w:val="none" w:sz="0" w:space="0" w:color="auto"/>
        <w:bottom w:val="none" w:sz="0" w:space="0" w:color="auto"/>
        <w:right w:val="none" w:sz="0" w:space="0" w:color="auto"/>
      </w:divBdr>
      <w:divsChild>
        <w:div w:id="1445071688">
          <w:marLeft w:val="0"/>
          <w:marRight w:val="0"/>
          <w:marTop w:val="0"/>
          <w:marBottom w:val="0"/>
          <w:divBdr>
            <w:top w:val="none" w:sz="0" w:space="0" w:color="auto"/>
            <w:left w:val="none" w:sz="0" w:space="0" w:color="auto"/>
            <w:bottom w:val="none" w:sz="0" w:space="0" w:color="auto"/>
            <w:right w:val="none" w:sz="0" w:space="0" w:color="auto"/>
          </w:divBdr>
          <w:divsChild>
            <w:div w:id="33287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610026">
      <w:bodyDiv w:val="1"/>
      <w:marLeft w:val="0"/>
      <w:marRight w:val="0"/>
      <w:marTop w:val="0"/>
      <w:marBottom w:val="0"/>
      <w:divBdr>
        <w:top w:val="none" w:sz="0" w:space="0" w:color="auto"/>
        <w:left w:val="none" w:sz="0" w:space="0" w:color="auto"/>
        <w:bottom w:val="none" w:sz="0" w:space="0" w:color="auto"/>
        <w:right w:val="none" w:sz="0" w:space="0" w:color="auto"/>
      </w:divBdr>
      <w:divsChild>
        <w:div w:id="101456389">
          <w:marLeft w:val="0"/>
          <w:marRight w:val="0"/>
          <w:marTop w:val="0"/>
          <w:marBottom w:val="0"/>
          <w:divBdr>
            <w:top w:val="none" w:sz="0" w:space="0" w:color="auto"/>
            <w:left w:val="none" w:sz="0" w:space="0" w:color="auto"/>
            <w:bottom w:val="none" w:sz="0" w:space="0" w:color="auto"/>
            <w:right w:val="none" w:sz="0" w:space="0" w:color="auto"/>
          </w:divBdr>
          <w:divsChild>
            <w:div w:id="58125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724636">
      <w:bodyDiv w:val="1"/>
      <w:marLeft w:val="0"/>
      <w:marRight w:val="0"/>
      <w:marTop w:val="0"/>
      <w:marBottom w:val="0"/>
      <w:divBdr>
        <w:top w:val="none" w:sz="0" w:space="0" w:color="auto"/>
        <w:left w:val="none" w:sz="0" w:space="0" w:color="auto"/>
        <w:bottom w:val="none" w:sz="0" w:space="0" w:color="auto"/>
        <w:right w:val="none" w:sz="0" w:space="0" w:color="auto"/>
      </w:divBdr>
      <w:divsChild>
        <w:div w:id="1802652342">
          <w:marLeft w:val="0"/>
          <w:marRight w:val="0"/>
          <w:marTop w:val="0"/>
          <w:marBottom w:val="0"/>
          <w:divBdr>
            <w:top w:val="none" w:sz="0" w:space="0" w:color="auto"/>
            <w:left w:val="none" w:sz="0" w:space="0" w:color="auto"/>
            <w:bottom w:val="none" w:sz="0" w:space="0" w:color="auto"/>
            <w:right w:val="none" w:sz="0" w:space="0" w:color="auto"/>
          </w:divBdr>
          <w:divsChild>
            <w:div w:id="23035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695131">
      <w:bodyDiv w:val="1"/>
      <w:marLeft w:val="0"/>
      <w:marRight w:val="0"/>
      <w:marTop w:val="0"/>
      <w:marBottom w:val="0"/>
      <w:divBdr>
        <w:top w:val="none" w:sz="0" w:space="0" w:color="auto"/>
        <w:left w:val="none" w:sz="0" w:space="0" w:color="auto"/>
        <w:bottom w:val="none" w:sz="0" w:space="0" w:color="auto"/>
        <w:right w:val="none" w:sz="0" w:space="0" w:color="auto"/>
      </w:divBdr>
      <w:divsChild>
        <w:div w:id="2092463040">
          <w:marLeft w:val="0"/>
          <w:marRight w:val="0"/>
          <w:marTop w:val="0"/>
          <w:marBottom w:val="0"/>
          <w:divBdr>
            <w:top w:val="none" w:sz="0" w:space="0" w:color="auto"/>
            <w:left w:val="none" w:sz="0" w:space="0" w:color="auto"/>
            <w:bottom w:val="none" w:sz="0" w:space="0" w:color="auto"/>
            <w:right w:val="none" w:sz="0" w:space="0" w:color="auto"/>
          </w:divBdr>
          <w:divsChild>
            <w:div w:id="167321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821270">
      <w:bodyDiv w:val="1"/>
      <w:marLeft w:val="0"/>
      <w:marRight w:val="0"/>
      <w:marTop w:val="0"/>
      <w:marBottom w:val="0"/>
      <w:divBdr>
        <w:top w:val="none" w:sz="0" w:space="0" w:color="auto"/>
        <w:left w:val="none" w:sz="0" w:space="0" w:color="auto"/>
        <w:bottom w:val="none" w:sz="0" w:space="0" w:color="auto"/>
        <w:right w:val="none" w:sz="0" w:space="0" w:color="auto"/>
      </w:divBdr>
      <w:divsChild>
        <w:div w:id="781414593">
          <w:marLeft w:val="0"/>
          <w:marRight w:val="0"/>
          <w:marTop w:val="0"/>
          <w:marBottom w:val="0"/>
          <w:divBdr>
            <w:top w:val="none" w:sz="0" w:space="0" w:color="auto"/>
            <w:left w:val="none" w:sz="0" w:space="0" w:color="auto"/>
            <w:bottom w:val="none" w:sz="0" w:space="0" w:color="auto"/>
            <w:right w:val="none" w:sz="0" w:space="0" w:color="auto"/>
          </w:divBdr>
          <w:divsChild>
            <w:div w:id="190968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948507">
      <w:bodyDiv w:val="1"/>
      <w:marLeft w:val="0"/>
      <w:marRight w:val="0"/>
      <w:marTop w:val="0"/>
      <w:marBottom w:val="0"/>
      <w:divBdr>
        <w:top w:val="none" w:sz="0" w:space="0" w:color="auto"/>
        <w:left w:val="none" w:sz="0" w:space="0" w:color="auto"/>
        <w:bottom w:val="none" w:sz="0" w:space="0" w:color="auto"/>
        <w:right w:val="none" w:sz="0" w:space="0" w:color="auto"/>
      </w:divBdr>
      <w:divsChild>
        <w:div w:id="1858227040">
          <w:marLeft w:val="0"/>
          <w:marRight w:val="0"/>
          <w:marTop w:val="0"/>
          <w:marBottom w:val="0"/>
          <w:divBdr>
            <w:top w:val="none" w:sz="0" w:space="0" w:color="auto"/>
            <w:left w:val="none" w:sz="0" w:space="0" w:color="auto"/>
            <w:bottom w:val="none" w:sz="0" w:space="0" w:color="auto"/>
            <w:right w:val="none" w:sz="0" w:space="0" w:color="auto"/>
          </w:divBdr>
          <w:divsChild>
            <w:div w:id="98797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888315">
      <w:bodyDiv w:val="1"/>
      <w:marLeft w:val="0"/>
      <w:marRight w:val="0"/>
      <w:marTop w:val="0"/>
      <w:marBottom w:val="0"/>
      <w:divBdr>
        <w:top w:val="none" w:sz="0" w:space="0" w:color="auto"/>
        <w:left w:val="none" w:sz="0" w:space="0" w:color="auto"/>
        <w:bottom w:val="none" w:sz="0" w:space="0" w:color="auto"/>
        <w:right w:val="none" w:sz="0" w:space="0" w:color="auto"/>
      </w:divBdr>
      <w:divsChild>
        <w:div w:id="719209388">
          <w:marLeft w:val="0"/>
          <w:marRight w:val="0"/>
          <w:marTop w:val="0"/>
          <w:marBottom w:val="0"/>
          <w:divBdr>
            <w:top w:val="none" w:sz="0" w:space="0" w:color="auto"/>
            <w:left w:val="none" w:sz="0" w:space="0" w:color="auto"/>
            <w:bottom w:val="none" w:sz="0" w:space="0" w:color="auto"/>
            <w:right w:val="none" w:sz="0" w:space="0" w:color="auto"/>
          </w:divBdr>
          <w:divsChild>
            <w:div w:id="138525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68777">
      <w:bodyDiv w:val="1"/>
      <w:marLeft w:val="0"/>
      <w:marRight w:val="0"/>
      <w:marTop w:val="0"/>
      <w:marBottom w:val="0"/>
      <w:divBdr>
        <w:top w:val="none" w:sz="0" w:space="0" w:color="auto"/>
        <w:left w:val="none" w:sz="0" w:space="0" w:color="auto"/>
        <w:bottom w:val="none" w:sz="0" w:space="0" w:color="auto"/>
        <w:right w:val="none" w:sz="0" w:space="0" w:color="auto"/>
      </w:divBdr>
      <w:divsChild>
        <w:div w:id="568077494">
          <w:marLeft w:val="0"/>
          <w:marRight w:val="0"/>
          <w:marTop w:val="0"/>
          <w:marBottom w:val="0"/>
          <w:divBdr>
            <w:top w:val="none" w:sz="0" w:space="0" w:color="auto"/>
            <w:left w:val="none" w:sz="0" w:space="0" w:color="auto"/>
            <w:bottom w:val="none" w:sz="0" w:space="0" w:color="auto"/>
            <w:right w:val="none" w:sz="0" w:space="0" w:color="auto"/>
          </w:divBdr>
          <w:divsChild>
            <w:div w:id="102147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547187">
      <w:bodyDiv w:val="1"/>
      <w:marLeft w:val="0"/>
      <w:marRight w:val="0"/>
      <w:marTop w:val="0"/>
      <w:marBottom w:val="0"/>
      <w:divBdr>
        <w:top w:val="none" w:sz="0" w:space="0" w:color="auto"/>
        <w:left w:val="none" w:sz="0" w:space="0" w:color="auto"/>
        <w:bottom w:val="none" w:sz="0" w:space="0" w:color="auto"/>
        <w:right w:val="none" w:sz="0" w:space="0" w:color="auto"/>
      </w:divBdr>
      <w:divsChild>
        <w:div w:id="672684784">
          <w:marLeft w:val="0"/>
          <w:marRight w:val="0"/>
          <w:marTop w:val="0"/>
          <w:marBottom w:val="0"/>
          <w:divBdr>
            <w:top w:val="none" w:sz="0" w:space="0" w:color="auto"/>
            <w:left w:val="none" w:sz="0" w:space="0" w:color="auto"/>
            <w:bottom w:val="none" w:sz="0" w:space="0" w:color="auto"/>
            <w:right w:val="none" w:sz="0" w:space="0" w:color="auto"/>
          </w:divBdr>
          <w:divsChild>
            <w:div w:id="91817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40136">
      <w:bodyDiv w:val="1"/>
      <w:marLeft w:val="0"/>
      <w:marRight w:val="0"/>
      <w:marTop w:val="0"/>
      <w:marBottom w:val="0"/>
      <w:divBdr>
        <w:top w:val="none" w:sz="0" w:space="0" w:color="auto"/>
        <w:left w:val="none" w:sz="0" w:space="0" w:color="auto"/>
        <w:bottom w:val="none" w:sz="0" w:space="0" w:color="auto"/>
        <w:right w:val="none" w:sz="0" w:space="0" w:color="auto"/>
      </w:divBdr>
      <w:divsChild>
        <w:div w:id="534662655">
          <w:marLeft w:val="0"/>
          <w:marRight w:val="0"/>
          <w:marTop w:val="0"/>
          <w:marBottom w:val="0"/>
          <w:divBdr>
            <w:top w:val="none" w:sz="0" w:space="0" w:color="auto"/>
            <w:left w:val="none" w:sz="0" w:space="0" w:color="auto"/>
            <w:bottom w:val="none" w:sz="0" w:space="0" w:color="auto"/>
            <w:right w:val="none" w:sz="0" w:space="0" w:color="auto"/>
          </w:divBdr>
          <w:divsChild>
            <w:div w:id="316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523983">
      <w:bodyDiv w:val="1"/>
      <w:marLeft w:val="0"/>
      <w:marRight w:val="0"/>
      <w:marTop w:val="0"/>
      <w:marBottom w:val="0"/>
      <w:divBdr>
        <w:top w:val="none" w:sz="0" w:space="0" w:color="auto"/>
        <w:left w:val="none" w:sz="0" w:space="0" w:color="auto"/>
        <w:bottom w:val="none" w:sz="0" w:space="0" w:color="auto"/>
        <w:right w:val="none" w:sz="0" w:space="0" w:color="auto"/>
      </w:divBdr>
      <w:divsChild>
        <w:div w:id="1355381847">
          <w:marLeft w:val="0"/>
          <w:marRight w:val="0"/>
          <w:marTop w:val="0"/>
          <w:marBottom w:val="0"/>
          <w:divBdr>
            <w:top w:val="none" w:sz="0" w:space="0" w:color="auto"/>
            <w:left w:val="none" w:sz="0" w:space="0" w:color="auto"/>
            <w:bottom w:val="none" w:sz="0" w:space="0" w:color="auto"/>
            <w:right w:val="none" w:sz="0" w:space="0" w:color="auto"/>
          </w:divBdr>
          <w:divsChild>
            <w:div w:id="79274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671166">
      <w:bodyDiv w:val="1"/>
      <w:marLeft w:val="0"/>
      <w:marRight w:val="0"/>
      <w:marTop w:val="0"/>
      <w:marBottom w:val="0"/>
      <w:divBdr>
        <w:top w:val="none" w:sz="0" w:space="0" w:color="auto"/>
        <w:left w:val="none" w:sz="0" w:space="0" w:color="auto"/>
        <w:bottom w:val="none" w:sz="0" w:space="0" w:color="auto"/>
        <w:right w:val="none" w:sz="0" w:space="0" w:color="auto"/>
      </w:divBdr>
      <w:divsChild>
        <w:div w:id="390539466">
          <w:marLeft w:val="0"/>
          <w:marRight w:val="0"/>
          <w:marTop w:val="0"/>
          <w:marBottom w:val="0"/>
          <w:divBdr>
            <w:top w:val="none" w:sz="0" w:space="0" w:color="auto"/>
            <w:left w:val="none" w:sz="0" w:space="0" w:color="auto"/>
            <w:bottom w:val="none" w:sz="0" w:space="0" w:color="auto"/>
            <w:right w:val="none" w:sz="0" w:space="0" w:color="auto"/>
          </w:divBdr>
          <w:divsChild>
            <w:div w:id="10782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416925">
      <w:bodyDiv w:val="1"/>
      <w:marLeft w:val="0"/>
      <w:marRight w:val="0"/>
      <w:marTop w:val="0"/>
      <w:marBottom w:val="0"/>
      <w:divBdr>
        <w:top w:val="none" w:sz="0" w:space="0" w:color="auto"/>
        <w:left w:val="none" w:sz="0" w:space="0" w:color="auto"/>
        <w:bottom w:val="none" w:sz="0" w:space="0" w:color="auto"/>
        <w:right w:val="none" w:sz="0" w:space="0" w:color="auto"/>
      </w:divBdr>
      <w:divsChild>
        <w:div w:id="67271627">
          <w:marLeft w:val="0"/>
          <w:marRight w:val="0"/>
          <w:marTop w:val="0"/>
          <w:marBottom w:val="0"/>
          <w:divBdr>
            <w:top w:val="none" w:sz="0" w:space="0" w:color="auto"/>
            <w:left w:val="none" w:sz="0" w:space="0" w:color="auto"/>
            <w:bottom w:val="none" w:sz="0" w:space="0" w:color="auto"/>
            <w:right w:val="none" w:sz="0" w:space="0" w:color="auto"/>
          </w:divBdr>
          <w:divsChild>
            <w:div w:id="130095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228439">
      <w:bodyDiv w:val="1"/>
      <w:marLeft w:val="0"/>
      <w:marRight w:val="0"/>
      <w:marTop w:val="0"/>
      <w:marBottom w:val="0"/>
      <w:divBdr>
        <w:top w:val="none" w:sz="0" w:space="0" w:color="auto"/>
        <w:left w:val="none" w:sz="0" w:space="0" w:color="auto"/>
        <w:bottom w:val="none" w:sz="0" w:space="0" w:color="auto"/>
        <w:right w:val="none" w:sz="0" w:space="0" w:color="auto"/>
      </w:divBdr>
      <w:divsChild>
        <w:div w:id="221602395">
          <w:marLeft w:val="0"/>
          <w:marRight w:val="0"/>
          <w:marTop w:val="0"/>
          <w:marBottom w:val="0"/>
          <w:divBdr>
            <w:top w:val="none" w:sz="0" w:space="0" w:color="auto"/>
            <w:left w:val="none" w:sz="0" w:space="0" w:color="auto"/>
            <w:bottom w:val="none" w:sz="0" w:space="0" w:color="auto"/>
            <w:right w:val="none" w:sz="0" w:space="0" w:color="auto"/>
          </w:divBdr>
          <w:divsChild>
            <w:div w:id="81068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85104">
      <w:bodyDiv w:val="1"/>
      <w:marLeft w:val="0"/>
      <w:marRight w:val="0"/>
      <w:marTop w:val="0"/>
      <w:marBottom w:val="0"/>
      <w:divBdr>
        <w:top w:val="none" w:sz="0" w:space="0" w:color="auto"/>
        <w:left w:val="none" w:sz="0" w:space="0" w:color="auto"/>
        <w:bottom w:val="none" w:sz="0" w:space="0" w:color="auto"/>
        <w:right w:val="none" w:sz="0" w:space="0" w:color="auto"/>
      </w:divBdr>
      <w:divsChild>
        <w:div w:id="555550025">
          <w:marLeft w:val="0"/>
          <w:marRight w:val="0"/>
          <w:marTop w:val="0"/>
          <w:marBottom w:val="0"/>
          <w:divBdr>
            <w:top w:val="none" w:sz="0" w:space="0" w:color="auto"/>
            <w:left w:val="none" w:sz="0" w:space="0" w:color="auto"/>
            <w:bottom w:val="none" w:sz="0" w:space="0" w:color="auto"/>
            <w:right w:val="none" w:sz="0" w:space="0" w:color="auto"/>
          </w:divBdr>
          <w:divsChild>
            <w:div w:id="18615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298995">
      <w:bodyDiv w:val="1"/>
      <w:marLeft w:val="0"/>
      <w:marRight w:val="0"/>
      <w:marTop w:val="0"/>
      <w:marBottom w:val="0"/>
      <w:divBdr>
        <w:top w:val="none" w:sz="0" w:space="0" w:color="auto"/>
        <w:left w:val="none" w:sz="0" w:space="0" w:color="auto"/>
        <w:bottom w:val="none" w:sz="0" w:space="0" w:color="auto"/>
        <w:right w:val="none" w:sz="0" w:space="0" w:color="auto"/>
      </w:divBdr>
      <w:divsChild>
        <w:div w:id="1693918246">
          <w:marLeft w:val="0"/>
          <w:marRight w:val="0"/>
          <w:marTop w:val="0"/>
          <w:marBottom w:val="0"/>
          <w:divBdr>
            <w:top w:val="none" w:sz="0" w:space="0" w:color="auto"/>
            <w:left w:val="none" w:sz="0" w:space="0" w:color="auto"/>
            <w:bottom w:val="none" w:sz="0" w:space="0" w:color="auto"/>
            <w:right w:val="none" w:sz="0" w:space="0" w:color="auto"/>
          </w:divBdr>
          <w:divsChild>
            <w:div w:id="31256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983960">
      <w:bodyDiv w:val="1"/>
      <w:marLeft w:val="0"/>
      <w:marRight w:val="0"/>
      <w:marTop w:val="0"/>
      <w:marBottom w:val="0"/>
      <w:divBdr>
        <w:top w:val="none" w:sz="0" w:space="0" w:color="auto"/>
        <w:left w:val="none" w:sz="0" w:space="0" w:color="auto"/>
        <w:bottom w:val="none" w:sz="0" w:space="0" w:color="auto"/>
        <w:right w:val="none" w:sz="0" w:space="0" w:color="auto"/>
      </w:divBdr>
      <w:divsChild>
        <w:div w:id="870923981">
          <w:marLeft w:val="0"/>
          <w:marRight w:val="0"/>
          <w:marTop w:val="0"/>
          <w:marBottom w:val="0"/>
          <w:divBdr>
            <w:top w:val="none" w:sz="0" w:space="0" w:color="auto"/>
            <w:left w:val="none" w:sz="0" w:space="0" w:color="auto"/>
            <w:bottom w:val="none" w:sz="0" w:space="0" w:color="auto"/>
            <w:right w:val="none" w:sz="0" w:space="0" w:color="auto"/>
          </w:divBdr>
          <w:divsChild>
            <w:div w:id="206282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865445">
      <w:bodyDiv w:val="1"/>
      <w:marLeft w:val="0"/>
      <w:marRight w:val="0"/>
      <w:marTop w:val="0"/>
      <w:marBottom w:val="0"/>
      <w:divBdr>
        <w:top w:val="none" w:sz="0" w:space="0" w:color="auto"/>
        <w:left w:val="none" w:sz="0" w:space="0" w:color="auto"/>
        <w:bottom w:val="none" w:sz="0" w:space="0" w:color="auto"/>
        <w:right w:val="none" w:sz="0" w:space="0" w:color="auto"/>
      </w:divBdr>
      <w:divsChild>
        <w:div w:id="229122853">
          <w:marLeft w:val="0"/>
          <w:marRight w:val="0"/>
          <w:marTop w:val="0"/>
          <w:marBottom w:val="0"/>
          <w:divBdr>
            <w:top w:val="none" w:sz="0" w:space="0" w:color="auto"/>
            <w:left w:val="none" w:sz="0" w:space="0" w:color="auto"/>
            <w:bottom w:val="none" w:sz="0" w:space="0" w:color="auto"/>
            <w:right w:val="none" w:sz="0" w:space="0" w:color="auto"/>
          </w:divBdr>
          <w:divsChild>
            <w:div w:id="116570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39697">
      <w:bodyDiv w:val="1"/>
      <w:marLeft w:val="0"/>
      <w:marRight w:val="0"/>
      <w:marTop w:val="0"/>
      <w:marBottom w:val="0"/>
      <w:divBdr>
        <w:top w:val="none" w:sz="0" w:space="0" w:color="auto"/>
        <w:left w:val="none" w:sz="0" w:space="0" w:color="auto"/>
        <w:bottom w:val="none" w:sz="0" w:space="0" w:color="auto"/>
        <w:right w:val="none" w:sz="0" w:space="0" w:color="auto"/>
      </w:divBdr>
      <w:divsChild>
        <w:div w:id="944732685">
          <w:marLeft w:val="0"/>
          <w:marRight w:val="0"/>
          <w:marTop w:val="0"/>
          <w:marBottom w:val="0"/>
          <w:divBdr>
            <w:top w:val="none" w:sz="0" w:space="0" w:color="auto"/>
            <w:left w:val="none" w:sz="0" w:space="0" w:color="auto"/>
            <w:bottom w:val="none" w:sz="0" w:space="0" w:color="auto"/>
            <w:right w:val="none" w:sz="0" w:space="0" w:color="auto"/>
          </w:divBdr>
          <w:divsChild>
            <w:div w:id="185363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041723">
      <w:bodyDiv w:val="1"/>
      <w:marLeft w:val="0"/>
      <w:marRight w:val="0"/>
      <w:marTop w:val="0"/>
      <w:marBottom w:val="0"/>
      <w:divBdr>
        <w:top w:val="none" w:sz="0" w:space="0" w:color="auto"/>
        <w:left w:val="none" w:sz="0" w:space="0" w:color="auto"/>
        <w:bottom w:val="none" w:sz="0" w:space="0" w:color="auto"/>
        <w:right w:val="none" w:sz="0" w:space="0" w:color="auto"/>
      </w:divBdr>
      <w:divsChild>
        <w:div w:id="1712730451">
          <w:marLeft w:val="0"/>
          <w:marRight w:val="0"/>
          <w:marTop w:val="0"/>
          <w:marBottom w:val="0"/>
          <w:divBdr>
            <w:top w:val="none" w:sz="0" w:space="0" w:color="auto"/>
            <w:left w:val="none" w:sz="0" w:space="0" w:color="auto"/>
            <w:bottom w:val="none" w:sz="0" w:space="0" w:color="auto"/>
            <w:right w:val="none" w:sz="0" w:space="0" w:color="auto"/>
          </w:divBdr>
          <w:divsChild>
            <w:div w:id="132836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247687">
      <w:bodyDiv w:val="1"/>
      <w:marLeft w:val="0"/>
      <w:marRight w:val="0"/>
      <w:marTop w:val="0"/>
      <w:marBottom w:val="0"/>
      <w:divBdr>
        <w:top w:val="none" w:sz="0" w:space="0" w:color="auto"/>
        <w:left w:val="none" w:sz="0" w:space="0" w:color="auto"/>
        <w:bottom w:val="none" w:sz="0" w:space="0" w:color="auto"/>
        <w:right w:val="none" w:sz="0" w:space="0" w:color="auto"/>
      </w:divBdr>
      <w:divsChild>
        <w:div w:id="368841522">
          <w:marLeft w:val="0"/>
          <w:marRight w:val="0"/>
          <w:marTop w:val="0"/>
          <w:marBottom w:val="0"/>
          <w:divBdr>
            <w:top w:val="none" w:sz="0" w:space="0" w:color="auto"/>
            <w:left w:val="none" w:sz="0" w:space="0" w:color="auto"/>
            <w:bottom w:val="none" w:sz="0" w:space="0" w:color="auto"/>
            <w:right w:val="none" w:sz="0" w:space="0" w:color="auto"/>
          </w:divBdr>
          <w:divsChild>
            <w:div w:id="12493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91524">
      <w:bodyDiv w:val="1"/>
      <w:marLeft w:val="0"/>
      <w:marRight w:val="0"/>
      <w:marTop w:val="0"/>
      <w:marBottom w:val="0"/>
      <w:divBdr>
        <w:top w:val="none" w:sz="0" w:space="0" w:color="auto"/>
        <w:left w:val="none" w:sz="0" w:space="0" w:color="auto"/>
        <w:bottom w:val="none" w:sz="0" w:space="0" w:color="auto"/>
        <w:right w:val="none" w:sz="0" w:space="0" w:color="auto"/>
      </w:divBdr>
      <w:divsChild>
        <w:div w:id="1641954801">
          <w:marLeft w:val="0"/>
          <w:marRight w:val="0"/>
          <w:marTop w:val="0"/>
          <w:marBottom w:val="0"/>
          <w:divBdr>
            <w:top w:val="none" w:sz="0" w:space="0" w:color="auto"/>
            <w:left w:val="none" w:sz="0" w:space="0" w:color="auto"/>
            <w:bottom w:val="none" w:sz="0" w:space="0" w:color="auto"/>
            <w:right w:val="none" w:sz="0" w:space="0" w:color="auto"/>
          </w:divBdr>
          <w:divsChild>
            <w:div w:id="165618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523445">
      <w:bodyDiv w:val="1"/>
      <w:marLeft w:val="0"/>
      <w:marRight w:val="0"/>
      <w:marTop w:val="0"/>
      <w:marBottom w:val="0"/>
      <w:divBdr>
        <w:top w:val="none" w:sz="0" w:space="0" w:color="auto"/>
        <w:left w:val="none" w:sz="0" w:space="0" w:color="auto"/>
        <w:bottom w:val="none" w:sz="0" w:space="0" w:color="auto"/>
        <w:right w:val="none" w:sz="0" w:space="0" w:color="auto"/>
      </w:divBdr>
      <w:divsChild>
        <w:div w:id="1178885062">
          <w:marLeft w:val="0"/>
          <w:marRight w:val="0"/>
          <w:marTop w:val="0"/>
          <w:marBottom w:val="0"/>
          <w:divBdr>
            <w:top w:val="none" w:sz="0" w:space="0" w:color="auto"/>
            <w:left w:val="none" w:sz="0" w:space="0" w:color="auto"/>
            <w:bottom w:val="none" w:sz="0" w:space="0" w:color="auto"/>
            <w:right w:val="none" w:sz="0" w:space="0" w:color="auto"/>
          </w:divBdr>
          <w:divsChild>
            <w:div w:id="164176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734563">
      <w:bodyDiv w:val="1"/>
      <w:marLeft w:val="0"/>
      <w:marRight w:val="0"/>
      <w:marTop w:val="0"/>
      <w:marBottom w:val="0"/>
      <w:divBdr>
        <w:top w:val="none" w:sz="0" w:space="0" w:color="auto"/>
        <w:left w:val="none" w:sz="0" w:space="0" w:color="auto"/>
        <w:bottom w:val="none" w:sz="0" w:space="0" w:color="auto"/>
        <w:right w:val="none" w:sz="0" w:space="0" w:color="auto"/>
      </w:divBdr>
      <w:divsChild>
        <w:div w:id="856696283">
          <w:marLeft w:val="0"/>
          <w:marRight w:val="0"/>
          <w:marTop w:val="0"/>
          <w:marBottom w:val="0"/>
          <w:divBdr>
            <w:top w:val="none" w:sz="0" w:space="0" w:color="auto"/>
            <w:left w:val="none" w:sz="0" w:space="0" w:color="auto"/>
            <w:bottom w:val="none" w:sz="0" w:space="0" w:color="auto"/>
            <w:right w:val="none" w:sz="0" w:space="0" w:color="auto"/>
          </w:divBdr>
          <w:divsChild>
            <w:div w:id="140445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066785">
      <w:bodyDiv w:val="1"/>
      <w:marLeft w:val="0"/>
      <w:marRight w:val="0"/>
      <w:marTop w:val="0"/>
      <w:marBottom w:val="0"/>
      <w:divBdr>
        <w:top w:val="none" w:sz="0" w:space="0" w:color="auto"/>
        <w:left w:val="none" w:sz="0" w:space="0" w:color="auto"/>
        <w:bottom w:val="none" w:sz="0" w:space="0" w:color="auto"/>
        <w:right w:val="none" w:sz="0" w:space="0" w:color="auto"/>
      </w:divBdr>
      <w:divsChild>
        <w:div w:id="1387727719">
          <w:marLeft w:val="0"/>
          <w:marRight w:val="0"/>
          <w:marTop w:val="0"/>
          <w:marBottom w:val="0"/>
          <w:divBdr>
            <w:top w:val="none" w:sz="0" w:space="0" w:color="auto"/>
            <w:left w:val="none" w:sz="0" w:space="0" w:color="auto"/>
            <w:bottom w:val="none" w:sz="0" w:space="0" w:color="auto"/>
            <w:right w:val="none" w:sz="0" w:space="0" w:color="auto"/>
          </w:divBdr>
          <w:divsChild>
            <w:div w:id="31322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797039">
      <w:bodyDiv w:val="1"/>
      <w:marLeft w:val="0"/>
      <w:marRight w:val="0"/>
      <w:marTop w:val="0"/>
      <w:marBottom w:val="0"/>
      <w:divBdr>
        <w:top w:val="none" w:sz="0" w:space="0" w:color="auto"/>
        <w:left w:val="none" w:sz="0" w:space="0" w:color="auto"/>
        <w:bottom w:val="none" w:sz="0" w:space="0" w:color="auto"/>
        <w:right w:val="none" w:sz="0" w:space="0" w:color="auto"/>
      </w:divBdr>
      <w:divsChild>
        <w:div w:id="424884294">
          <w:marLeft w:val="0"/>
          <w:marRight w:val="0"/>
          <w:marTop w:val="0"/>
          <w:marBottom w:val="0"/>
          <w:divBdr>
            <w:top w:val="none" w:sz="0" w:space="0" w:color="auto"/>
            <w:left w:val="none" w:sz="0" w:space="0" w:color="auto"/>
            <w:bottom w:val="none" w:sz="0" w:space="0" w:color="auto"/>
            <w:right w:val="none" w:sz="0" w:space="0" w:color="auto"/>
          </w:divBdr>
          <w:divsChild>
            <w:div w:id="26650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453198">
      <w:bodyDiv w:val="1"/>
      <w:marLeft w:val="0"/>
      <w:marRight w:val="0"/>
      <w:marTop w:val="0"/>
      <w:marBottom w:val="0"/>
      <w:divBdr>
        <w:top w:val="none" w:sz="0" w:space="0" w:color="auto"/>
        <w:left w:val="none" w:sz="0" w:space="0" w:color="auto"/>
        <w:bottom w:val="none" w:sz="0" w:space="0" w:color="auto"/>
        <w:right w:val="none" w:sz="0" w:space="0" w:color="auto"/>
      </w:divBdr>
      <w:divsChild>
        <w:div w:id="102119661">
          <w:marLeft w:val="0"/>
          <w:marRight w:val="0"/>
          <w:marTop w:val="0"/>
          <w:marBottom w:val="0"/>
          <w:divBdr>
            <w:top w:val="none" w:sz="0" w:space="0" w:color="auto"/>
            <w:left w:val="none" w:sz="0" w:space="0" w:color="auto"/>
            <w:bottom w:val="none" w:sz="0" w:space="0" w:color="auto"/>
            <w:right w:val="none" w:sz="0" w:space="0" w:color="auto"/>
          </w:divBdr>
          <w:divsChild>
            <w:div w:id="213656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310917">
      <w:bodyDiv w:val="1"/>
      <w:marLeft w:val="0"/>
      <w:marRight w:val="0"/>
      <w:marTop w:val="0"/>
      <w:marBottom w:val="0"/>
      <w:divBdr>
        <w:top w:val="none" w:sz="0" w:space="0" w:color="auto"/>
        <w:left w:val="none" w:sz="0" w:space="0" w:color="auto"/>
        <w:bottom w:val="none" w:sz="0" w:space="0" w:color="auto"/>
        <w:right w:val="none" w:sz="0" w:space="0" w:color="auto"/>
      </w:divBdr>
      <w:divsChild>
        <w:div w:id="68774328">
          <w:marLeft w:val="0"/>
          <w:marRight w:val="0"/>
          <w:marTop w:val="0"/>
          <w:marBottom w:val="0"/>
          <w:divBdr>
            <w:top w:val="none" w:sz="0" w:space="0" w:color="auto"/>
            <w:left w:val="none" w:sz="0" w:space="0" w:color="auto"/>
            <w:bottom w:val="none" w:sz="0" w:space="0" w:color="auto"/>
            <w:right w:val="none" w:sz="0" w:space="0" w:color="auto"/>
          </w:divBdr>
          <w:divsChild>
            <w:div w:id="148793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213268">
      <w:bodyDiv w:val="1"/>
      <w:marLeft w:val="0"/>
      <w:marRight w:val="0"/>
      <w:marTop w:val="0"/>
      <w:marBottom w:val="0"/>
      <w:divBdr>
        <w:top w:val="none" w:sz="0" w:space="0" w:color="auto"/>
        <w:left w:val="none" w:sz="0" w:space="0" w:color="auto"/>
        <w:bottom w:val="none" w:sz="0" w:space="0" w:color="auto"/>
        <w:right w:val="none" w:sz="0" w:space="0" w:color="auto"/>
      </w:divBdr>
      <w:divsChild>
        <w:div w:id="631060403">
          <w:marLeft w:val="0"/>
          <w:marRight w:val="0"/>
          <w:marTop w:val="0"/>
          <w:marBottom w:val="0"/>
          <w:divBdr>
            <w:top w:val="none" w:sz="0" w:space="0" w:color="auto"/>
            <w:left w:val="none" w:sz="0" w:space="0" w:color="auto"/>
            <w:bottom w:val="none" w:sz="0" w:space="0" w:color="auto"/>
            <w:right w:val="none" w:sz="0" w:space="0" w:color="auto"/>
          </w:divBdr>
          <w:divsChild>
            <w:div w:id="104401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88257">
      <w:bodyDiv w:val="1"/>
      <w:marLeft w:val="0"/>
      <w:marRight w:val="0"/>
      <w:marTop w:val="0"/>
      <w:marBottom w:val="0"/>
      <w:divBdr>
        <w:top w:val="none" w:sz="0" w:space="0" w:color="auto"/>
        <w:left w:val="none" w:sz="0" w:space="0" w:color="auto"/>
        <w:bottom w:val="none" w:sz="0" w:space="0" w:color="auto"/>
        <w:right w:val="none" w:sz="0" w:space="0" w:color="auto"/>
      </w:divBdr>
      <w:divsChild>
        <w:div w:id="1498836686">
          <w:marLeft w:val="0"/>
          <w:marRight w:val="0"/>
          <w:marTop w:val="0"/>
          <w:marBottom w:val="0"/>
          <w:divBdr>
            <w:top w:val="none" w:sz="0" w:space="0" w:color="auto"/>
            <w:left w:val="none" w:sz="0" w:space="0" w:color="auto"/>
            <w:bottom w:val="none" w:sz="0" w:space="0" w:color="auto"/>
            <w:right w:val="none" w:sz="0" w:space="0" w:color="auto"/>
          </w:divBdr>
          <w:divsChild>
            <w:div w:id="196322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513774">
      <w:bodyDiv w:val="1"/>
      <w:marLeft w:val="0"/>
      <w:marRight w:val="0"/>
      <w:marTop w:val="0"/>
      <w:marBottom w:val="0"/>
      <w:divBdr>
        <w:top w:val="none" w:sz="0" w:space="0" w:color="auto"/>
        <w:left w:val="none" w:sz="0" w:space="0" w:color="auto"/>
        <w:bottom w:val="none" w:sz="0" w:space="0" w:color="auto"/>
        <w:right w:val="none" w:sz="0" w:space="0" w:color="auto"/>
      </w:divBdr>
      <w:divsChild>
        <w:div w:id="815028580">
          <w:marLeft w:val="0"/>
          <w:marRight w:val="0"/>
          <w:marTop w:val="0"/>
          <w:marBottom w:val="0"/>
          <w:divBdr>
            <w:top w:val="none" w:sz="0" w:space="0" w:color="auto"/>
            <w:left w:val="none" w:sz="0" w:space="0" w:color="auto"/>
            <w:bottom w:val="none" w:sz="0" w:space="0" w:color="auto"/>
            <w:right w:val="none" w:sz="0" w:space="0" w:color="auto"/>
          </w:divBdr>
          <w:divsChild>
            <w:div w:id="174136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594058">
      <w:bodyDiv w:val="1"/>
      <w:marLeft w:val="0"/>
      <w:marRight w:val="0"/>
      <w:marTop w:val="0"/>
      <w:marBottom w:val="0"/>
      <w:divBdr>
        <w:top w:val="none" w:sz="0" w:space="0" w:color="auto"/>
        <w:left w:val="none" w:sz="0" w:space="0" w:color="auto"/>
        <w:bottom w:val="none" w:sz="0" w:space="0" w:color="auto"/>
        <w:right w:val="none" w:sz="0" w:space="0" w:color="auto"/>
      </w:divBdr>
      <w:divsChild>
        <w:div w:id="1620841306">
          <w:marLeft w:val="0"/>
          <w:marRight w:val="0"/>
          <w:marTop w:val="0"/>
          <w:marBottom w:val="0"/>
          <w:divBdr>
            <w:top w:val="none" w:sz="0" w:space="0" w:color="auto"/>
            <w:left w:val="none" w:sz="0" w:space="0" w:color="auto"/>
            <w:bottom w:val="none" w:sz="0" w:space="0" w:color="auto"/>
            <w:right w:val="none" w:sz="0" w:space="0" w:color="auto"/>
          </w:divBdr>
          <w:divsChild>
            <w:div w:id="91856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875748">
      <w:bodyDiv w:val="1"/>
      <w:marLeft w:val="0"/>
      <w:marRight w:val="0"/>
      <w:marTop w:val="0"/>
      <w:marBottom w:val="0"/>
      <w:divBdr>
        <w:top w:val="none" w:sz="0" w:space="0" w:color="auto"/>
        <w:left w:val="none" w:sz="0" w:space="0" w:color="auto"/>
        <w:bottom w:val="none" w:sz="0" w:space="0" w:color="auto"/>
        <w:right w:val="none" w:sz="0" w:space="0" w:color="auto"/>
      </w:divBdr>
      <w:divsChild>
        <w:div w:id="1241521163">
          <w:marLeft w:val="0"/>
          <w:marRight w:val="0"/>
          <w:marTop w:val="0"/>
          <w:marBottom w:val="0"/>
          <w:divBdr>
            <w:top w:val="none" w:sz="0" w:space="0" w:color="auto"/>
            <w:left w:val="none" w:sz="0" w:space="0" w:color="auto"/>
            <w:bottom w:val="none" w:sz="0" w:space="0" w:color="auto"/>
            <w:right w:val="none" w:sz="0" w:space="0" w:color="auto"/>
          </w:divBdr>
          <w:divsChild>
            <w:div w:id="64697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30458">
      <w:bodyDiv w:val="1"/>
      <w:marLeft w:val="0"/>
      <w:marRight w:val="0"/>
      <w:marTop w:val="0"/>
      <w:marBottom w:val="0"/>
      <w:divBdr>
        <w:top w:val="none" w:sz="0" w:space="0" w:color="auto"/>
        <w:left w:val="none" w:sz="0" w:space="0" w:color="auto"/>
        <w:bottom w:val="none" w:sz="0" w:space="0" w:color="auto"/>
        <w:right w:val="none" w:sz="0" w:space="0" w:color="auto"/>
      </w:divBdr>
      <w:divsChild>
        <w:div w:id="1862543900">
          <w:marLeft w:val="0"/>
          <w:marRight w:val="0"/>
          <w:marTop w:val="0"/>
          <w:marBottom w:val="0"/>
          <w:divBdr>
            <w:top w:val="none" w:sz="0" w:space="0" w:color="auto"/>
            <w:left w:val="none" w:sz="0" w:space="0" w:color="auto"/>
            <w:bottom w:val="none" w:sz="0" w:space="0" w:color="auto"/>
            <w:right w:val="none" w:sz="0" w:space="0" w:color="auto"/>
          </w:divBdr>
          <w:divsChild>
            <w:div w:id="181078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744597">
      <w:bodyDiv w:val="1"/>
      <w:marLeft w:val="0"/>
      <w:marRight w:val="0"/>
      <w:marTop w:val="0"/>
      <w:marBottom w:val="0"/>
      <w:divBdr>
        <w:top w:val="none" w:sz="0" w:space="0" w:color="auto"/>
        <w:left w:val="none" w:sz="0" w:space="0" w:color="auto"/>
        <w:bottom w:val="none" w:sz="0" w:space="0" w:color="auto"/>
        <w:right w:val="none" w:sz="0" w:space="0" w:color="auto"/>
      </w:divBdr>
      <w:divsChild>
        <w:div w:id="199055963">
          <w:marLeft w:val="0"/>
          <w:marRight w:val="0"/>
          <w:marTop w:val="0"/>
          <w:marBottom w:val="0"/>
          <w:divBdr>
            <w:top w:val="none" w:sz="0" w:space="0" w:color="auto"/>
            <w:left w:val="none" w:sz="0" w:space="0" w:color="auto"/>
            <w:bottom w:val="none" w:sz="0" w:space="0" w:color="auto"/>
            <w:right w:val="none" w:sz="0" w:space="0" w:color="auto"/>
          </w:divBdr>
          <w:divsChild>
            <w:div w:id="110572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300829">
      <w:bodyDiv w:val="1"/>
      <w:marLeft w:val="0"/>
      <w:marRight w:val="0"/>
      <w:marTop w:val="0"/>
      <w:marBottom w:val="0"/>
      <w:divBdr>
        <w:top w:val="none" w:sz="0" w:space="0" w:color="auto"/>
        <w:left w:val="none" w:sz="0" w:space="0" w:color="auto"/>
        <w:bottom w:val="none" w:sz="0" w:space="0" w:color="auto"/>
        <w:right w:val="none" w:sz="0" w:space="0" w:color="auto"/>
      </w:divBdr>
      <w:divsChild>
        <w:div w:id="451095378">
          <w:marLeft w:val="0"/>
          <w:marRight w:val="0"/>
          <w:marTop w:val="0"/>
          <w:marBottom w:val="0"/>
          <w:divBdr>
            <w:top w:val="none" w:sz="0" w:space="0" w:color="auto"/>
            <w:left w:val="none" w:sz="0" w:space="0" w:color="auto"/>
            <w:bottom w:val="none" w:sz="0" w:space="0" w:color="auto"/>
            <w:right w:val="none" w:sz="0" w:space="0" w:color="auto"/>
          </w:divBdr>
          <w:divsChild>
            <w:div w:id="105528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424288">
      <w:bodyDiv w:val="1"/>
      <w:marLeft w:val="0"/>
      <w:marRight w:val="0"/>
      <w:marTop w:val="0"/>
      <w:marBottom w:val="0"/>
      <w:divBdr>
        <w:top w:val="none" w:sz="0" w:space="0" w:color="auto"/>
        <w:left w:val="none" w:sz="0" w:space="0" w:color="auto"/>
        <w:bottom w:val="none" w:sz="0" w:space="0" w:color="auto"/>
        <w:right w:val="none" w:sz="0" w:space="0" w:color="auto"/>
      </w:divBdr>
    </w:div>
    <w:div w:id="2125224271">
      <w:bodyDiv w:val="1"/>
      <w:marLeft w:val="0"/>
      <w:marRight w:val="0"/>
      <w:marTop w:val="0"/>
      <w:marBottom w:val="0"/>
      <w:divBdr>
        <w:top w:val="none" w:sz="0" w:space="0" w:color="auto"/>
        <w:left w:val="none" w:sz="0" w:space="0" w:color="auto"/>
        <w:bottom w:val="none" w:sz="0" w:space="0" w:color="auto"/>
        <w:right w:val="none" w:sz="0" w:space="0" w:color="auto"/>
      </w:divBdr>
      <w:divsChild>
        <w:div w:id="2014801831">
          <w:marLeft w:val="0"/>
          <w:marRight w:val="0"/>
          <w:marTop w:val="0"/>
          <w:marBottom w:val="0"/>
          <w:divBdr>
            <w:top w:val="none" w:sz="0" w:space="0" w:color="auto"/>
            <w:left w:val="none" w:sz="0" w:space="0" w:color="auto"/>
            <w:bottom w:val="none" w:sz="0" w:space="0" w:color="auto"/>
            <w:right w:val="none" w:sz="0" w:space="0" w:color="auto"/>
          </w:divBdr>
          <w:divsChild>
            <w:div w:id="6148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rs.gov/businesses/corporations/fatca-xml-schemas-and-business-rules-for-form-896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ax.gov.ua/elektronna-zvitnist/spetsializovane-klientske-program/" TargetMode="External"/><Relationship Id="rId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 Type="http://schemas.openxmlformats.org/officeDocument/2006/relationships/hyperlink" Target="mailto:idd@tax.gov.ua"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12</Pages>
  <Words>10054</Words>
  <Characters>57310</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6</cp:revision>
  <dcterms:created xsi:type="dcterms:W3CDTF">2020-11-03T08:14:00Z</dcterms:created>
  <dcterms:modified xsi:type="dcterms:W3CDTF">2020-11-06T07:52:00Z</dcterms:modified>
</cp:coreProperties>
</file>