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BF66C" w14:textId="26CF4F5D"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Офіційна зарплата – обов’язок роботодавця!</w:t>
      </w:r>
    </w:p>
    <w:p w14:paraId="775A991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звертає увагу, що виплата заробітної плати у «конвертах» - це поширений спосіб ухилення від сплати податків. Для держави – це ненадходження належних платежів до бюджету, а для працівників – у подальшому низький рівень пенсії та інших соціальних гарантій. </w:t>
      </w:r>
    </w:p>
    <w:p w14:paraId="69B03A9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Роботодавці зобов’язані ставитися до цього питання відповідально. Наголошуємо на неприпустимість виплати «тіньової» зарплати та закликаємо роботодавців не порушувати законодавство. Не варто забувати, що виплата заробітної плати без сплати встановлених податків і зборів є грубим порушенням законодавства про працю в Україні, яке підпадає під адміністративну та кримінальну відповідальність. </w:t>
      </w:r>
    </w:p>
    <w:p w14:paraId="28C4528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Громадянам також необхідно ставати на захист своїх прав, вимагаючи офіційного оформлення трудових відносин. </w:t>
      </w:r>
    </w:p>
    <w:p w14:paraId="0E9FBEB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Кожен громадянин має право на заробітну плату не менше від установленого законодавством мінімального розміру. Такі явища, як зарплата «у конверті» та робота без оформлення трудових відносин несе за собою багато негараздів як країні так і кожному працюючому. Нелегальна заробітна плата послаблює соціальний захист працівників, зменшує надходження до бюджетів та державних соціальних фондів. </w:t>
      </w:r>
    </w:p>
    <w:p w14:paraId="2163737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Не менш важливим являється і той факт, що рівень надходження податку на доходи фізичних осіб та військового збору у бюджет знаходиться у прямій залежності від рівня нарахованої заробітної плати. Тому дуже важливо, щоб працівники отримували заробітну плату не «в конвертах», а офіційно, бо саме у такому випадку місцевий бюджет має стабільні надходження. </w:t>
      </w:r>
    </w:p>
    <w:p w14:paraId="7F51EDB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Добровільна сплата податків до бюджету з отриманих доходів має велике значення. Досягнення нової якості життя громадян потребує гармонійного балансу інтересів суспільства, держави і бізнесу, соціальної відповідальності платників податків. Підтримка роботодавцем ідеї легалізації заробітної плати та робочого місця – це захист свого бізнесу від неконкурентних умов, а офіційне оформлення на роботу – соціальна захищеність найманого працівника. </w:t>
      </w:r>
    </w:p>
    <w:p w14:paraId="0519F3A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4FA61E7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5"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468C82A3" w14:textId="36982E27" w:rsidR="00ED110F" w:rsidRPr="009E05D8" w:rsidRDefault="00ED110F" w:rsidP="009E05D8">
      <w:pPr>
        <w:spacing w:after="0"/>
        <w:jc w:val="both"/>
        <w:rPr>
          <w:rFonts w:ascii="Times New Roman" w:hAnsi="Times New Roman" w:cs="Times New Roman"/>
          <w:sz w:val="20"/>
          <w:szCs w:val="20"/>
        </w:rPr>
      </w:pPr>
    </w:p>
    <w:p w14:paraId="6121E104"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До уваги платників ПДВ!</w:t>
      </w:r>
    </w:p>
    <w:p w14:paraId="0CF564B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доводить до відома, що відповідно до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платник ПДВ має право подати до ДПС таблицю даних платника податку на додану вартість (далі – Таблиця) за встановленою формою (додаток 5). </w:t>
      </w:r>
    </w:p>
    <w:p w14:paraId="3D26216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Таблиці зазначаються: </w:t>
      </w:r>
    </w:p>
    <w:p w14:paraId="7ADCC44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види економічної діяльності відповідно до КВЕД; </w:t>
      </w:r>
    </w:p>
    <w:p w14:paraId="02630A2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коди товарів згідно з УКТЗЕД, що постачаються та/або придбаваються (отримуються) платником податку, ввозяться на митну територію України; </w:t>
      </w:r>
    </w:p>
    <w:p w14:paraId="2C882CC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коди послуг згідно з Державним класифікатором продукції та послуг (далі – ДКПП), що постачаються та/або придбаваються (отримуються) платником податку, ввозяться на митну територію України (п. 13 Порядку). </w:t>
      </w:r>
    </w:p>
    <w:p w14:paraId="7F2B1FF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Таблиця подається з поясненням, в якому зазначається вид діяльності, з посиланням на податкову та іншу звітність платника податку (п. 14 Порядку). </w:t>
      </w:r>
    </w:p>
    <w:p w14:paraId="34755A3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Отже, платник ПДВ може надати інформацію щодо видів діяльності, які не зазначені в попередньо поданій до контролюючого органу Таблиці шляхом подання нової Таблиці, в якій зазначає такі види діяльності та відповідно коди товарів згідно УКТЗЕД та коди послуг згідно ДКПП. </w:t>
      </w:r>
    </w:p>
    <w:p w14:paraId="1513890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6"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97D04E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7"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072F5E7F" w14:textId="1E4CC749" w:rsidR="009E05D8" w:rsidRPr="009E05D8" w:rsidRDefault="009E05D8" w:rsidP="009E05D8">
      <w:pPr>
        <w:spacing w:after="0"/>
        <w:jc w:val="both"/>
        <w:rPr>
          <w:rFonts w:ascii="Times New Roman" w:hAnsi="Times New Roman" w:cs="Times New Roman"/>
          <w:sz w:val="20"/>
          <w:szCs w:val="20"/>
        </w:rPr>
      </w:pPr>
    </w:p>
    <w:p w14:paraId="6E83502C"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 xml:space="preserve">Безоплатно отримано основний засіб: встановлення мінімально допустимого строку амортизації </w:t>
      </w:r>
    </w:p>
    <w:p w14:paraId="0D9C872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амортизація – це систематичний розподіл вартості основних засобів, інших необоротних та нематеріальних активів, що амортизується, протягом строку їх корисного використання (експлуатації). </w:t>
      </w:r>
    </w:p>
    <w:p w14:paraId="48F8E34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п.п. 14.1.3 п. 14.1 ст. 14 Податкового кодексу України (далі – ПКУ). </w:t>
      </w:r>
    </w:p>
    <w:p w14:paraId="0F337F3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Підпунктом 138.3.3 п. 138.3 ст. 138 ПКУ визначено мінімально допустимі строки амортизації основних засобів та інших необоротних активів (крім випадку застосування виробничого методу нарахування амортизації). </w:t>
      </w:r>
    </w:p>
    <w:p w14:paraId="45A4672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разі коли строки корисного використання (експлуатації) об’єкта основних засобів в бухгалтерському обліку менше ніж мінімально допустимі строки амортизації основних засобів та інших необоротних активів, то для розрахунку амортизації використовуються строки, встановлені п.п. 138.3.3 п. 138.3 ст. 138 ПКУ. </w:t>
      </w:r>
    </w:p>
    <w:p w14:paraId="4F170F6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разі коли строки корисного використання (експлуатації) об’єкта основних засобів в бухгалтерському обліку дорівнюють або є більшими, ніж ті, що встановлені п.п. 138.3.3 п. 138.3 ст. 138 ПКУ, то для розрахунку амортизації використовуються строки корисного використання (експлуатації) об’єкта основних засобів, встановлені в бухгалтерському обліку. </w:t>
      </w:r>
    </w:p>
    <w:p w14:paraId="42B6A50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Пунктом 23 Національного положення (стандарту) бухгалтерського обліку 7 «Основні засоби», затвердженого наказом Міністерства фінансів України від 27.04.2000 № 92 зі змінами та доповненнями, визначено що нарахування амортизації здійснюється протягом строку корисного використання (експлуатації) об’єкта, який встановлюється підприємством (у розпорядчому акті) при визнанні цього об’єкта активом (при зарахуванні на баланс), і призупиняється на період його реконструкції, модернізації, добудови, дообладнання та консервації. </w:t>
      </w:r>
    </w:p>
    <w:p w14:paraId="73E5E9B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Таким чином, у податковому обліку мінімально допустимий строк амортизації  вартості придбаного (безоплатно отриманого) </w:t>
      </w:r>
      <w:r w:rsidRPr="009E05D8">
        <w:rPr>
          <w:rFonts w:ascii="Times New Roman" w:eastAsia="Times New Roman" w:hAnsi="Times New Roman" w:cs="Times New Roman"/>
          <w:i/>
          <w:iCs/>
          <w:sz w:val="20"/>
          <w:szCs w:val="20"/>
          <w:lang w:eastAsia="uk-UA"/>
        </w:rPr>
        <w:t>(крім випадку застосування виробничого методу нарахування амортизації)</w:t>
      </w:r>
      <w:r w:rsidRPr="009E05D8">
        <w:rPr>
          <w:rFonts w:ascii="Times New Roman" w:eastAsia="Times New Roman" w:hAnsi="Times New Roman" w:cs="Times New Roman"/>
          <w:sz w:val="20"/>
          <w:szCs w:val="20"/>
          <w:lang w:eastAsia="uk-UA"/>
        </w:rPr>
        <w:t xml:space="preserve"> основного засобу, що був у використанні, встановлюється підприємством (у розпорядчому акті) при визнанні цього об’єкта активом (при зарахуванні на баланс), однак він не може бути меншим за мінімально допустимі строки визначені п.п. 138.3.3 п. 138.3 ст. 138 ПКУ. </w:t>
      </w:r>
    </w:p>
    <w:p w14:paraId="5644DC9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8"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ACF5A1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lastRenderedPageBreak/>
        <w:t>Спілкуйся з Податковою службою дистанційно за допомогою сервісу «</w:t>
      </w:r>
      <w:hyperlink r:id="rId9"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0285FDC3" w14:textId="4DACE5E2" w:rsidR="009E05D8" w:rsidRPr="009E05D8" w:rsidRDefault="009E05D8" w:rsidP="009E05D8">
      <w:pPr>
        <w:spacing w:after="0"/>
        <w:jc w:val="both"/>
        <w:rPr>
          <w:rFonts w:ascii="Times New Roman" w:hAnsi="Times New Roman" w:cs="Times New Roman"/>
          <w:sz w:val="20"/>
          <w:szCs w:val="20"/>
        </w:rPr>
      </w:pPr>
    </w:p>
    <w:p w14:paraId="4A143717"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З початку року за результатами перевірок АЗС донараховано 350 млн грн штрафних санкцій</w:t>
      </w:r>
    </w:p>
    <w:p w14:paraId="51D00B9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w:t>
      </w:r>
    </w:p>
    <w:p w14:paraId="355A466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ДПС активізовано діяльність у напрямі боротьби з нелегальним обігом і роздрібною торгівлею пальним в Україні. Для цього, зокрема, податківці беруть участь у міжвідомчих регіональних робочих групах, створених при обласних держадміністраціях. </w:t>
      </w:r>
    </w:p>
    <w:p w14:paraId="634B920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 Нафтогазовою Асоціацією України надано перелік по 475 суб’єктам господарювання, які на їх думку, працюють з порушенням чинного законодавства. </w:t>
      </w:r>
    </w:p>
    <w:p w14:paraId="652D90E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За результатами доперевірочного аналізу отриманої інформації на наявність ризиків проведено 324 та розпочато 13 перевірок, встановлено 238 порушень законодавства з питань обігу пального, донараховано більш ніж</w:t>
      </w:r>
      <w:r w:rsidRPr="009E05D8">
        <w:rPr>
          <w:rFonts w:ascii="Times New Roman" w:eastAsia="Times New Roman" w:hAnsi="Times New Roman" w:cs="Times New Roman"/>
          <w:sz w:val="20"/>
          <w:szCs w:val="20"/>
          <w:lang w:eastAsia="uk-UA"/>
        </w:rPr>
        <w:br/>
        <w:t xml:space="preserve">25 млн грн штрафних та фінансових санкцій. </w:t>
      </w:r>
    </w:p>
    <w:p w14:paraId="201D960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Загалом з початку року ДПС для запобігання та виявлення порушень законодавства платниками податків, які здійснюють торгівлю пальним, проведено 745 фактичних перевірок АЗС, до порушників законодавства застосовано 350 млн грн штрафних (фінансових) санкцій. </w:t>
      </w:r>
    </w:p>
    <w:p w14:paraId="2A11AB1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Крім того, за результатами контрольно-перевірочних заходів з незаконного обігу вилучено 592,9 тис. літрів пального на загальну суму 15,5 млн грн, а саме: </w:t>
      </w:r>
    </w:p>
    <w:p w14:paraId="02DE5B3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дизельного пального – 304,6 тис. літрів на суму майже 7,6 млн грн; </w:t>
      </w:r>
    </w:p>
    <w:p w14:paraId="275D309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бензину А-92 – 39,9 тис. літрів на суму 972,8 тис. грн; </w:t>
      </w:r>
    </w:p>
    <w:p w14:paraId="3D1E80E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бензину А-95 – 205,2 тис. літрів на суму 6,4 млн грн; </w:t>
      </w:r>
    </w:p>
    <w:p w14:paraId="5644F40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газу скрапленого – 43,2 тис. літрів на суму 621,4 тис. гривень. </w:t>
      </w:r>
    </w:p>
    <w:p w14:paraId="2E530BB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За результатами контрольно–перевірочних заходів припинено діяльність 25 АЗС та вилучено 86 одиниць обладнання, за допомогою якого здійснювався незаконний продаж пального, на загальну суму 8 млн гривень. </w:t>
      </w:r>
    </w:p>
    <w:p w14:paraId="42F5040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Нагадаємо, що з метою подолання критичної ситуації на нафтогазовому ринку відповідно до протоколу засідання Кабінету Міністрів України від 03.03.2021 № 29 активізовано діяльність міжвідомчих регіональних робочих груп для проведення спільних заходів з метою боротьби із нелегальним обігом і роздрібною торгівлею пальним в Україні, створених при обласних Державних адміністраціях рішенням Кабінету Міністрів України від 24.12.2019 року. </w:t>
      </w:r>
    </w:p>
    <w:p w14:paraId="4CA97D1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Представники Державної податкової служби разом з представниками національної поліції, ДФС, ДСНС, Держархбудінспекції, Держпраці, Держекоінспекції, Держпродспоживслужби, Мін’юсту та органів прокуратури постійно беруть участь у 26 постійно діючих робочих групах та спільних заходах з відпрацювання підприємств, які працюють з ознаками ризиків порушення законодавства з питань обігу пального. </w:t>
      </w:r>
    </w:p>
    <w:p w14:paraId="1D313D7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Інформацію розміщено на офіційному вебпорталі ДПС України за посиланням </w:t>
      </w:r>
    </w:p>
    <w:p w14:paraId="0510C59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w:t>
      </w:r>
      <w:hyperlink r:id="rId10" w:history="1">
        <w:r w:rsidRPr="009E05D8">
          <w:rPr>
            <w:rFonts w:ascii="Times New Roman" w:eastAsia="Times New Roman" w:hAnsi="Times New Roman" w:cs="Times New Roman"/>
            <w:b/>
            <w:bCs/>
            <w:color w:val="0000FF"/>
            <w:sz w:val="20"/>
            <w:szCs w:val="20"/>
            <w:u w:val="single"/>
            <w:lang w:eastAsia="uk-UA"/>
          </w:rPr>
          <w:t>https://tax.gov.ua/media-tsentr/novini/465769.html</w:t>
        </w:r>
      </w:hyperlink>
      <w:r w:rsidRPr="009E05D8">
        <w:rPr>
          <w:rFonts w:ascii="Times New Roman" w:eastAsia="Times New Roman" w:hAnsi="Times New Roman" w:cs="Times New Roman"/>
          <w:sz w:val="20"/>
          <w:szCs w:val="20"/>
          <w:lang w:eastAsia="uk-UA"/>
        </w:rPr>
        <w:t xml:space="preserve"> </w:t>
      </w:r>
    </w:p>
    <w:p w14:paraId="6F79223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11"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1523B66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12"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CFBE44B" w14:textId="48469FFF" w:rsidR="009E05D8" w:rsidRPr="009E05D8" w:rsidRDefault="009E05D8" w:rsidP="009E05D8">
      <w:pPr>
        <w:spacing w:after="0"/>
        <w:jc w:val="both"/>
        <w:rPr>
          <w:rFonts w:ascii="Times New Roman" w:hAnsi="Times New Roman" w:cs="Times New Roman"/>
          <w:sz w:val="20"/>
          <w:szCs w:val="20"/>
        </w:rPr>
      </w:pPr>
    </w:p>
    <w:p w14:paraId="30F411C5"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Чи є платниками земельного податку платники єдиного податку?</w:t>
      </w:r>
    </w:p>
    <w:p w14:paraId="63B4F0C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відповідно до п.п. 4 п. 297.1 ст. 297 Податкового кодексу України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w:t>
      </w:r>
      <w:r w:rsidRPr="009E05D8">
        <w:rPr>
          <w:rFonts w:ascii="Times New Roman" w:eastAsia="Times New Roman" w:hAnsi="Times New Roman" w:cs="Times New Roman"/>
          <w:i/>
          <w:iCs/>
          <w:sz w:val="20"/>
          <w:szCs w:val="20"/>
          <w:lang w:eastAsia="uk-UA"/>
        </w:rPr>
        <w:t>(крім діяльності з надання земельних ділянок та/або нерухомого майна, що знаходиться на таких земельних ділянках, в оренду (найм, позичку))</w:t>
      </w:r>
      <w:r w:rsidRPr="009E05D8">
        <w:rPr>
          <w:rFonts w:ascii="Times New Roman" w:eastAsia="Times New Roman" w:hAnsi="Times New Roman" w:cs="Times New Roman"/>
          <w:sz w:val="20"/>
          <w:szCs w:val="20"/>
          <w:lang w:eastAsia="uk-UA"/>
        </w:rPr>
        <w:t xml:space="preserve"> та платниками єдиного податку четвертої групи для ведення сільськогосподарського товаровиробництва. </w:t>
      </w:r>
    </w:p>
    <w:p w14:paraId="2F85780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13"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E5A82C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14"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5874E5C2" w14:textId="581108AB" w:rsidR="009E05D8" w:rsidRPr="009E05D8" w:rsidRDefault="009E05D8" w:rsidP="009E05D8">
      <w:pPr>
        <w:spacing w:after="0"/>
        <w:jc w:val="both"/>
        <w:rPr>
          <w:rFonts w:ascii="Times New Roman" w:hAnsi="Times New Roman" w:cs="Times New Roman"/>
          <w:sz w:val="20"/>
          <w:szCs w:val="20"/>
        </w:rPr>
      </w:pPr>
    </w:p>
    <w:p w14:paraId="5B521791"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Повідомлення про подання пояснень та копій документів щодо ПН/РК, реєстрацію яких зупинено, можливо подати в електронному вигляді</w:t>
      </w:r>
    </w:p>
    <w:p w14:paraId="2A5844F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письмові пояснення та копії документів, платник ПДВ подає до ДПС в електронній формі за допомогою засобів електронного зв’язку з урахуванням вимог Законів України від 22 травня 2003 року № 851-IV «Про електронні документи та електронний документообіг» (далі – Закон № 851), від 05 жовтня 2017 року № 2155-VІІІ «Про електронні довірчі послуги» (далі – Закон № 2155)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у Міністерстві юстиції України 03.08.2017 за № 959/30827 (зі змінами). ДПС розміщує та постійно оновлює на своєму офіційному вебпорталі відомості щодо засобів електронного зв’язку, за допомогою яких можуть подаватися письмові пояснення та копії документів. </w:t>
      </w:r>
    </w:p>
    <w:p w14:paraId="175B92F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До Повідомлення можна додати документи довільного формату </w:t>
      </w:r>
      <w:r w:rsidRPr="009E05D8">
        <w:rPr>
          <w:rFonts w:ascii="Times New Roman" w:eastAsia="Times New Roman" w:hAnsi="Times New Roman" w:cs="Times New Roman"/>
          <w:b/>
          <w:bCs/>
          <w:i/>
          <w:iCs/>
          <w:sz w:val="20"/>
          <w:szCs w:val="20"/>
          <w:lang w:eastAsia="uk-UA"/>
        </w:rPr>
        <w:t>(J/F13126)</w:t>
      </w:r>
      <w:r w:rsidRPr="009E05D8">
        <w:rPr>
          <w:rFonts w:ascii="Times New Roman" w:eastAsia="Times New Roman" w:hAnsi="Times New Roman" w:cs="Times New Roman"/>
          <w:sz w:val="20"/>
          <w:szCs w:val="20"/>
          <w:lang w:eastAsia="uk-UA"/>
        </w:rPr>
        <w:t xml:space="preserve">, до яких можна завантажити копії необхідних підтверджуючих документів у форматі PDF, PNG або JPG. </w:t>
      </w:r>
    </w:p>
    <w:p w14:paraId="2F21437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ст. 7 Закону № 851 оригіналом електронного документа вважається електронний примірник документа з обов’язковими реквізитами, у тому числі з електронним підписом автора або підписом, прирівняним до власноручного підпису відповідно до Закону № 2155. </w:t>
      </w:r>
    </w:p>
    <w:p w14:paraId="2A2678F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Оригінал електронного документа повинен давати змогу довести його цілісність та справжність у порядку, визначеному законодавством; у визначених законодавством випадках може бути пред’явлений у візуальній формі відображення, в тому числі у паперовій копії. </w:t>
      </w:r>
    </w:p>
    <w:p w14:paraId="20FA4BF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Електронна копія електронного документа засвідчується у порядку, встановленому законом. </w:t>
      </w:r>
    </w:p>
    <w:p w14:paraId="3D40B56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Копією документа на папері для електронного документа є візуальне подання електронного документа на папері, яке засвідчене в порядку, встановленому законодавством. </w:t>
      </w:r>
    </w:p>
    <w:p w14:paraId="767BB0C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Отже, платнику ПДВ необхідно подати копії підтверджуючих документів до Повідомлення про надання пояснень шляхом завантаження їх копій у форматі PDF, PNG або JPG. </w:t>
      </w:r>
    </w:p>
    <w:p w14:paraId="023A321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15"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0D9F733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16"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208677B1" w14:textId="6987CD7F" w:rsidR="009E05D8" w:rsidRPr="009E05D8" w:rsidRDefault="009E05D8" w:rsidP="009E05D8">
      <w:pPr>
        <w:spacing w:after="0"/>
        <w:jc w:val="both"/>
        <w:rPr>
          <w:rFonts w:ascii="Times New Roman" w:hAnsi="Times New Roman" w:cs="Times New Roman"/>
          <w:sz w:val="20"/>
          <w:szCs w:val="20"/>
        </w:rPr>
      </w:pPr>
    </w:p>
    <w:p w14:paraId="23A7359D"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Які платежі з метою оподаткування вважаються «роялті»?</w:t>
      </w:r>
    </w:p>
    <w:p w14:paraId="32CE0A6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відповідно до п.п. 14.1.225 п. 14.1 ст. 14 Податкового кодексу України роялті – будь-який платіж, отриманий як винагорода за використання або за надання права на використання об’єкта права інтелектуальної власності, а саме на будь-які літературні твори, твори мистецтва або науки, включаючи комп’ютерні програми, інші записи на носіях інформації, відео- або аудіокасети, кінематографічні фільми або плівки для радіо- чи телевізійного мовлення, передачі (програми) організацій мовлення, інші аудіовізуальні твори, будь-які права, які охороняються патентом, будь-які зареєстровані торговельні марки (знаки на товари і послуги), права інтелектуальної власності на дизайн, секретне креслення, модель, формулу, процес, права інтелектуальної власності на інформацію щодо промислового, комерційного або наукового досвіду (ноу-хау). </w:t>
      </w:r>
    </w:p>
    <w:p w14:paraId="25730D7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Не вважаються роялті платежі, отримані: </w:t>
      </w:r>
    </w:p>
    <w:p w14:paraId="49D7FFC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як винагорода за використання комп’ютерної програми, якщо умови використання обмежені функціональним призначенням такої програми та її відтворення обмежене кількістю копій, необхідних для такого використання (використання «кінцевим споживачем»); </w:t>
      </w:r>
    </w:p>
    <w:p w14:paraId="7E7C003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за придбання примірників (копій, екземплярів) об’єктів інтелектуальної власності, у тому числі в електронній формі, для використання за своїм функціональним призначенням для кінцевого споживання або для перепродажу такого примірника (копії, екземпляра); </w:t>
      </w:r>
    </w:p>
    <w:p w14:paraId="7621C53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за придбання речей (у тому числі носіїв інформації), в яких втілені або на яких містяться об’єкти права інтелектуальної власності, визначені в абзаці першому цього підпункту, у користування, володіння та/або розпорядження особи; </w:t>
      </w:r>
    </w:p>
    <w:p w14:paraId="089739C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за передачу прав на об’єкти права інтелектуальної власності, якщо умови передачі прав на об’єкт права інтелектуальної власності надають право особі, яка отримує такі права, продати або здійснити відчуження в інший спосіб права інтелектуальної власності або оприлюднити (розголосити) секретні креслення, моделі, формули, процеси, права інтелектуальної власності на інформацію щодо промислового, комерційного або наукового досвіду (ноу-хау), крім випадків, коли таке оприлюднення (розголошення) є обов’язковим згідно із законодавством України; </w:t>
      </w:r>
    </w:p>
    <w:p w14:paraId="2C9051B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за передачу права на розповсюдження примірників програмної продукції без права на їх відтворення або якщо їх відтворення обмежено використанням кінцевим споживачем. </w:t>
      </w:r>
    </w:p>
    <w:p w14:paraId="379B01A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17"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509BB51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18"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19E363BF" w14:textId="2E161EA3" w:rsidR="009E05D8" w:rsidRPr="009E05D8" w:rsidRDefault="009E05D8" w:rsidP="009E05D8">
      <w:pPr>
        <w:spacing w:after="0"/>
        <w:jc w:val="both"/>
        <w:rPr>
          <w:rFonts w:ascii="Times New Roman" w:hAnsi="Times New Roman" w:cs="Times New Roman"/>
          <w:sz w:val="20"/>
          <w:szCs w:val="20"/>
        </w:rPr>
      </w:pPr>
    </w:p>
    <w:p w14:paraId="716880BF"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Частка будівлі сільськогосподарського товаровиробника здається її власником в оренду: що з податком на нерухомість?</w:t>
      </w:r>
    </w:p>
    <w:p w14:paraId="00F324F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нагадує,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14:paraId="0ADF0AD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п.п. 266.2.1 п. 266.2 ст. 266 Податкового кодексу України (далі – ПКУ). </w:t>
      </w:r>
    </w:p>
    <w:p w14:paraId="29B01A3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 відповідно до п.п. «ж» п.п. 266.2.2 п. 266.2 ст. 266 ПКУ не є об’єктом оподаткування податком на нерухоме майно, відмінне від земельної ділянки, 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ДК 018-2000 (далі – Класифікатор), та не здаються їх власниками в оренду, лізинг, позичку. </w:t>
      </w:r>
    </w:p>
    <w:p w14:paraId="63EAD78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Отже, сільськогосподарський товаровиробник (юридична та фізична особа) при здійсненні ним операцій з надання в оренду, лізинг, позичку частини будівлі, споруди, яка перебуває у його у власності та належить до класу «Будівлі сільськогосподарського призначення, лісівництва та рибного господарства» (код 1271) Класифікатора, обчислює податкові зобов’язання з податку на нерухоме майно, відмінне від земельної ділянки, по зазначеним у відповідних договорах оренди, лізингу, позики частинам будівель, споруд. </w:t>
      </w:r>
    </w:p>
    <w:p w14:paraId="435C58C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19"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48C6F24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20"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21A20F89" w14:textId="7FC990A9" w:rsidR="009E05D8" w:rsidRPr="009E05D8" w:rsidRDefault="009E05D8" w:rsidP="009E05D8">
      <w:pPr>
        <w:spacing w:after="0"/>
        <w:jc w:val="both"/>
        <w:rPr>
          <w:rFonts w:ascii="Times New Roman" w:hAnsi="Times New Roman" w:cs="Times New Roman"/>
          <w:sz w:val="20"/>
          <w:szCs w:val="20"/>
        </w:rPr>
      </w:pPr>
    </w:p>
    <w:p w14:paraId="61483716"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До уваги суб’єктів господарювання, які використовують один транспортний засіб доставки пального декілька разів на добу!</w:t>
      </w:r>
    </w:p>
    <w:p w14:paraId="4F7DCF4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транспортні засоби, що набули статусу акцизних складів пересувних, а також транспортні засоби, що використовуються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для потреб власного споживання чи промислової переробки, повинні обліковуватися в Переліку транспортних засобів, що переміщують пальне або спирт етиловий, створення та ведення якого забезпечується центральним органом виконавчої влади, що реалізує державну податкову політику, у порядку, затвердженому центральним органом виконавчої влади, що забезпечує формування та реалізує державну фінансову політику. </w:t>
      </w:r>
    </w:p>
    <w:p w14:paraId="28857A0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Включення/виключення транспортних засобів до/з Переліку транспортних засобів, що переміщують пальне або спирт етиловий, здійснюється, зокрема, на підставі заявок на переміщення пального або спирту етилового транспортними засобами, що не є акцизними складами пересувними (далі – Заявка), із зазначенням періоду переміщення такого пального або спирту етилового. Такі Заявки подаються суб’єктами господарювання, які не є розпорядниками акцизних складів, до переміщення митною територією України у транспортних засобах, які не є акцизними складами пересувними, власного пального або спирту етилового для потреб власного споживання чи промислової переробки. </w:t>
      </w:r>
    </w:p>
    <w:p w14:paraId="23A686C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п.п. 230.1.5 п. 230.1 ст. 230 Податкового кодексу України. </w:t>
      </w:r>
    </w:p>
    <w:p w14:paraId="468E4BC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Форма Заявки та Порядок її заповнення (далі – Порядок) затверджені наказом Міністерства фінансів України від 08.05.2019 № 188 «Про затвердження форми заявки на переміщення пального або спирту етилового транспортними засобами, що не є акцизними складами пересувними, та Порядку її заповнення». </w:t>
      </w:r>
    </w:p>
    <w:p w14:paraId="5BFDDAF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п. 1 розділу II Порядку Заявка складається щодо кожної операції з переміщення пального або спирту етилового із зазначенням кількох транспортних засобів (у разі потреби). </w:t>
      </w:r>
    </w:p>
    <w:p w14:paraId="34C564F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Період переміщення пального або спирту етилового не може перевищувати  30 календарних днів. </w:t>
      </w:r>
    </w:p>
    <w:p w14:paraId="13BEEC3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п. 2 розділу II Порядку до Заявки вносять інформацію за кодом товару згідно з УКТ ЗЕД. </w:t>
      </w:r>
    </w:p>
    <w:p w14:paraId="1E77B77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п. 3 розділу II Порядку у графах 4 – 22 Заявки надається інформація щодо пунктів навантаження пального, у графах 13 – 22 – щодо пунктів розвантаження пального. У графах 25, 26 Заявки зазначають цифрами дати початку та закінчення періоду транспортування. </w:t>
      </w:r>
    </w:p>
    <w:p w14:paraId="71C63BC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разі, якщо один транспортний засіб використовується декілька разів на добу для переміщення пального з одним і тим самим кодом УКТ ЗЕД і при цьому не змінюються дані щодо адрес місцезнаходження пунктів навантаження та розвантаження пального відповідно, суб’єктом господарювання подається одна Заявка. </w:t>
      </w:r>
    </w:p>
    <w:p w14:paraId="5CEF27B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Якщо такий транспортний засіб переміщує паливо з різними кодами УКТ ЗЕД, на кожне таке переміщення суб’єктом господарювання подається нова Заявка. </w:t>
      </w:r>
    </w:p>
    <w:p w14:paraId="5DD27D5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разі, якщо в зазначений період відбуваються зміни у відомостях щодо пунктів навантаження/розвантаження, вони мають відображатись окремими рядками поданої Заявки, або у новій Заявці. </w:t>
      </w:r>
    </w:p>
    <w:p w14:paraId="6F1FCD8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21"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321D444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22"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2BFA8FD" w14:textId="1975166B" w:rsidR="009E05D8" w:rsidRPr="009E05D8" w:rsidRDefault="009E05D8" w:rsidP="009E05D8">
      <w:pPr>
        <w:spacing w:after="0"/>
        <w:jc w:val="both"/>
        <w:rPr>
          <w:rFonts w:ascii="Times New Roman" w:hAnsi="Times New Roman" w:cs="Times New Roman"/>
          <w:sz w:val="20"/>
          <w:szCs w:val="20"/>
        </w:rPr>
      </w:pPr>
    </w:p>
    <w:p w14:paraId="547B25E8"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Якщо у розрахунковому документі при реалізації підакцизних товарів не зазначено код УКТ ЗЕД , законодавством передбачена відповідальність</w:t>
      </w:r>
    </w:p>
    <w:p w14:paraId="679A413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звертає увагу, що п. 2 розділу 2 Положення про форму і зміст розрахункових документів/електронних розрахункових документів, затвердженого наказом Міністерства фінансів України від 21.01.2016 № 13 (зареєстровано у Міністерстві юстиції України 11.02.2016 за № 220/28350) (далі – Положення № 13) визначено обов’язкові реквізити фіскального касового чека на товари (послуги), зокрема, фіскальний касовий чек на товари (послуги) має містити код товарної підкатегорії згідно з УКТ ЗЕД (зазначається у випадках, передбачених чинним законодавством). </w:t>
      </w:r>
    </w:p>
    <w:p w14:paraId="23C4D92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Тобто, у розрахункових документах, які створюється реєстратором розрахункових операцій (далі – РРО)/програмних РРО (далі – ПРРО) при проведенні розрахункових операцій з продажу підакцизних товарів, має відображатися такий обов’язковий реквізит як «код УКТ ЗЕД». </w:t>
      </w:r>
    </w:p>
    <w:p w14:paraId="51CBCF3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Вимоги щодо створення контрольної стрічки в електронній формі у РРО, ПРРО та модемів для передачі даних та Порядок передачі електронних копій розрахункових документів і фіскальних звітних чеків РРО, ПРРО дротовими або бездротовими каналами зв’язку до органів ДПС України затверджено наказом Міністерства фінансів України від 17.10.2020 за № 1744/22056. </w:t>
      </w:r>
    </w:p>
    <w:p w14:paraId="12DA2CB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 урахуванням того, що код УКТ ЗЕД є обов’язковим реквізитом для підакцизних товарів та відповідно до Положення № 13 фактично є частиною назви товару, ДПС повідомляє, що відповідно технології зберігання та збору даних РРО код УКТ ЗЕД рекомендовано розміщувати в структурі тегів &lt;РР&gt; з атрибутом. </w:t>
      </w:r>
    </w:p>
    <w:p w14:paraId="56F2C60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Відповідальність за використання суб’єктами господарювання РРО та/або ПРРО без використання режиму попереднього програмування найменування кожного підакцизного товару із зазначенням коду товарної підкатегорії згідно з УКТ ЗЕД передбачена ст. 17 Закону України від 06 липня 1996 року № 265/95-ВР «Про застосування реєстраторів розрахункових операцій у сфері торгівлі, громадського харчування та послуг». </w:t>
      </w:r>
    </w:p>
    <w:p w14:paraId="3AA4721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Додатково повідомляємо, що зазначення обов’язкових реквізитів розрахункових документів в структурі тегів необов’язкових реквізитів є порушенням вимог нормативних документів та може призвести до втрати інформації, що передається суб’єктом господарювання до серверу контролюючого органу та стати причиною проведення контрольно-перевірочних заходів. </w:t>
      </w:r>
    </w:p>
    <w:p w14:paraId="51BA550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Суб’єктам господарювання необхідно здійснювати проведення розрахункових операції через РРО та/або через ПРРО для підакцизних товарів із використанням режиму програмування із зазначенням коду товарної підкатегорії згідно з УКТ ЗЕД, найменування товарів, цін товарів та обліку їх кількості. </w:t>
      </w:r>
    </w:p>
    <w:p w14:paraId="745D5BA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23"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3C926C5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24"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3BE9B434" w14:textId="74AD8FE9" w:rsidR="009E05D8" w:rsidRPr="009E05D8" w:rsidRDefault="009E05D8" w:rsidP="009E05D8">
      <w:pPr>
        <w:spacing w:after="0"/>
        <w:jc w:val="both"/>
        <w:rPr>
          <w:rFonts w:ascii="Times New Roman" w:hAnsi="Times New Roman" w:cs="Times New Roman"/>
          <w:sz w:val="20"/>
          <w:szCs w:val="20"/>
        </w:rPr>
      </w:pPr>
    </w:p>
    <w:p w14:paraId="3CD15A20"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Судом підтримано правомірність нарахування податкових зобов’язань та штрафних санкцій суб’єкту господарювання на суму 18,5 млн гривень</w:t>
      </w:r>
    </w:p>
    <w:p w14:paraId="25BB1D9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Управлінням супроводження судових справ Головного управління ДПС у Дніпропетровській області (далі – ГУ ДПС) забезпечено належне супроводження у суді справи № 160/15514/20, що призвело до винесення Дніпропетровським окружним адміністративним судом рішення на користь податкового органу на суму 18,5 млн гривень. </w:t>
      </w:r>
    </w:p>
    <w:p w14:paraId="166C267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Дніпропетровським окружним адміністративним судом підтримано позицію контролюючого органу про те, що господарські взаємовідносини платника податків із контрагентами не направлені на реальне настання правових наслідків, надані під час перевірки первинні бухгалтерські документи не є достовірними доказами факту поставки товарів (надання послуг) позивачу. </w:t>
      </w:r>
    </w:p>
    <w:p w14:paraId="4E0D7F6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Суд встановив, що платником податків не доведено, що господарські операції між позивачем та контрагентами мали реальний зміст, а первинні документи, надані до перевірки, свідчать про їх формальне складення без наявності мети повно та всебічно фіксувати здійснювану господарську операцію. </w:t>
      </w:r>
    </w:p>
    <w:p w14:paraId="76DE2F4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Суд прийшов до висновку, що первинні документи, які складені суб’єктами господарської діяльності на операції, що не відповідають сутності і не несуть доказовості відносно змісту здійсненої операції не є документами, які можуть бути підставою для відображення в облікових регістрах бухгалтерського та податкового обліку. </w:t>
      </w:r>
    </w:p>
    <w:p w14:paraId="44C9410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Враховуючи наведене, суд зазначає, що надані до перевірки позивачем документи не є достовірними доказами факту поставки товарів, адже сам факт наявності у позивача податкових та видаткових накладних не є безумовним доказом реальності господарських операцій між позивачем і його контрагентами, тоді як для податкового обліку значення має саме факт поставки товарів тим виконавцем (постачальником), який вказаний в первинних документах, наданих платником податків на підтвердження податкового кредиту. </w:t>
      </w:r>
    </w:p>
    <w:p w14:paraId="77CFF82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Якщо певна господарська операція не відбулася чи відбулася не за тим її змістом, який відображений в укладених платником податку договорах, то це є підставою для застосування відповідних наслідків у податковому обліку. Дані висновки суду не суперечать правовій позиції Верховного Суду. </w:t>
      </w:r>
    </w:p>
    <w:p w14:paraId="0070489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Відтак, суд зазначив, що критично ставиться до змісту та обсягу тих первинних документів, які було надано разом із позовною заявою під час розгляду справи, які не були надані під час проведення позапланової документальної перевірки. Позивачем не надано належних та допустимих доказів, які б спростували правильність висновків відповідача, викладених ним в акті перевірки. </w:t>
      </w:r>
    </w:p>
    <w:p w14:paraId="6E9C85F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Таким чином, відповідачем підтверджено, а позивачем не спростовано правомірність винесення податкових повідомлень-рішень ГУ ДПС. </w:t>
      </w:r>
    </w:p>
    <w:p w14:paraId="05CC43C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Рішенням Дніпропетровського окружного адміністративного суду від 01.03.2021 у справі № 160/15514/20 відмовлено в задоволенні позову, чим підтверджено правомірність нарахування податкових зобов’язань, штрафних санкцій за зменшення від’ємного значення з ПДВ на загальну суму 18,5 млн гривень. </w:t>
      </w:r>
    </w:p>
    <w:p w14:paraId="4176DEE5" w14:textId="01C76A5F" w:rsidR="009E05D8" w:rsidRPr="009E05D8" w:rsidRDefault="009E05D8" w:rsidP="009E05D8">
      <w:pPr>
        <w:spacing w:after="0"/>
        <w:jc w:val="both"/>
        <w:rPr>
          <w:rFonts w:ascii="Times New Roman" w:hAnsi="Times New Roman" w:cs="Times New Roman"/>
          <w:sz w:val="20"/>
          <w:szCs w:val="20"/>
        </w:rPr>
      </w:pPr>
    </w:p>
    <w:p w14:paraId="1B618732"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Протидія ринку нелегальної торгівлі паливно-мастильними матеріалами</w:t>
      </w:r>
    </w:p>
    <w:p w14:paraId="477494D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Працівниками відділу фактичних перевірок управління податкового аудиту Головного управління ДПС у Дніпропетровській області (далі – ГУ ДПС) сумісно з управлінням контролю за підакцизними товарами ГУ ДПС, а також за участі управління оперативно-розшукової діяльності Головного управління ДФС у Дніпропетровській області з початку 2021 року в рамках протидії ринку нелегальної торгівлі паливно-мастильними матеріалами проведено 32 перевірки АЗС на території Дніпропетровської області. </w:t>
      </w:r>
    </w:p>
    <w:p w14:paraId="5E7F4C7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За результатами вжитих заходів встановлено порушень податкового законодавства на загальну суму 3,4 млн гривень. </w:t>
      </w:r>
    </w:p>
    <w:p w14:paraId="54A5E9F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ході проведення перевірок встановлено 2 АЗС, якими подано до органів ДПС недостовірні дані в документах на право отримання відповідних ліцензій на роздрібну торгівлю пальним. На підставі матеріалів перевірок ліцензії анульовано. </w:t>
      </w:r>
    </w:p>
    <w:p w14:paraId="7C0E90E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 метою недопущення потрапляння на ринок тіньового пального демонтовано 2 АЗС та вилучено 58 тонн паливно-мастильних матеріалів на загальну суму 1,34 млн гривень. Вилучено обладнання на 1,2 млн грн, яке використовувалось при його реалізації (ємності для зберігання, засоби для перекачування тощо). </w:t>
      </w:r>
    </w:p>
    <w:p w14:paraId="55DA1A1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ГУ ДПС продовжує роботу в напрямку протидії ринку нелегальної торгівлі паливно-мастильними матеріалами. </w:t>
      </w:r>
    </w:p>
    <w:p w14:paraId="5A487775" w14:textId="2D692BCD" w:rsidR="009E05D8" w:rsidRPr="009E05D8" w:rsidRDefault="009E05D8" w:rsidP="009E05D8">
      <w:pPr>
        <w:spacing w:after="0"/>
        <w:jc w:val="both"/>
        <w:rPr>
          <w:rFonts w:ascii="Times New Roman" w:hAnsi="Times New Roman" w:cs="Times New Roman"/>
          <w:sz w:val="20"/>
          <w:szCs w:val="20"/>
        </w:rPr>
      </w:pPr>
    </w:p>
    <w:p w14:paraId="6A8CCFE3"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Щодо зміни порядку подання звітності про нарахування єдиного внеску</w:t>
      </w:r>
    </w:p>
    <w:p w14:paraId="27C1825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ДПС України на офіційному вебпорталі за посиланням </w:t>
      </w:r>
      <w:hyperlink r:id="rId25" w:history="1">
        <w:r w:rsidRPr="009E05D8">
          <w:rPr>
            <w:rFonts w:ascii="Times New Roman" w:eastAsia="Times New Roman" w:hAnsi="Times New Roman" w:cs="Times New Roman"/>
            <w:color w:val="0000FF"/>
            <w:sz w:val="20"/>
            <w:szCs w:val="20"/>
            <w:u w:val="single"/>
            <w:lang w:eastAsia="uk-UA"/>
          </w:rPr>
          <w:t>https://tax.gov.ua/nove-pro-podatki--novini-/466208.html</w:t>
        </w:r>
      </w:hyperlink>
      <w:r w:rsidRPr="009E05D8">
        <w:rPr>
          <w:rFonts w:ascii="Times New Roman" w:eastAsia="Times New Roman" w:hAnsi="Times New Roman" w:cs="Times New Roman"/>
          <w:sz w:val="20"/>
          <w:szCs w:val="20"/>
          <w:lang w:eastAsia="uk-UA"/>
        </w:rPr>
        <w:t xml:space="preserve"> повідомила, що законами України від 19 вересня   2019 року № 115 «Про внесення змін до Закону України «Про збір та облік єдиного внеску на загальнообов’язкове державне соціальне страхування» щодо подання єдиної звітності з єдиного внеску на загальнообов’язкове державне соціальне страхування та податку на доходи фізичних осіб» (далі – Закон № 115) та № 116-IX «Про внесення змін до Податкового кодексу України щодо подання єдиної звітності з єдиного внеску на загальнообов’язкове державне соціальне страхування і податку на доходи фізичних осіб» (далі – Закон № 116) змінено порядок подання звітності про нарахування єдиного внеску на загальнообов’язкове державне соціальне страхування (далі – єдиний внесок), зокрема передбачено щоквартальне подання звітності про нарахування єдиного внеску в розмірах, визначених відповідно до Закону України від 8 липня 2010 року № 2464-VI «Про збір та облік єдиного внеску на загальнообов’язкове державне соціальне страхування» зі змінами та доповненнями (далі – Закон № 2464), у складі звітності з податку на доходи фізичних осіб (єдиного податку) до податкового органу за основним місцем обліку платника єдиного внеску у строки та порядку, встановлені Податковим кодексом України (далі – ПКУ). </w:t>
      </w:r>
    </w:p>
    <w:p w14:paraId="45B2E77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Пунктами 1 та 4 частини 2 ст. 6 Закону № 2464 визначено, що з 01.01. 2021 звітні відомості з нарахування єдиного внеску повинні становити невід’ємну частину відповідної податкової звітності. Форма, за якою подається звітність про нарахування єдиного внеску у складі звітності з податку на доходи фізичних осіб (єдиного податку), встановлюється центральним органом виконавчої влади, що забезпечує формування та реалізує державну фінансову політику, за погодженням з Пенсійним фондом України та фондами загальнообов’язкового державного соціального страхування. </w:t>
      </w:r>
    </w:p>
    <w:p w14:paraId="7B661EE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вимог законів № 115 та № 116 наказом Міністерства фінансів України від 15.12.2020 № 773 «Про внесення змін до наказу Міністерства фінансів України від 13 січня 2015 року № 4» (далі – Наказ № 773) затверджено форми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w:t>
      </w:r>
    </w:p>
    <w:p w14:paraId="17BD3AB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підпункту «б» пункту 176.2 статті 176 ПКУ особи, які відповідно до цього ПКУ мають статус податкових агентів, та платники єдиного внеску, зобов’язані подавати у строки, встановлені ПКУ для податкового кварталу, Розрахунок (з розбивкою по місяцях звітного кварталу) до контролюючого органу за основним місцем обліку. Такий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протягом звітного періоду. Запровадження інших форм звітності із зазначених питань не допускається. </w:t>
      </w:r>
    </w:p>
    <w:p w14:paraId="51828FC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Аналогічна норма трактується в пункті 51.1 статті 51 ПКУ. </w:t>
      </w:r>
    </w:p>
    <w:p w14:paraId="18D233C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При цьому термін подання податкової декларації із базовим (податковим) періодом календарний квартал визначено пунктом 49.18 статті 49 ПКУ, зокрема згідно з підпунктом 49.18.2 така декларація подається протягом 40 календарних днів, що настають за останнім календарним днем звітного (податкового) кварталу (півріччя). </w:t>
      </w:r>
    </w:p>
    <w:p w14:paraId="5318865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З огляду на зазначене пунктом 3 Наказу № 773 встановлено, що Розрахунок за формою, затвердженою цим наказом, перший раз подається </w:t>
      </w:r>
      <w:r w:rsidRPr="009E05D8">
        <w:rPr>
          <w:rFonts w:ascii="Times New Roman" w:eastAsia="Times New Roman" w:hAnsi="Times New Roman" w:cs="Times New Roman"/>
          <w:b/>
          <w:bCs/>
          <w:sz w:val="20"/>
          <w:szCs w:val="20"/>
          <w:lang w:eastAsia="uk-UA"/>
        </w:rPr>
        <w:t>за I квартал 2021 року</w:t>
      </w:r>
      <w:r w:rsidRPr="009E05D8">
        <w:rPr>
          <w:rFonts w:ascii="Times New Roman" w:eastAsia="Times New Roman" w:hAnsi="Times New Roman" w:cs="Times New Roman"/>
          <w:sz w:val="20"/>
          <w:szCs w:val="20"/>
          <w:lang w:eastAsia="uk-UA"/>
        </w:rPr>
        <w:t xml:space="preserve">. </w:t>
      </w:r>
    </w:p>
    <w:p w14:paraId="6EE6DB3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ДПС також надано роз’яснення щодо обов’язкових реквізитів декларації, «Довідкового» Розрахунку, порядку відображення платниками єдиного внеску, що мають відокремлені підрозділи в Розрахунку та додатках до нього, відомостей щодо застрахованих осіб, порядку виправлення помилок</w:t>
      </w:r>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особливостей подання Розрахунку за «минулі періоди», особливостей подання Розрахунку приватними нотаріусами, відображення доходів, наданих у негрошовій формі, звітування за договором про спільну діяльність сторін, особливостей заповнення рядка 032 заголовної частини Розрахунку та додатка 4ДФ. </w:t>
      </w:r>
    </w:p>
    <w:p w14:paraId="2975F4B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26"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D3957C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27"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36C213DE" w14:textId="19733D2D" w:rsidR="009E05D8" w:rsidRPr="009E05D8" w:rsidRDefault="009E05D8" w:rsidP="009E05D8">
      <w:pPr>
        <w:spacing w:after="0"/>
        <w:jc w:val="both"/>
        <w:rPr>
          <w:rFonts w:ascii="Times New Roman" w:hAnsi="Times New Roman" w:cs="Times New Roman"/>
          <w:sz w:val="20"/>
          <w:szCs w:val="20"/>
        </w:rPr>
      </w:pPr>
    </w:p>
    <w:p w14:paraId="071A5D68"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У ДПС обговорили впровадження нових проектів цифровізації</w:t>
      </w:r>
    </w:p>
    <w:p w14:paraId="52DAF1A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про наступне. </w:t>
      </w:r>
    </w:p>
    <w:p w14:paraId="34763B1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Основні досягнення податкової служби в ІТ-сфері обговорювалися під час зустрічі керівництва ДПС з керівництвом  проекту EU4PFM. </w:t>
      </w:r>
    </w:p>
    <w:p w14:paraId="36C6830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Участь у заході взяли Перший заступник Голови ДПС Наталія Рубан, заступники Голови ДПС Наталія Калєніченко, Михайло Тітарчук, менеджер сектору «Управління державними фінансами» Представництва ЄС в Україні Єкатерина Яковлева, міжнародний короткостроковий експерт з податкових питань Паулюс Маяускас, ІТ-експерт EU4PFM Койт Паусаг, координатор донорської підтримки Альона Гурківська та інші. </w:t>
      </w:r>
    </w:p>
    <w:p w14:paraId="789D85E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Учасники проаналізували поточний стан діджиталізації служби, обговорили проекти, які вже діють та розробляються в ДПС. </w:t>
      </w:r>
    </w:p>
    <w:p w14:paraId="4E279B8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 ДПС бере активну участь у глобальному проекті цифровізації, який реалізовується у рамках Національної програми інформатизації. До нього за напрямом «Фінанси» увійшли три великі проекти ДПС: «Е-податки», «Е-Акциз» і «Е-РРО». </w:t>
      </w:r>
    </w:p>
    <w:p w14:paraId="6086805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Як відзначили представники податкової служби, такі сервіси виведуть на новий рівень процеси адміністрування податків за рахунок автоматизації та впровадження заходів цифрового розвитку, забезпечать створення ефективного механізму контролю за обігом підакцизних товарів тощо. </w:t>
      </w:r>
    </w:p>
    <w:p w14:paraId="22F6F5A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свою чергу учасники проекту EU4PFM відзначили впровадження платформи податкових сервісів на порталі ДІЯ. Відтепер сервіси ДПС будуть доступними для фізичних осіб на двох платформах – в Електронному кабінеті платника на Порталі Дія. Це дає громадянам можливість обирати найбільш зручний формат свого спілкування з державними органами. </w:t>
      </w:r>
    </w:p>
    <w:p w14:paraId="773A01C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Поінформували представники ДПС і про результати впровадження програмного РРО, що працює вже дев’ять місяців. За цей час постійно вдосконалюється його функціонал для того, щоб зробити максимально зручним для користувачів. Станом на 26 квітня 2021 року 16,6 тис. суб’єктів господарювання застосовують 85,6 тис. ПРРО, якими передано до ДПС 235,2 млн документів. </w:t>
      </w:r>
    </w:p>
    <w:p w14:paraId="0762CC1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Наразі в податковій працюють над його Webверсією, версією для девайсів з iOS. </w:t>
      </w:r>
    </w:p>
    <w:p w14:paraId="743B786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Представники проекту EU4PFM відзначили високий потенціал ДПС та готовність до впровадження новітніх розробок та електронних сервісів для платників. Зі свого боку проект EU4PFM поінформував про готовність до проведення найближчим часом усіх запланованих закупівель з метою підтримки ІТ проектів ДПС. </w:t>
      </w:r>
    </w:p>
    <w:p w14:paraId="2887B5A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Інформацію розміщено на офіційному вебпорталі ДПС України за посиланням </w:t>
      </w:r>
    </w:p>
    <w:p w14:paraId="7951A42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w:t>
      </w:r>
      <w:hyperlink r:id="rId28" w:history="1">
        <w:r w:rsidRPr="009E05D8">
          <w:rPr>
            <w:rFonts w:ascii="Times New Roman" w:eastAsia="Times New Roman" w:hAnsi="Times New Roman" w:cs="Times New Roman"/>
            <w:b/>
            <w:bCs/>
            <w:color w:val="0000FF"/>
            <w:sz w:val="20"/>
            <w:szCs w:val="20"/>
            <w:u w:val="single"/>
            <w:lang w:eastAsia="uk-UA"/>
          </w:rPr>
          <w:t>https://tax.gov.ua/media-tsentr/novini/466154.html</w:t>
        </w:r>
      </w:hyperlink>
      <w:r w:rsidRPr="009E05D8">
        <w:rPr>
          <w:rFonts w:ascii="Times New Roman" w:eastAsia="Times New Roman" w:hAnsi="Times New Roman" w:cs="Times New Roman"/>
          <w:sz w:val="20"/>
          <w:szCs w:val="20"/>
          <w:lang w:eastAsia="uk-UA"/>
        </w:rPr>
        <w:t xml:space="preserve"> </w:t>
      </w:r>
    </w:p>
    <w:p w14:paraId="4C138B7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29"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4DA34A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30"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4FE9B58" w14:textId="67324A6C" w:rsidR="009E05D8" w:rsidRPr="009E05D8" w:rsidRDefault="009E05D8" w:rsidP="009E05D8">
      <w:pPr>
        <w:spacing w:after="0"/>
        <w:jc w:val="both"/>
        <w:rPr>
          <w:rFonts w:ascii="Times New Roman" w:hAnsi="Times New Roman" w:cs="Times New Roman"/>
          <w:sz w:val="20"/>
          <w:szCs w:val="20"/>
        </w:rPr>
      </w:pPr>
    </w:p>
    <w:p w14:paraId="1D06293C"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Оновлено довідник умовних кодів причин коригування для розрахунків коригування до податкової накладної</w:t>
      </w:r>
    </w:p>
    <w:p w14:paraId="0FDCB69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доводить до відома платників ПДВ, що 01.12.2018 в розрахунку коригування до податкової накладної (РК) зазначається </w:t>
      </w:r>
      <w:r w:rsidRPr="009E05D8">
        <w:rPr>
          <w:rFonts w:ascii="Times New Roman" w:eastAsia="Times New Roman" w:hAnsi="Times New Roman" w:cs="Times New Roman"/>
          <w:i/>
          <w:iCs/>
          <w:sz w:val="20"/>
          <w:szCs w:val="20"/>
          <w:lang w:eastAsia="uk-UA"/>
        </w:rPr>
        <w:t>«код причини коригування»</w:t>
      </w:r>
      <w:r w:rsidRPr="009E05D8">
        <w:rPr>
          <w:rFonts w:ascii="Times New Roman" w:eastAsia="Times New Roman" w:hAnsi="Times New Roman" w:cs="Times New Roman"/>
          <w:sz w:val="20"/>
          <w:szCs w:val="20"/>
          <w:lang w:eastAsia="uk-UA"/>
        </w:rPr>
        <w:t xml:space="preserve"> та </w:t>
      </w:r>
      <w:r w:rsidRPr="009E05D8">
        <w:rPr>
          <w:rFonts w:ascii="Times New Roman" w:eastAsia="Times New Roman" w:hAnsi="Times New Roman" w:cs="Times New Roman"/>
          <w:i/>
          <w:iCs/>
          <w:sz w:val="20"/>
          <w:szCs w:val="20"/>
          <w:lang w:eastAsia="uk-UA"/>
        </w:rPr>
        <w:t>«№ з/п групи коригування»</w:t>
      </w:r>
      <w:r w:rsidRPr="009E05D8">
        <w:rPr>
          <w:rFonts w:ascii="Times New Roman" w:eastAsia="Times New Roman" w:hAnsi="Times New Roman" w:cs="Times New Roman"/>
          <w:sz w:val="20"/>
          <w:szCs w:val="20"/>
          <w:lang w:eastAsia="uk-UA"/>
        </w:rPr>
        <w:t xml:space="preserve">. </w:t>
      </w:r>
    </w:p>
    <w:p w14:paraId="215553C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ДПС України 29 квітня 2021 року на офіційному вебпорталі за посиланням </w:t>
      </w:r>
    </w:p>
    <w:p w14:paraId="617B2D50" w14:textId="77777777" w:rsidR="009E05D8" w:rsidRPr="009E05D8" w:rsidRDefault="00570315" w:rsidP="009E05D8">
      <w:pPr>
        <w:spacing w:after="0" w:line="240" w:lineRule="auto"/>
        <w:jc w:val="both"/>
        <w:rPr>
          <w:rFonts w:ascii="Times New Roman" w:eastAsia="Times New Roman" w:hAnsi="Times New Roman" w:cs="Times New Roman"/>
          <w:sz w:val="20"/>
          <w:szCs w:val="20"/>
          <w:lang w:eastAsia="uk-UA"/>
        </w:rPr>
      </w:pPr>
      <w:hyperlink r:id="rId31" w:history="1">
        <w:r w:rsidR="009E05D8" w:rsidRPr="009E05D8">
          <w:rPr>
            <w:rFonts w:ascii="Times New Roman" w:eastAsia="Times New Roman" w:hAnsi="Times New Roman" w:cs="Times New Roman"/>
            <w:color w:val="0000FF"/>
            <w:sz w:val="20"/>
            <w:szCs w:val="20"/>
            <w:u w:val="single"/>
            <w:lang w:eastAsia="uk-UA"/>
          </w:rPr>
          <w:t>https://tax.gov.ua/dovidniki--reestri--perelik/dovidniki-/357729.html</w:t>
        </w:r>
      </w:hyperlink>
      <w:r w:rsidR="009E05D8" w:rsidRPr="009E05D8">
        <w:rPr>
          <w:rFonts w:ascii="Times New Roman" w:eastAsia="Times New Roman" w:hAnsi="Times New Roman" w:cs="Times New Roman"/>
          <w:sz w:val="20"/>
          <w:szCs w:val="20"/>
          <w:lang w:eastAsia="uk-UA"/>
        </w:rPr>
        <w:t xml:space="preserve"> розміщено оновлений Довідник умовних кодів причин коригування. </w:t>
      </w:r>
    </w:p>
    <w:p w14:paraId="4D864F3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 переліку міститься 12 умовних кодів причин коригування. Зокрема, з 01.04.2021 діє нова причина 204 – коригування податкової накладної, складеної при здійсненні операції з безоплатного постачання товарів/послуг. </w:t>
      </w:r>
    </w:p>
    <w:p w14:paraId="349A0C8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32"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14DF9A8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33"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0F5E11BD" w14:textId="4FD80432" w:rsidR="009E05D8" w:rsidRPr="009E05D8" w:rsidRDefault="009E05D8" w:rsidP="009E05D8">
      <w:pPr>
        <w:spacing w:after="0"/>
        <w:jc w:val="both"/>
        <w:rPr>
          <w:rFonts w:ascii="Times New Roman" w:hAnsi="Times New Roman" w:cs="Times New Roman"/>
          <w:sz w:val="20"/>
          <w:szCs w:val="20"/>
        </w:rPr>
      </w:pPr>
    </w:p>
    <w:p w14:paraId="16996EE9"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Про порядок видачі коштів, проведених через РРО/програмний РРО, у разі повернення товару</w:t>
      </w:r>
    </w:p>
    <w:p w14:paraId="53320A2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нагадує, що відповідно до п. 11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і доповненнями (далі – Закон № 265)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через реєстратори розрахункових операцій (далі – РРО) та/або через програмні РРО (далі – програмний РРО) з використанням режиму попереднього програмування найменування товарів (послуг) (із зазначенням коду товарної підкатегорії згідно з Українським класифікатором товарів зовнішньоекономічної діяльності), цін товарів (послуг) та обліку їх кількості. </w:t>
      </w:r>
    </w:p>
    <w:p w14:paraId="41BCEFB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При цьому такі суб’єкти господарювання зобов’язані 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 тому числі, але не виключно, з відтворюванням на дисплеї РРО чи дисплеї пристрою, на якому встановлений програмний РРО QR-коду) (п. 2 ст. 3 Закону № 265). </w:t>
      </w:r>
    </w:p>
    <w:p w14:paraId="0844D5A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Вимоги щодо змісту розрахункового документа визначені Положенням про форму та зміст розрахункових документів/електронних розрахункових документів, затвердженим наказом Міністерства фінансів України від 21.01.2016 № 13 із змінами та доповненнями. </w:t>
      </w:r>
    </w:p>
    <w:p w14:paraId="53C5853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п. 7 глави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(далі – Порядок № 547), реєстрація видачі коштів у разі повернення товару (відмови від послуги, прийняття цінностей під заставу, виплати виграшів у державні лотереї та в інших випадках) або скасування помилково проведеної через РРО суми розрахунку здійснюється шляхом реєстрації від’ємної суми. </w:t>
      </w:r>
    </w:p>
    <w:p w14:paraId="5B9574F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При цьому забороняється реєструвати через РРО від’ємні суми з використанням операції «сторно». </w:t>
      </w:r>
    </w:p>
    <w:p w14:paraId="0FB5E31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Разом з тим, для суб’єктів господарювання, які застосовують програмні РРО п. 8 розділу IV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передбачено, що у разі формування розрахункового документа через ПРРО із помилковою сумою за розрахункову операцію, така операція скасовується шляхом наступної реєстрації операції «сторно» із реєстрацією такої операції на фіскальному сервері, формуванням фіскального номера розрахункового документа на таку операцію та зазначенням фіскального номера розрахункового документа, який сторнується. У таких випадках операція «сторно» може бути проведена до моменту реєстрації наступного розрахункового документа таким програмним РРО. </w:t>
      </w:r>
    </w:p>
    <w:p w14:paraId="4FD64A7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Пунктом 8 глави III Порядку № 547 встановлено, що якщо сума коштів, виданих при поверненні товару чи рекомпенсації раніше оплаченої послуги, перевищує 100 грн, матеріально відповідальна особа господарської одиниці або особа, яка безпосередньо здійснює розрахунки, повинна скласти акт про видачу коштів. В акті необхідно зазначити дані документа, що встановлює особу покупця, який повертає товар (відмовляється від послуги), відомості про товар (послугу), суму виданих коштів, номер, дату і час видачі розрахункового документа, який підтверджує купівлю товару (отримання послуги). </w:t>
      </w:r>
    </w:p>
    <w:p w14:paraId="6AF29D6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Такий самий акт складається під час скасування помилково проведеної через РРО та/або програмний РРО суми розрахунку або помилково вибраної форми оплати (готівка, картка, кредит тощо). В акті зазначаються дані про помилкову суму та реквізити розрахункового документа. </w:t>
      </w:r>
    </w:p>
    <w:p w14:paraId="788D55C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Акти про видачу коштів та акти про скасування помилково проведеної через РРО та/або програмний РРО суми розрахунку, помилкової форми оплати передаються до бухгалтерії суб’єкта господарювання і зберігаються протягом трьох років. У разі відсутності у суб’єкта господарювання бухгалтерії зазначені акти слід зберігати у будь-який зручний та не заборонений чинним законодавством спосіб. </w:t>
      </w:r>
    </w:p>
    <w:p w14:paraId="612099B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34"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3AB60D5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35"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2D25BF31" w14:textId="20D3CAA3" w:rsidR="009E05D8" w:rsidRPr="009E05D8" w:rsidRDefault="009E05D8" w:rsidP="009E05D8">
      <w:pPr>
        <w:spacing w:after="0"/>
        <w:jc w:val="both"/>
        <w:rPr>
          <w:rFonts w:ascii="Times New Roman" w:hAnsi="Times New Roman" w:cs="Times New Roman"/>
          <w:sz w:val="20"/>
          <w:szCs w:val="20"/>
        </w:rPr>
      </w:pPr>
    </w:p>
    <w:p w14:paraId="340C82E7"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Повідомлення про участь у міжнародній групі компаній вперше подається у 2021 році за 2020 рік</w:t>
      </w:r>
    </w:p>
    <w:p w14:paraId="5B597D7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оновлено редакцію п.п. 39.4.2 п. 39.4 ст. 39 Податкового кодексу України (далі – ПКУ). </w:t>
      </w:r>
    </w:p>
    <w:p w14:paraId="13304E0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п.п. 39.4.2 п. 39.4 ст. 39 ПКУ платники податків, які у звітному році здійснювали контрольовані операції, зобов’язані подавати до 01 жовтня року, що настає за звітним, звіт про контрольовані операції та повідомлення про участь у міжнародній групі компаній. </w:t>
      </w:r>
    </w:p>
    <w:p w14:paraId="3F2F053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Зокрема, повідомлення про участь у міжнародній групі компаній (МГК) подається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w:t>
      </w:r>
    </w:p>
    <w:p w14:paraId="09E6F2A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п.п. 39.4.2.2 п.п. 39.4.2 п. 39.4 ст. 39 ПКУ повідомлення про участь у міжнародній групі компаній має містити, зокрема, таку інформацію: </w:t>
      </w:r>
    </w:p>
    <w:p w14:paraId="7BF8DAC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а) дані щодо материнської компанії міжнародної групи компаній, до якої входить платник податків, зокрема, назву, державу (територію) резидентства, адресу реєстрації, реєстраційний номер (номери), присвоєні материнській компанії в державі (на території) її реєстрації, код (коди) материнської компанії як платника податків у державі (на території) її реєстрації; </w:t>
      </w:r>
    </w:p>
    <w:p w14:paraId="14EE98E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б) дані щодо юридичної особи, яка є уповноваженим учасником міжнародної групи компаній на подання звіту у розрізі країн міжнародної групи компаній, до якої входить платник податків (у разі наявності такої юридичної особи), зокрема, її назву, державу (територію) податкового резидентства, адресу реєстрації, реєстраційний номер (номери), присвоєні уповноваженій особі в державі (на території) її реєстрації, код (коди) як платника податків у державі (на території) її реєстрації, або інформацію про те, що група не зобов’язана подавати звіт у розрізі країн міжнародної групи компаній відповідно до законодавства інших країн; </w:t>
      </w:r>
    </w:p>
    <w:p w14:paraId="206DAD9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 дату, яка є останнім днем фінансового року, за який готується консолідована фінансова звітність міжнародної групи компаній, а у разі, якщо така звітність не готується, дату закінчення фінансового року відповідно до внутрішніх положень материнської компанії міжнародної групи компаній; </w:t>
      </w:r>
    </w:p>
    <w:p w14:paraId="2AAA40F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 інформацію щодо розміру сукупного консолідованого доходу міжнародної групи за фінансовий рік, що передує звітному, розрахованого згідно зі стандартами бухгалтерського обліку, які застосовує материнська компанія групи. </w:t>
      </w:r>
    </w:p>
    <w:p w14:paraId="608C2BC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Форма та порядок складання повідомлення про участь у міжнародній групі компаній затверджуються центральним органом виконавчої влади, що забезпечує формування та реалізує державну фінансову політику. </w:t>
      </w:r>
    </w:p>
    <w:p w14:paraId="7C77A95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При цьому п. 53 підрозділу 10 розділу XX «Перехідні положення» ПКУ визначено, що норми п. 39.4 ст. 39 ПКУ щодо подання платниками податків повідомлень про участь у міжнародній групі компаній вперше застосовуються у 2021 році за 2020 рік. </w:t>
      </w:r>
    </w:p>
    <w:p w14:paraId="15A9203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36"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14469AB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37"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8118922" w14:textId="78D3BFA6" w:rsidR="009E05D8" w:rsidRPr="009E05D8" w:rsidRDefault="009E05D8" w:rsidP="009E05D8">
      <w:pPr>
        <w:spacing w:after="0"/>
        <w:jc w:val="both"/>
        <w:rPr>
          <w:rFonts w:ascii="Times New Roman" w:hAnsi="Times New Roman" w:cs="Times New Roman"/>
          <w:sz w:val="20"/>
          <w:szCs w:val="20"/>
        </w:rPr>
      </w:pPr>
    </w:p>
    <w:p w14:paraId="093E727A"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З метою застосування ставки ПДВ 0% перевізнику необхідно єдиний міжнародний перевізний документ</w:t>
      </w:r>
    </w:p>
    <w:p w14:paraId="3221D4E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звертає увагу, що об’єктом оподаткування ПДВ є операції платників податків з постачання послуг з міжнародних перевезень пасажирів і багажу та вантажів залізничним, автомобільним, морським і річковим та авіаційним транспортом. </w:t>
      </w:r>
    </w:p>
    <w:p w14:paraId="56F1FD1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п.п. «е» п.185.1 ст.185 Податкового кодексу України (далі – ПКУ). </w:t>
      </w:r>
    </w:p>
    <w:p w14:paraId="1C86F3E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п.п. «а» п.п. 195.1.3 п. 195.1 ст. 195 ПКУ операції з постачання послуг з міжнародного перевезення пасажирів і багажу та вантажів залізничним, автомобільним, морським і річковим та авіаційним транспортом оподатковуються за нульовою ставкою. </w:t>
      </w:r>
    </w:p>
    <w:p w14:paraId="0048E17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Для цілей цього підпункту перевезення вважається міжнародним, якщо таке перевезення здійснюється за єдиним міжнародним перевізним документом. </w:t>
      </w:r>
    </w:p>
    <w:p w14:paraId="06FEF45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ст.9  Закону України від 1 липня 2004 року №1955-IV «Про транспортно-експедиторську діяльність» із змінами і доповненнями перевезення вантажів супроводжується товарно-транспортними документами, складеними мовою міжнародного спілкування залежно від обраного виду транспорту або державною мовою, якщо вантажі перевозяться в Україні. </w:t>
      </w:r>
    </w:p>
    <w:p w14:paraId="7DF174F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Такими документами можуть бути: </w:t>
      </w:r>
    </w:p>
    <w:p w14:paraId="3321268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авіаційна вантажна накладна (Air Waybill); </w:t>
      </w:r>
    </w:p>
    <w:p w14:paraId="19CED41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міжнародна автомобільна накладна (CMR); </w:t>
      </w:r>
    </w:p>
    <w:p w14:paraId="2EAB5D2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накладна СМГС (накладна УМВС); </w:t>
      </w:r>
    </w:p>
    <w:p w14:paraId="7F21A97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коносамент (Bill of Lading); </w:t>
      </w:r>
    </w:p>
    <w:p w14:paraId="496EFD3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накладна ЦІМ (CIM); </w:t>
      </w:r>
    </w:p>
    <w:p w14:paraId="41F50FC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вантажна відомість (Cargo Manifest). </w:t>
      </w:r>
    </w:p>
    <w:p w14:paraId="716C301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38"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5E7DF5E3" w14:textId="454CF6C5" w:rsid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39"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34A3B0BE" w14:textId="77777777" w:rsidR="005921AE" w:rsidRPr="009E05D8" w:rsidRDefault="005921AE" w:rsidP="009E05D8">
      <w:pPr>
        <w:spacing w:after="0" w:line="240" w:lineRule="auto"/>
        <w:jc w:val="both"/>
        <w:rPr>
          <w:rFonts w:ascii="Times New Roman" w:eastAsia="Times New Roman" w:hAnsi="Times New Roman" w:cs="Times New Roman"/>
          <w:sz w:val="20"/>
          <w:szCs w:val="20"/>
          <w:lang w:eastAsia="uk-UA"/>
        </w:rPr>
      </w:pPr>
    </w:p>
    <w:p w14:paraId="4A5B5361"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Сплата податку на нерухомість за об’єкт нежитлової нерухомості, який використовується ФОП – «загальносистемником» для здійснення діяльності: що з витратами?</w:t>
      </w:r>
    </w:p>
    <w:p w14:paraId="13599B3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об’єкти нежитлової нерухомості – це будівлі, приміщення, що не віднесені відповідно до законодавства до житлового фонду. У нежитловій нерухомості виділяють: </w:t>
      </w:r>
    </w:p>
    <w:p w14:paraId="6FA32A5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а) будівлі готельні – готелі, мотелі, кемпінги, пансіонати, ресторани та бари, туристичні бази, гірські притулки, табори для відпочинку, будинки відпочинку; </w:t>
      </w:r>
    </w:p>
    <w:p w14:paraId="619B7A3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б) будівлі офісні – будівлі фінансового обслуговування, адміністративно-побутові будівлі, будівлі для конторських та адміністративних цілей; </w:t>
      </w:r>
    </w:p>
    <w:p w14:paraId="24AD1FB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 будівлі торговельні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 </w:t>
      </w:r>
    </w:p>
    <w:p w14:paraId="20A7B4F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 гаражі – гаражі (наземні й підземні) та криті автомобільні стоянки; </w:t>
      </w:r>
    </w:p>
    <w:p w14:paraId="5CD5FB4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ґ) будівлі промислові та склади; </w:t>
      </w:r>
    </w:p>
    <w:p w14:paraId="1816090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 будівлі для публічних виступів (казино, ігорні будинки); </w:t>
      </w:r>
    </w:p>
    <w:p w14:paraId="2064D51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е)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w:t>
      </w:r>
    </w:p>
    <w:p w14:paraId="574EB54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є) інші будівлі. </w:t>
      </w:r>
    </w:p>
    <w:p w14:paraId="018C74C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п.п. 14.1.1291 п. 14.1 ст. 14 Податкового кодексу України (далі – ПКУ). </w:t>
      </w:r>
    </w:p>
    <w:p w14:paraId="0468BAE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Порядок оподаткування доходів фізичних осіб – підприємців (далі – ФОП) визначений ст. 177 ПКУ. </w:t>
      </w:r>
    </w:p>
    <w:p w14:paraId="40D7FEA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 згідно з п. 177.2 ст. 177 ПКУ об’єктом оподаткування ФОП є чистий оподатковуваний дохід, тобто різниця між загальним оподатковуваним доходом (виручка у грошовій та негрошовій формі) і документально підтвердженими витратами, пов’язаними з господарською діяльністю такої ФОП. </w:t>
      </w:r>
    </w:p>
    <w:p w14:paraId="39500E0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Перелік витрат, безпосередньо пов’язаних з отриманням доходів ФОП від провадження господарської діяльності на загальній системі оподаткування визначений п. 177.4 ст. 177 ПКУ. </w:t>
      </w:r>
    </w:p>
    <w:p w14:paraId="4F36411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Підпунктом 177.4.3 п. 177.4 ст. 177 ПКУ (в редакції Закону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який набрав чинності 23.05.2020) визначено перелік витрат, безпосередньо пов’язаних з отриманням доходів фізичною особою – підприємцем від провадження господарської діяльності на загальній системі оподаткування, до якого включаються суми податків, зборів, пов’язаних з проведенням господарської діяльності такої ФОП (крім ПДВ для ФОП, зареєстрованого як платник ПДВ, та акцизного податку, податку на доходи фізичних осіб з доходу від господарської діяльності, податку на нерухоме майно, відмінне від земельної ділянки, з об’єктів житлової нерухомості); суми єдиного внеску на загальнообов’язкове державне соціальне страхування у розмірах і порядку, встановлених законом; платежі, сплачені за одержання ліцензій на провадження певних видів господарської діяльності ФОП, одержання дозволу, іншого документа дозвільного характеру, пов’язаних з господарською діяльністю ФОП. </w:t>
      </w:r>
    </w:p>
    <w:p w14:paraId="6F6AD09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Отже, у разі якщо сплата податку на нерухоме майно, відмінне від земельної ділянки, з об’єктів нежитлової нерухомості, які вона використовує для здійснення підприємницької діяльності, була здійснена ФОП на загальній системі оподаткування після 23.05.2020, тобто після набрання чинності Законом № 466, то така ФОП має право віднести до складу валових витрат сплачену суму зазначеного податку. </w:t>
      </w:r>
    </w:p>
    <w:p w14:paraId="6FD0F92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Водночас, при сплаті до 23.05.2020 ФОП на загальній системі оподаткування податку на нерухоме майно, відмінне від земельної ділянки, з об’єктів нежитлової нерухомості, які вона використовує для здійснення підприємницької діяльності, положення Закону № 466 не застосовуються. </w:t>
      </w:r>
    </w:p>
    <w:p w14:paraId="3EF37EA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0"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1E4F722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lastRenderedPageBreak/>
        <w:t>Спілкуйся з Податковою службою дистанційно за допомогою сервісу «</w:t>
      </w:r>
      <w:hyperlink r:id="rId41"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6E6C4228" w14:textId="68A50EC1" w:rsidR="009E05D8" w:rsidRPr="009E05D8" w:rsidRDefault="009E05D8" w:rsidP="009E05D8">
      <w:pPr>
        <w:spacing w:after="0"/>
        <w:jc w:val="both"/>
        <w:rPr>
          <w:rFonts w:ascii="Times New Roman" w:hAnsi="Times New Roman" w:cs="Times New Roman"/>
          <w:sz w:val="20"/>
          <w:szCs w:val="20"/>
        </w:rPr>
      </w:pPr>
    </w:p>
    <w:p w14:paraId="158549D3"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До уваги платників екологічного податку!</w:t>
      </w:r>
    </w:p>
    <w:p w14:paraId="485927B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податкова декларація складається за формою, затвердженою в порядку, визначеному положеннями п. 46.5 ст. 46 ПКУ та чинному на час її подання. </w:t>
      </w:r>
    </w:p>
    <w:p w14:paraId="1F55381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визначені п. 48.1 ст. 48 Податкового кодексу України (далі – ПКУ). </w:t>
      </w:r>
    </w:p>
    <w:p w14:paraId="23550B4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Форма Податкової декларації екологічного податку (далі – Податкова декларація) затверджена наказом Міністерства фінансів України від 17.08.2015    № 715 із змінами та доповненнями. Невід’ємною частиною Податкової декларації є 6 (шість) типів додатків: додатки 1 – 6. </w:t>
      </w:r>
    </w:p>
    <w:p w14:paraId="109E0BC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Відповідний тип додатка забезпечує обчислення податкового зобов’язання за відповідним видом об’єкта оподаткування – викиди в атмосферне повітря, скиди у водні об’єкти та інші. </w:t>
      </w:r>
    </w:p>
    <w:p w14:paraId="1A37274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Пунктом 63.3 ст. 63 ПКУ встановлено, що платник податків зобов’язаний стати на облік у відповідних контролюючих органах за основним та неосновним місцем обліку, повідомляти про всі об’єкти оподаткування і об’єкти, пов’язані з оподаткуванням (далі – об’єкти оподаткування), контролюючі органи за основним місцем обліку згідно з Порядком обліку платників податків, затвердженим наказом Міністерства фінансів України від 09.12.2011 № 1588 із змінами (далі – Порядок № 1588). </w:t>
      </w:r>
    </w:p>
    <w:p w14:paraId="50EB12BB"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Повідомлення про об’єкти оподаткування або через які провадиться діяльність за формою № 20-ОПП (далі – повідомлення 20-ОПП) подається протягом 10 робочих днів після їх реєстрації, створення чи відкриття до контролюючого органу за основним місцем обліку платника податків (п. 8.4 Порядку № 1588). </w:t>
      </w:r>
    </w:p>
    <w:p w14:paraId="653A696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Пунктом 250.9 ст. 250 ПКУ передбачено, що якщо платник екологічного податку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 то такий платник податку повинен повідомити про це відповідний контролюючий орган за місцем розташування джерел забруднення та скласти заяву про відсутність у нього у звітному році об’єкта обчислення екологічного податку. В іншому разі платник екологічного податку зобов’язаний подавати податкові Декларації відповідно до ст. 250 ПКУ. </w:t>
      </w:r>
    </w:p>
    <w:p w14:paraId="0CEA434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У разі передачі в оренду або відчуження нерухомого майна разом із стаціонарним джерелом забруднення в середині звітного періоду поточного року, платник складає та подає повідомлення 20-ОПП та відповідно до п. 250.9 ст. 250 ПКУ повідомляє контролюючий орган за місцем розташування джерел забруднення заяву про виникнення (відчуження) у нього об’єкта оподаткування екологічним податком. </w:t>
      </w:r>
    </w:p>
    <w:p w14:paraId="1222B5E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При цьому декларування податкових зобов’язань з екологічного податку здійснюється платниками за фактичний період перебування у користуванні об’єктів оподаткування, визначений у повідомленні 20-ОПП, у відповідному звітному (податковому) періоді. </w:t>
      </w:r>
    </w:p>
    <w:p w14:paraId="58A86B7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2"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502F1E8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43"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1F33E911" w14:textId="678EE204" w:rsidR="009E05D8" w:rsidRPr="009E05D8" w:rsidRDefault="009E05D8" w:rsidP="009E05D8">
      <w:pPr>
        <w:spacing w:after="0"/>
        <w:jc w:val="both"/>
        <w:rPr>
          <w:rFonts w:ascii="Times New Roman" w:hAnsi="Times New Roman" w:cs="Times New Roman"/>
          <w:sz w:val="20"/>
          <w:szCs w:val="20"/>
        </w:rPr>
      </w:pPr>
    </w:p>
    <w:p w14:paraId="6F514BFB"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Доплати медиків, які безпосередньо зайняті у ліквідації епідемії коронавірусної хвороби (COVID-19), є базою нарахування єдиного внеску</w:t>
      </w:r>
    </w:p>
    <w:p w14:paraId="205CA72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доводить до відома, що на період здійснення заходів, спрямованих на запобігання виникненню і поширенню, локалізацію та ліквідацію спалахів, епідемій та пандемій гострої респіраторної хвороби COVID-19, спричиненої коронавірусом SARS-CoV-2 (далі – коронавірусна хвороба (COVID-19), визначений Кабінетом Міністрів України в акті про встановлення карантину з метою запобігання поширенню на території України коронавірусної хвороби (COVID-19), до завершення здійснення зазначених заходів встановлюється додаткова доплата у розмірі до 300 відсотків заробітної плати (посадового окладу (з підвищеннями) з урахуванням передбачених законодавством обов’язкових доплат та надбавок медичним та іншим працівникам закладів охорони здоров’я державної та/або комунальної власності, які безпосередньо зайняті у ліквідації епідемії та здійсненні заходів із запобігання поширенню коронавірусної хвороби (COVID-19). </w:t>
      </w:r>
    </w:p>
    <w:p w14:paraId="1D84434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Норми встановлені п. 1 постанови Кабінету Міністрів України від 23 березня 2020 року № 246 «Деякі питання оплати праці медичних та інших працівників, які безпосередньо зайняті на роботах з ліквідації гострої респіраторної хвороби COVID-19, спричиненої коронавірусом SARS-CoV-2» із змінами та доповненнями (далі –Постанова № 246). </w:t>
      </w:r>
    </w:p>
    <w:p w14:paraId="7615CDA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Конкретний перелік посад працівників, яким встановлюється доплата, затверджується керівником відповідного закладу охорони здоров’я. </w:t>
      </w:r>
    </w:p>
    <w:p w14:paraId="3D7FC88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Згідно з абзацом другим п. 1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платниками єдиного внеску на загальнообов’язкове державне соціальне страхування (далі – єдиний внесок) є роботодавці, зокрема, підприємства, установи,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цивільно-правовими договорами. </w:t>
      </w:r>
    </w:p>
    <w:p w14:paraId="6A3DA24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Базою нарахування єдиного внеску для зазначених платників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із змінами та доповненнями (далі – Закон № 108/95), та суму винагороди фізичним особам за виконання робіт (надання послуг) за цивільно-правовими договорами (ст. 7 Закону № 2464). </w:t>
      </w:r>
    </w:p>
    <w:p w14:paraId="5988AFC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Статтею 2 Закону № 108/95 визначено структуру заробітної плати, яка включає, зокрема, основну та додаткову заробітну плату. </w:t>
      </w:r>
    </w:p>
    <w:p w14:paraId="6BCC418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Основна заробітна плата – це винагорода за виконану роботу відповідно до встановлених норм праці (норми часу, виробітку, обслуговування, посадові обов’язки). </w:t>
      </w:r>
    </w:p>
    <w:p w14:paraId="15FAC8E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lastRenderedPageBreak/>
        <w:t xml:space="preserve">Додаткова заробітна плата – це винагорода за працю понад установлені норми за трудові успіхи та винахідливість і за особливі умови праці, що включає доплати, надбавки, гарантійні і компенсаційні виплати, передбачені чинним законодавством; премії, пов’язані з виконанням виробничих завдань і функцій. </w:t>
      </w:r>
    </w:p>
    <w:p w14:paraId="50F9753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Таким чином, суми доплат до заробітної плати, нараховані медичним та іншим працівникам закладів охорони здоров’я державної та/або комунальної власності, що безпосередньо зайняті у ліквідації епідемії та здійсненні заходів із запобігання поширенню коронавірусної хвороби (COVID-19) та лікуванні пацієнтів з випадками гострої респіраторної хвороби COVID-19, відносяться до додаткової заробітної плати, що належить до фонду оплати праці, та є базою нарахування єдиного внеску. </w:t>
      </w:r>
    </w:p>
    <w:p w14:paraId="0D12CD7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4"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2562470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45"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5463BCC6" w14:textId="114DD42B" w:rsidR="009E05D8" w:rsidRPr="009E05D8" w:rsidRDefault="009E05D8" w:rsidP="009E05D8">
      <w:pPr>
        <w:spacing w:after="0"/>
        <w:jc w:val="both"/>
        <w:rPr>
          <w:rFonts w:ascii="Times New Roman" w:hAnsi="Times New Roman" w:cs="Times New Roman"/>
          <w:sz w:val="20"/>
          <w:szCs w:val="20"/>
        </w:rPr>
      </w:pPr>
    </w:p>
    <w:p w14:paraId="0465ABB3"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До 10 червня 2021 року платникам надана можливість скористатись процедурою списання пені та штрафів у разі сплати основної суми боргу</w:t>
      </w:r>
    </w:p>
    <w:p w14:paraId="5D05603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Головне управління ДПС у Дніпропетровській області нагадує, що Законом України від 04 грудня 2020 року № 1072-ІX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(далі – Закон № 1072), зокрема, підрозділ 10 розділу ХХ Податкового кодексу України (далі – ПКУ) доповнено новим п.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w:t>
      </w:r>
    </w:p>
    <w:p w14:paraId="3248C193"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Відповідно до п.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«Перехідні положення» ПКУ у разі погашення у повному обсязі грошовими коштами платниками податків протягом шести місяців з дня набрання чинності Законом № 1072 суми податкового боргу (без штрафних санкцій, пені, крім несплачених процентів за користування розстроченням/відстроченням), що виник станом на 01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 безнадійного податкового боргу, за заявою платника податків. </w:t>
      </w:r>
    </w:p>
    <w:p w14:paraId="2C36E29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Нагадуємо, що положення вищезазначеного пункту не застосовується щодо: </w:t>
      </w:r>
    </w:p>
    <w:p w14:paraId="509FB1E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великих платників податків, що відповідають критеріям, визначеним підпунктом 14.1.24 пункту 14.1 статті 14 ПКУ; </w:t>
      </w:r>
    </w:p>
    <w:p w14:paraId="19794FE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осіб, на яких поширюються судові процедури, визначені Кодексом України з процедур банкрутства; </w:t>
      </w:r>
    </w:p>
    <w:p w14:paraId="5DFB07F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осіб, відносно яких наявні судові рішення, що набрали законної сили, якими розстрочено (відстрочено) стягнення податкового боргу; </w:t>
      </w:r>
    </w:p>
    <w:p w14:paraId="026E622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банків, на які поширюються норми Закону України «Про систему гарантування вкладів фізичних осіб»; </w:t>
      </w:r>
    </w:p>
    <w:p w14:paraId="5FB86BED"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осіб, які мають податковий борг з митних платежів; </w:t>
      </w:r>
    </w:p>
    <w:p w14:paraId="4111434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 осіб, які мають заборгованість зі сплати санкцій за порушення законодавства у сфері зовнішньоекономічної діяльності та пені. </w:t>
      </w:r>
    </w:p>
    <w:p w14:paraId="4E5000D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Тому у разі надходження до територіального органу ДПС заяв про участь у процедурі, визначеній пунктом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ПКУ від платників податків, які на дату реєстрації заяви та присвоєння їй вхідного номеру у цьому органі ДПС підпадали під зазначені вище виключення, таким платникам у п’ятиденний строк від дати реєстрації заяви направляється аргументована відмова у списанні, скасуванні та зменшенні штрафних санкцій (у т.ч. довідково розрахованих) та пені із зазначенням причини відмови з посиланням на відповідне положення пункту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ПКУ. При цьому підставою для відмови є перебування платника податків в будь-якій з процедур, визначених пунктом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ПКУ. </w:t>
      </w:r>
    </w:p>
    <w:p w14:paraId="6E3E365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Згідно з пунктом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ПКУ штрафні санкції і пеня, що залишилися несплаченими на дату повної сплати основної суми податкового боргу, підлягають списанню у порядку, визначеному для списання безнадійного податкового боргу, за заявою платника податків. </w:t>
      </w:r>
    </w:p>
    <w:p w14:paraId="63B689F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Разом з тим, платнику надається право виконати вимоги пункту 2</w:t>
      </w:r>
      <w:r w:rsidRPr="009E05D8">
        <w:rPr>
          <w:rFonts w:ascii="Times New Roman" w:eastAsia="Times New Roman" w:hAnsi="Times New Roman" w:cs="Times New Roman"/>
          <w:sz w:val="20"/>
          <w:szCs w:val="20"/>
          <w:vertAlign w:val="superscript"/>
          <w:lang w:eastAsia="uk-UA"/>
        </w:rPr>
        <w:t>3</w:t>
      </w:r>
      <w:r w:rsidRPr="009E05D8">
        <w:rPr>
          <w:rFonts w:ascii="Times New Roman" w:eastAsia="Times New Roman" w:hAnsi="Times New Roman" w:cs="Times New Roman"/>
          <w:sz w:val="20"/>
          <w:szCs w:val="20"/>
          <w:lang w:eastAsia="uk-UA"/>
        </w:rPr>
        <w:t xml:space="preserve"> підрозділу 10 розділу ХХ ПКУ протягом шести місяців з дня набрання чинності цим пунктом. </w:t>
      </w:r>
    </w:p>
    <w:p w14:paraId="6CD74F3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6"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1B081C86"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47"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1D14019" w14:textId="70C75E98" w:rsidR="009E05D8" w:rsidRPr="009E05D8" w:rsidRDefault="009E05D8" w:rsidP="009E05D8">
      <w:pPr>
        <w:spacing w:after="0"/>
        <w:jc w:val="both"/>
        <w:rPr>
          <w:rFonts w:ascii="Times New Roman" w:hAnsi="Times New Roman" w:cs="Times New Roman"/>
          <w:sz w:val="20"/>
          <w:szCs w:val="20"/>
        </w:rPr>
      </w:pPr>
    </w:p>
    <w:p w14:paraId="51664690"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Єдиний рахунок: вже сплачено 200 млн гривень</w:t>
      </w:r>
    </w:p>
    <w:p w14:paraId="24D42B7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ДПС України на офіційному вебпорталі за посиланням </w:t>
      </w:r>
      <w:hyperlink r:id="rId48" w:history="1">
        <w:r w:rsidRPr="009E05D8">
          <w:rPr>
            <w:rFonts w:ascii="Times New Roman" w:eastAsia="Times New Roman" w:hAnsi="Times New Roman" w:cs="Times New Roman"/>
            <w:color w:val="0000FF"/>
            <w:sz w:val="20"/>
            <w:szCs w:val="20"/>
            <w:u w:val="single"/>
            <w:lang w:eastAsia="uk-UA"/>
          </w:rPr>
          <w:t>https://tax.gov.ua/media-tsentr/novini/466217.html</w:t>
        </w:r>
      </w:hyperlink>
      <w:r w:rsidRPr="009E05D8">
        <w:rPr>
          <w:rFonts w:ascii="Times New Roman" w:eastAsia="Times New Roman" w:hAnsi="Times New Roman" w:cs="Times New Roman"/>
          <w:sz w:val="20"/>
          <w:szCs w:val="20"/>
          <w:lang w:eastAsia="uk-UA"/>
        </w:rPr>
        <w:t xml:space="preserve"> повідомила, що з початку року єдиний рахунок для сплати податків використовують 2 тис. осіб. Вони вже сплатили понад 200 млн гривень. </w:t>
      </w:r>
    </w:p>
    <w:p w14:paraId="7A9483A4"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Такий спосіб сплати податків є комфортним, оскільки скорочує платникам фінансові витрати і час на формування розрахункових документів. </w:t>
      </w:r>
    </w:p>
    <w:p w14:paraId="2E8B1DBF"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Обов’язок зі сплати податкових платежів та єдиного внеску вважається виконаним з моменту внесення коштів на єдиний рахунок </w:t>
      </w:r>
    </w:p>
    <w:p w14:paraId="2A00E2E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Розрахуватись з бюджетом та фондами можливо одним платіжним документом на загальну суму. </w:t>
      </w:r>
    </w:p>
    <w:p w14:paraId="7F0DB2C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Нагадуємо, що через єдиний рахунок можна сплатити всі поточні платежі, податковий борг за такими платежами та недоїмку з єдиного внеску, грошові зобов'язання, які визначено на підставі податкових повідомлень-рішень. </w:t>
      </w:r>
    </w:p>
    <w:p w14:paraId="4B91381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Щоб перейти на єдиний рахунок, необхідно здійснити три простих кроки. </w:t>
      </w:r>
    </w:p>
    <w:p w14:paraId="1D22A20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Перший – через Електронний кабінет подати «Повідомлення про використання єдиного рахунку» за формою J/F 1307001. </w:t>
      </w:r>
    </w:p>
    <w:p w14:paraId="54AFADA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Другий – отримати квитанцію про включення до Реєстру платників, які використовують єдиний рахунок. </w:t>
      </w:r>
    </w:p>
    <w:p w14:paraId="72A6C7B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Третій – надати до обслуговуючого банку розрахункові документи із зазначенням реквізитів єдиного рахунку на загальну суму без визначення одержувачів або з визначенням одержувачів. </w:t>
      </w:r>
    </w:p>
    <w:p w14:paraId="0347EF8E"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Платники, які не подали Повідомлення за формою J/F 1307001, продовжують сплачувати платежі безпосередньо на бюджетні/не бюджетні рахунки. </w:t>
      </w:r>
    </w:p>
    <w:p w14:paraId="79BDBFA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49"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7F6F265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50"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72BDE453"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lastRenderedPageBreak/>
        <w:t>Інформаційний лист № 20. Щодо виконання нерезидентами обов'язків щодо взяття на податковий облік, а також реєстрації платниками податку на прибуток в Україні з 1 січня 2021 року</w:t>
      </w:r>
    </w:p>
    <w:p w14:paraId="3CF2664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звертає увагу, що ДПС України двадцятий випуск інформаційного листа присвятила змінам до Податкового кодексу України щодо взяття на облік у податкових органах як платників податків іноземних юридичних компаній, організацій, які здійснюють в Україні діяльність через відокремлені підрозділи, у тому числі постійні представництва, а також їх реєстрації платниками податку на прибуток. </w:t>
      </w:r>
    </w:p>
    <w:p w14:paraId="3A4AB285"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 інформаційному листі ви дізнаєтеся про вимоги до реєстрації нерезидентів платниками податків, їх відповідальність за порушення вимог Кодексу щодо податкової реєстрації, практичні аспекти виконання нерезидентів обов’язків платника податку на прибуток тощо. </w:t>
      </w:r>
    </w:p>
    <w:p w14:paraId="5EAF746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Ознайомитися з інформаційним листом можна за посиланням </w:t>
      </w:r>
    </w:p>
    <w:p w14:paraId="0C117654" w14:textId="77777777" w:rsidR="009E05D8" w:rsidRPr="009E05D8" w:rsidRDefault="00570315" w:rsidP="009E05D8">
      <w:pPr>
        <w:spacing w:after="0" w:line="240" w:lineRule="auto"/>
        <w:jc w:val="both"/>
        <w:rPr>
          <w:rFonts w:ascii="Times New Roman" w:eastAsia="Times New Roman" w:hAnsi="Times New Roman" w:cs="Times New Roman"/>
          <w:sz w:val="20"/>
          <w:szCs w:val="20"/>
          <w:lang w:eastAsia="uk-UA"/>
        </w:rPr>
      </w:pPr>
      <w:hyperlink r:id="rId51" w:history="1">
        <w:r w:rsidR="009E05D8" w:rsidRPr="009E05D8">
          <w:rPr>
            <w:rFonts w:ascii="Times New Roman" w:eastAsia="Times New Roman" w:hAnsi="Times New Roman" w:cs="Times New Roman"/>
            <w:b/>
            <w:bCs/>
            <w:color w:val="0000FF"/>
            <w:sz w:val="20"/>
            <w:szCs w:val="20"/>
            <w:u w:val="single"/>
            <w:lang w:eastAsia="uk-UA"/>
          </w:rPr>
          <w:t>https://tax.gov.ua/media-tsentr/novini/466653.htm</w:t>
        </w:r>
      </w:hyperlink>
      <w:r w:rsidR="009E05D8" w:rsidRPr="009E05D8">
        <w:rPr>
          <w:rFonts w:ascii="Times New Roman" w:eastAsia="Times New Roman" w:hAnsi="Times New Roman" w:cs="Times New Roman"/>
          <w:b/>
          <w:bCs/>
          <w:sz w:val="20"/>
          <w:szCs w:val="20"/>
          <w:lang w:eastAsia="uk-UA"/>
        </w:rPr>
        <w:t>,</w:t>
      </w:r>
      <w:r w:rsidR="009E05D8" w:rsidRPr="009E05D8">
        <w:rPr>
          <w:rFonts w:ascii="Times New Roman" w:eastAsia="Times New Roman" w:hAnsi="Times New Roman" w:cs="Times New Roman"/>
          <w:sz w:val="20"/>
          <w:szCs w:val="20"/>
          <w:lang w:eastAsia="uk-UA"/>
        </w:rPr>
        <w:t xml:space="preserve"> </w:t>
      </w:r>
    </w:p>
    <w:p w14:paraId="14F51F01"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b/>
          <w:bCs/>
          <w:sz w:val="20"/>
          <w:szCs w:val="20"/>
          <w:u w:val="single"/>
          <w:lang w:eastAsia="uk-UA"/>
        </w:rPr>
        <w:t>(</w:t>
      </w:r>
      <w:hyperlink r:id="rId52" w:history="1">
        <w:r w:rsidRPr="009E05D8">
          <w:rPr>
            <w:rFonts w:ascii="Times New Roman" w:eastAsia="Times New Roman" w:hAnsi="Times New Roman" w:cs="Times New Roman"/>
            <w:b/>
            <w:bCs/>
            <w:color w:val="0000FF"/>
            <w:sz w:val="20"/>
            <w:szCs w:val="20"/>
            <w:u w:val="single"/>
            <w:lang w:eastAsia="uk-UA"/>
          </w:rPr>
          <w:t>https://tax.gov.ua/data/material/000/369/466649/InfoList20.pdf</w:t>
        </w:r>
      </w:hyperlink>
      <w:r w:rsidRPr="009E05D8">
        <w:rPr>
          <w:rFonts w:ascii="Times New Roman" w:eastAsia="Times New Roman" w:hAnsi="Times New Roman" w:cs="Times New Roman"/>
          <w:b/>
          <w:bCs/>
          <w:sz w:val="20"/>
          <w:szCs w:val="20"/>
          <w:u w:val="single"/>
          <w:lang w:eastAsia="uk-UA"/>
        </w:rPr>
        <w:t>)</w:t>
      </w:r>
      <w:r w:rsidRPr="009E05D8">
        <w:rPr>
          <w:rFonts w:ascii="Times New Roman" w:eastAsia="Times New Roman" w:hAnsi="Times New Roman" w:cs="Times New Roman"/>
          <w:sz w:val="20"/>
          <w:szCs w:val="20"/>
          <w:lang w:eastAsia="uk-UA"/>
        </w:rPr>
        <w:t xml:space="preserve"> </w:t>
      </w:r>
    </w:p>
    <w:p w14:paraId="1AB31C7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53"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6457D66C"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54"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2B84D393" w14:textId="699321B4" w:rsidR="009E05D8" w:rsidRPr="009E05D8" w:rsidRDefault="009E05D8" w:rsidP="009E05D8">
      <w:pPr>
        <w:spacing w:after="0"/>
        <w:jc w:val="both"/>
        <w:rPr>
          <w:rFonts w:ascii="Times New Roman" w:hAnsi="Times New Roman" w:cs="Times New Roman"/>
          <w:sz w:val="20"/>
          <w:szCs w:val="20"/>
        </w:rPr>
      </w:pPr>
    </w:p>
    <w:p w14:paraId="20332929" w14:textId="77777777" w:rsidR="009E05D8" w:rsidRPr="009E05D8" w:rsidRDefault="009E05D8" w:rsidP="009E05D8">
      <w:pPr>
        <w:spacing w:after="0" w:line="240" w:lineRule="auto"/>
        <w:jc w:val="both"/>
        <w:outlineLvl w:val="0"/>
        <w:rPr>
          <w:rFonts w:ascii="Times New Roman" w:eastAsia="Times New Roman" w:hAnsi="Times New Roman" w:cs="Times New Roman"/>
          <w:b/>
          <w:bCs/>
          <w:kern w:val="36"/>
          <w:sz w:val="20"/>
          <w:szCs w:val="20"/>
          <w:lang w:eastAsia="uk-UA"/>
        </w:rPr>
      </w:pPr>
      <w:r w:rsidRPr="009E05D8">
        <w:rPr>
          <w:rFonts w:ascii="Times New Roman" w:eastAsia="Times New Roman" w:hAnsi="Times New Roman" w:cs="Times New Roman"/>
          <w:b/>
          <w:bCs/>
          <w:kern w:val="36"/>
          <w:sz w:val="20"/>
          <w:szCs w:val="20"/>
          <w:lang w:eastAsia="uk-UA"/>
        </w:rPr>
        <w:t>FATCA: до уваги фінансових агентів!</w:t>
      </w:r>
    </w:p>
    <w:p w14:paraId="272F5AC8"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Головне управління ДПС у Дніпропетровській області доводить до відома наступне. </w:t>
      </w:r>
    </w:p>
    <w:p w14:paraId="5EBA7DF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Відповідно до проєкту наказу Міністерства фінансів України «Про затвердження Порядку заповнення і подання фінансовими агентами звіту про підзвітні рахунки відповідно до Угоди між Урядом України та Урядом Сполучених Штатів Америки для поліпшення виконання податкових правил застосування Закону США «Про податкові вимоги до іноземних рахунків» (FATCA)», розміщеному 17.07.2020 на офіційному вебпорталі ДПС, фінансові агенти подають звіти до ДПС через Міжнародну службу обміну даними (МСОД – платформа IDES). </w:t>
      </w:r>
    </w:p>
    <w:p w14:paraId="337FB91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Порядок та методика використання МСОД детально описані в Інструкції користувача МСОД (Публікація Служби внутрішніх доходів США 5190 (далі – Публікація СВД 5190), англійську версію якої розміщено за адресою: </w:t>
      </w:r>
      <w:hyperlink r:id="rId55" w:history="1">
        <w:r w:rsidRPr="009E05D8">
          <w:rPr>
            <w:rFonts w:ascii="Times New Roman" w:eastAsia="Times New Roman" w:hAnsi="Times New Roman" w:cs="Times New Roman"/>
            <w:color w:val="0000FF"/>
            <w:sz w:val="20"/>
            <w:szCs w:val="20"/>
            <w:u w:val="single"/>
            <w:lang w:eastAsia="uk-UA"/>
          </w:rPr>
          <w:t>http://www.irs.gov/pub/irs-pdf/p5190.pdf</w:t>
        </w:r>
      </w:hyperlink>
      <w:r w:rsidRPr="009E05D8">
        <w:rPr>
          <w:rFonts w:ascii="Times New Roman" w:eastAsia="Times New Roman" w:hAnsi="Times New Roman" w:cs="Times New Roman"/>
          <w:sz w:val="20"/>
          <w:szCs w:val="20"/>
          <w:lang w:eastAsia="uk-UA"/>
        </w:rPr>
        <w:t xml:space="preserve">. </w:t>
      </w:r>
    </w:p>
    <w:p w14:paraId="45EB5B1A"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Для підключення до МСОД фінансовим агентам необхідно придбати SSL-сертифікат (типи сертифікатів та центри сертифікації наведено на стор. 19 Публікації СВД 5190), мати GIIN (ідентифікаційний номер, що надається Службою внутрішніх доходів США для цілей звітування відповідно до Угоди FATCA) та здійснити реєстрацію (процедуру реєстрації викладено на стор. 21 - 26 Публікації СВД 5190). </w:t>
      </w:r>
    </w:p>
    <w:p w14:paraId="7112C870"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Звіти фінансових агентів вважаються наданими і отриманими Службою внутрішніх доходів США у день, коли ДПС України підтвердить, і, таким чином, розкриє інформацію у МСОД Службі внутрішніх доходів США, а інформація, яка передається Службою внутрішніх доходів США, вважається наданою і отриманою ДПС у день, коли вона є доступною для завантаження з МСОД (стор. 99 - 101 Публікації СВД 5190). </w:t>
      </w:r>
    </w:p>
    <w:p w14:paraId="78A06247"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sz w:val="20"/>
          <w:szCs w:val="20"/>
          <w:lang w:eastAsia="uk-UA"/>
        </w:rPr>
        <w:t xml:space="preserve">Інформацію розміщено на офіційному вебпорталі ДПС України за посиланням </w:t>
      </w:r>
    </w:p>
    <w:p w14:paraId="3BE725B8" w14:textId="77777777" w:rsidR="009E05D8" w:rsidRPr="009E05D8" w:rsidRDefault="00570315" w:rsidP="009E05D8">
      <w:pPr>
        <w:spacing w:after="0" w:line="240" w:lineRule="auto"/>
        <w:jc w:val="both"/>
        <w:rPr>
          <w:rFonts w:ascii="Times New Roman" w:eastAsia="Times New Roman" w:hAnsi="Times New Roman" w:cs="Times New Roman"/>
          <w:sz w:val="20"/>
          <w:szCs w:val="20"/>
          <w:lang w:eastAsia="uk-UA"/>
        </w:rPr>
      </w:pPr>
      <w:hyperlink r:id="rId56" w:history="1">
        <w:r w:rsidR="009E05D8" w:rsidRPr="009E05D8">
          <w:rPr>
            <w:rFonts w:ascii="Times New Roman" w:eastAsia="Times New Roman" w:hAnsi="Times New Roman" w:cs="Times New Roman"/>
            <w:b/>
            <w:bCs/>
            <w:color w:val="0000FF"/>
            <w:sz w:val="20"/>
            <w:szCs w:val="20"/>
            <w:u w:val="single"/>
            <w:lang w:eastAsia="uk-UA"/>
          </w:rPr>
          <w:t>https://tax.gov.ua/baneryi/fatca/pitannya-vidpovidi/</w:t>
        </w:r>
      </w:hyperlink>
      <w:r w:rsidR="009E05D8" w:rsidRPr="009E05D8">
        <w:rPr>
          <w:rFonts w:ascii="Times New Roman" w:eastAsia="Times New Roman" w:hAnsi="Times New Roman" w:cs="Times New Roman"/>
          <w:sz w:val="20"/>
          <w:szCs w:val="20"/>
          <w:lang w:eastAsia="uk-UA"/>
        </w:rPr>
        <w:t xml:space="preserve"> </w:t>
      </w:r>
    </w:p>
    <w:p w14:paraId="2D9EDB49"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9E05D8">
        <w:rPr>
          <w:rFonts w:ascii="Times New Roman" w:eastAsia="Times New Roman" w:hAnsi="Times New Roman" w:cs="Times New Roman"/>
          <w:sz w:val="20"/>
          <w:szCs w:val="20"/>
          <w:lang w:eastAsia="uk-UA"/>
        </w:rPr>
        <w:t xml:space="preserve"> </w:t>
      </w:r>
      <w:hyperlink r:id="rId57" w:tgtFrame="_blank" w:history="1">
        <w:r w:rsidRPr="009E05D8">
          <w:rPr>
            <w:rFonts w:ascii="Times New Roman" w:eastAsia="Times New Roman" w:hAnsi="Times New Roman" w:cs="Times New Roman"/>
            <w:color w:val="0000FF"/>
            <w:sz w:val="20"/>
            <w:szCs w:val="20"/>
            <w:u w:val="single"/>
            <w:lang w:eastAsia="uk-UA"/>
          </w:rPr>
          <w:t>https://t.me/tax_gov_ua</w:t>
        </w:r>
      </w:hyperlink>
      <w:r w:rsidRPr="009E05D8">
        <w:rPr>
          <w:rFonts w:ascii="Times New Roman" w:eastAsia="Times New Roman" w:hAnsi="Times New Roman" w:cs="Times New Roman"/>
          <w:sz w:val="20"/>
          <w:szCs w:val="20"/>
          <w:lang w:eastAsia="uk-UA"/>
        </w:rPr>
        <w:t xml:space="preserve"> </w:t>
      </w:r>
    </w:p>
    <w:p w14:paraId="424F5862" w14:textId="77777777" w:rsidR="009E05D8" w:rsidRPr="009E05D8" w:rsidRDefault="009E05D8" w:rsidP="009E05D8">
      <w:pPr>
        <w:spacing w:after="0" w:line="240" w:lineRule="auto"/>
        <w:jc w:val="both"/>
        <w:rPr>
          <w:rFonts w:ascii="Times New Roman" w:eastAsia="Times New Roman" w:hAnsi="Times New Roman" w:cs="Times New Roman"/>
          <w:sz w:val="20"/>
          <w:szCs w:val="20"/>
          <w:lang w:eastAsia="uk-UA"/>
        </w:rPr>
      </w:pPr>
      <w:r w:rsidRPr="009E05D8">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58" w:tgtFrame="_blank" w:history="1">
        <w:r w:rsidRPr="009E05D8">
          <w:rPr>
            <w:rFonts w:ascii="Times New Roman" w:eastAsia="Times New Roman" w:hAnsi="Times New Roman" w:cs="Times New Roman"/>
            <w:i/>
            <w:iCs/>
            <w:color w:val="0000FF"/>
            <w:sz w:val="20"/>
            <w:szCs w:val="20"/>
            <w:u w:val="single"/>
            <w:lang w:eastAsia="uk-UA"/>
          </w:rPr>
          <w:t>InfoTAX</w:t>
        </w:r>
      </w:hyperlink>
      <w:r w:rsidRPr="009E05D8">
        <w:rPr>
          <w:rFonts w:ascii="Times New Roman" w:eastAsia="Times New Roman" w:hAnsi="Times New Roman" w:cs="Times New Roman"/>
          <w:i/>
          <w:iCs/>
          <w:sz w:val="20"/>
          <w:szCs w:val="20"/>
          <w:lang w:eastAsia="uk-UA"/>
        </w:rPr>
        <w:t>»</w:t>
      </w:r>
      <w:r w:rsidRPr="009E05D8">
        <w:rPr>
          <w:rFonts w:ascii="Times New Roman" w:eastAsia="Times New Roman" w:hAnsi="Times New Roman" w:cs="Times New Roman"/>
          <w:sz w:val="20"/>
          <w:szCs w:val="20"/>
          <w:lang w:eastAsia="uk-UA"/>
        </w:rPr>
        <w:t xml:space="preserve"> </w:t>
      </w:r>
    </w:p>
    <w:p w14:paraId="4C80F5D8" w14:textId="3C089B3F" w:rsidR="009E05D8" w:rsidRDefault="009E05D8" w:rsidP="009E05D8">
      <w:pPr>
        <w:spacing w:after="0"/>
        <w:jc w:val="both"/>
        <w:rPr>
          <w:rFonts w:ascii="Times New Roman" w:hAnsi="Times New Roman" w:cs="Times New Roman"/>
          <w:sz w:val="20"/>
          <w:szCs w:val="20"/>
        </w:rPr>
      </w:pPr>
    </w:p>
    <w:p w14:paraId="7AA03444" w14:textId="77777777" w:rsidR="005921AE" w:rsidRP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r w:rsidRPr="005921AE">
        <w:rPr>
          <w:rFonts w:ascii="Times New Roman" w:eastAsia="Times New Roman" w:hAnsi="Times New Roman" w:cs="Times New Roman"/>
          <w:b/>
          <w:bCs/>
          <w:kern w:val="36"/>
          <w:sz w:val="20"/>
          <w:szCs w:val="20"/>
          <w:lang w:eastAsia="uk-UA"/>
        </w:rPr>
        <w:t>За І квартал обсяг реалізації продукції (послуг) великими платниками податків склав 1,23 трлн гривень</w:t>
      </w:r>
    </w:p>
    <w:p w14:paraId="2AA9C8D4"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ДПС України на офіційному вебпорталі за посиланням </w:t>
      </w:r>
      <w:hyperlink r:id="rId59" w:history="1">
        <w:r w:rsidRPr="005921AE">
          <w:rPr>
            <w:rFonts w:ascii="Times New Roman" w:eastAsia="Times New Roman" w:hAnsi="Times New Roman" w:cs="Times New Roman"/>
            <w:color w:val="0000FF"/>
            <w:sz w:val="20"/>
            <w:szCs w:val="20"/>
            <w:u w:val="single"/>
            <w:lang w:eastAsia="uk-UA"/>
          </w:rPr>
          <w:t>https://tax.gov.ua/media-tsentr/novini/466617.html</w:t>
        </w:r>
      </w:hyperlink>
      <w:r w:rsidRPr="005921AE">
        <w:rPr>
          <w:rFonts w:ascii="Times New Roman" w:eastAsia="Times New Roman" w:hAnsi="Times New Roman" w:cs="Times New Roman"/>
          <w:sz w:val="20"/>
          <w:szCs w:val="20"/>
          <w:lang w:eastAsia="uk-UA"/>
        </w:rPr>
        <w:t xml:space="preserve"> проінформувала про наступне. </w:t>
      </w:r>
    </w:p>
    <w:p w14:paraId="4E8A2F8D"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За підсумками першого кварталу 2021 року великі платники податків зробили значний внесок, а саме більше 50 % від загального обсягу реалізації, у такі сфери економіки як: </w:t>
      </w:r>
    </w:p>
    <w:p w14:paraId="264F1974"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торгівля; </w:t>
      </w:r>
    </w:p>
    <w:p w14:paraId="439039D4"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переробна промисловість; </w:t>
      </w:r>
    </w:p>
    <w:p w14:paraId="0F0746D2"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фінансова та страхова діяльність; </w:t>
      </w:r>
    </w:p>
    <w:p w14:paraId="2534A0B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транспорт; </w:t>
      </w:r>
    </w:p>
    <w:p w14:paraId="6F0719D8"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інформація та телекомунікації; </w:t>
      </w:r>
    </w:p>
    <w:p w14:paraId="7E777398"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електроенергія; </w:t>
      </w:r>
    </w:p>
    <w:p w14:paraId="479A7F6F"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професійна, наукова та технічна діяльність; </w:t>
      </w:r>
    </w:p>
    <w:p w14:paraId="0D17B0DA"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добувна промисловість. </w:t>
      </w:r>
    </w:p>
    <w:p w14:paraId="60E84168"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Загальний обсяг реалізації продукції (послуг), що були реалізовані великими платниками податків по всім секторам економіки, за перший квартал 2021 року склав 1,23 трлн гривень. </w:t>
      </w:r>
    </w:p>
    <w:p w14:paraId="4922250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Найбільший обсяг реалізації продукції та послуг був задекларований у Центральному міжрегіональному управлінні ДПС по роботі з великими платниками податків (м. Київ) – 699 млрд грн, у Східному управлінні (м. Дніпро) – 282 млрд грн, Західному (м. Львів) – 92 млрд грн, Південному (м. Одеса) – 85 млрд грн, Північному (м. Харків) – 75 млрд грн. </w:t>
      </w:r>
    </w:p>
    <w:p w14:paraId="3DF41746"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5921AE">
        <w:rPr>
          <w:rFonts w:ascii="Times New Roman" w:eastAsia="Times New Roman" w:hAnsi="Times New Roman" w:cs="Times New Roman"/>
          <w:sz w:val="20"/>
          <w:szCs w:val="20"/>
          <w:lang w:eastAsia="uk-UA"/>
        </w:rPr>
        <w:t xml:space="preserve"> </w:t>
      </w:r>
      <w:hyperlink r:id="rId60" w:tgtFrame="_blank" w:history="1">
        <w:r w:rsidRPr="005921AE">
          <w:rPr>
            <w:rFonts w:ascii="Times New Roman" w:eastAsia="Times New Roman" w:hAnsi="Times New Roman" w:cs="Times New Roman"/>
            <w:color w:val="0000FF"/>
            <w:sz w:val="20"/>
            <w:szCs w:val="20"/>
            <w:u w:val="single"/>
            <w:lang w:eastAsia="uk-UA"/>
          </w:rPr>
          <w:t>https://t.me/tax_gov_ua</w:t>
        </w:r>
      </w:hyperlink>
      <w:r w:rsidRPr="005921AE">
        <w:rPr>
          <w:rFonts w:ascii="Times New Roman" w:eastAsia="Times New Roman" w:hAnsi="Times New Roman" w:cs="Times New Roman"/>
          <w:sz w:val="20"/>
          <w:szCs w:val="20"/>
          <w:lang w:eastAsia="uk-UA"/>
        </w:rPr>
        <w:t xml:space="preserve"> </w:t>
      </w:r>
    </w:p>
    <w:p w14:paraId="582DB112"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61" w:tgtFrame="_blank" w:history="1">
        <w:r w:rsidRPr="005921AE">
          <w:rPr>
            <w:rFonts w:ascii="Times New Roman" w:eastAsia="Times New Roman" w:hAnsi="Times New Roman" w:cs="Times New Roman"/>
            <w:i/>
            <w:iCs/>
            <w:color w:val="0000FF"/>
            <w:sz w:val="20"/>
            <w:szCs w:val="20"/>
            <w:u w:val="single"/>
            <w:lang w:eastAsia="uk-UA"/>
          </w:rPr>
          <w:t>InfoTAX</w:t>
        </w:r>
      </w:hyperlink>
      <w:r w:rsidRPr="005921AE">
        <w:rPr>
          <w:rFonts w:ascii="Times New Roman" w:eastAsia="Times New Roman" w:hAnsi="Times New Roman" w:cs="Times New Roman"/>
          <w:i/>
          <w:iCs/>
          <w:sz w:val="20"/>
          <w:szCs w:val="20"/>
          <w:lang w:eastAsia="uk-UA"/>
        </w:rPr>
        <w:t>»</w:t>
      </w:r>
      <w:r w:rsidRPr="005921AE">
        <w:rPr>
          <w:rFonts w:ascii="Times New Roman" w:eastAsia="Times New Roman" w:hAnsi="Times New Roman" w:cs="Times New Roman"/>
          <w:sz w:val="20"/>
          <w:szCs w:val="20"/>
          <w:lang w:eastAsia="uk-UA"/>
        </w:rPr>
        <w:t xml:space="preserve"> </w:t>
      </w:r>
    </w:p>
    <w:p w14:paraId="41CDB33D" w14:textId="77777777" w:rsid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p>
    <w:p w14:paraId="79D0EA41" w14:textId="33CFB133" w:rsidR="005921AE" w:rsidRP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r w:rsidRPr="005921AE">
        <w:rPr>
          <w:rFonts w:ascii="Times New Roman" w:eastAsia="Times New Roman" w:hAnsi="Times New Roman" w:cs="Times New Roman"/>
          <w:b/>
          <w:bCs/>
          <w:kern w:val="36"/>
          <w:sz w:val="20"/>
          <w:szCs w:val="20"/>
          <w:lang w:eastAsia="uk-UA"/>
        </w:rPr>
        <w:t>Об'єднана звітність з ПДФО, військового збору та єдиного внеску: оновлено електронний формат</w:t>
      </w:r>
    </w:p>
    <w:p w14:paraId="14B8787D"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Головне управління ДПС у Дніпропетровській області інформує, що ДПС України оновила формат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(ідентифікатор форми J/F0510106). </w:t>
      </w:r>
    </w:p>
    <w:p w14:paraId="03F3010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Форма затверджена наказом Мінфіну від 15.12.2020 р. № 773 «Про внесення змін до наказу Міністерства фінансів України від 13 січня 2015 року № 4». </w:t>
      </w:r>
    </w:p>
    <w:p w14:paraId="1C7BCE3A"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Ознайомитись з Реєстром форм електронних документів станом на 27.04.2021 року можна за посиланням: </w:t>
      </w:r>
      <w:hyperlink r:id="rId62" w:history="1">
        <w:r w:rsidRPr="005921AE">
          <w:rPr>
            <w:rFonts w:ascii="Times New Roman" w:eastAsia="Times New Roman" w:hAnsi="Times New Roman" w:cs="Times New Roman"/>
            <w:color w:val="0000FF"/>
            <w:sz w:val="20"/>
            <w:szCs w:val="20"/>
            <w:u w:val="single"/>
            <w:lang w:eastAsia="uk-UA"/>
          </w:rPr>
          <w:t>https://tax.gov.ua/data/material/000/103/154157/Forms_deklar.htm</w:t>
        </w:r>
      </w:hyperlink>
      <w:r w:rsidRPr="005921AE">
        <w:rPr>
          <w:rFonts w:ascii="Times New Roman" w:eastAsia="Times New Roman" w:hAnsi="Times New Roman" w:cs="Times New Roman"/>
          <w:sz w:val="20"/>
          <w:szCs w:val="20"/>
          <w:lang w:eastAsia="uk-UA"/>
        </w:rPr>
        <w:t xml:space="preserve"> </w:t>
      </w:r>
    </w:p>
    <w:p w14:paraId="54A348A2"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Нагадуємо, що граничний термін подання податкового розрахунку за І квартал 2021 року – 11 травня 2021 року. </w:t>
      </w:r>
    </w:p>
    <w:p w14:paraId="17264639"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lastRenderedPageBreak/>
        <w:t>Підписуйтесь на Telegram-канал Державної податкової служби України</w:t>
      </w:r>
      <w:r w:rsidRPr="005921AE">
        <w:rPr>
          <w:rFonts w:ascii="Times New Roman" w:eastAsia="Times New Roman" w:hAnsi="Times New Roman" w:cs="Times New Roman"/>
          <w:sz w:val="20"/>
          <w:szCs w:val="20"/>
          <w:lang w:eastAsia="uk-UA"/>
        </w:rPr>
        <w:t xml:space="preserve"> </w:t>
      </w:r>
      <w:hyperlink r:id="rId63" w:tgtFrame="_blank" w:history="1">
        <w:r w:rsidRPr="005921AE">
          <w:rPr>
            <w:rFonts w:ascii="Times New Roman" w:eastAsia="Times New Roman" w:hAnsi="Times New Roman" w:cs="Times New Roman"/>
            <w:color w:val="0000FF"/>
            <w:sz w:val="20"/>
            <w:szCs w:val="20"/>
            <w:u w:val="single"/>
            <w:lang w:eastAsia="uk-UA"/>
          </w:rPr>
          <w:t>https://t.me/tax_gov_ua</w:t>
        </w:r>
      </w:hyperlink>
      <w:r w:rsidRPr="005921AE">
        <w:rPr>
          <w:rFonts w:ascii="Times New Roman" w:eastAsia="Times New Roman" w:hAnsi="Times New Roman" w:cs="Times New Roman"/>
          <w:sz w:val="20"/>
          <w:szCs w:val="20"/>
          <w:lang w:eastAsia="uk-UA"/>
        </w:rPr>
        <w:t xml:space="preserve"> </w:t>
      </w:r>
    </w:p>
    <w:p w14:paraId="3260A43E" w14:textId="0B621077" w:rsid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64" w:tgtFrame="_blank" w:history="1">
        <w:r w:rsidRPr="005921AE">
          <w:rPr>
            <w:rFonts w:ascii="Times New Roman" w:eastAsia="Times New Roman" w:hAnsi="Times New Roman" w:cs="Times New Roman"/>
            <w:i/>
            <w:iCs/>
            <w:color w:val="0000FF"/>
            <w:sz w:val="20"/>
            <w:szCs w:val="20"/>
            <w:u w:val="single"/>
            <w:lang w:eastAsia="uk-UA"/>
          </w:rPr>
          <w:t>InfoTAX</w:t>
        </w:r>
      </w:hyperlink>
      <w:r w:rsidRPr="005921AE">
        <w:rPr>
          <w:rFonts w:ascii="Times New Roman" w:eastAsia="Times New Roman" w:hAnsi="Times New Roman" w:cs="Times New Roman"/>
          <w:i/>
          <w:iCs/>
          <w:sz w:val="20"/>
          <w:szCs w:val="20"/>
          <w:lang w:eastAsia="uk-UA"/>
        </w:rPr>
        <w:t>»</w:t>
      </w:r>
      <w:r w:rsidRPr="005921AE">
        <w:rPr>
          <w:rFonts w:ascii="Times New Roman" w:eastAsia="Times New Roman" w:hAnsi="Times New Roman" w:cs="Times New Roman"/>
          <w:sz w:val="20"/>
          <w:szCs w:val="20"/>
          <w:lang w:eastAsia="uk-UA"/>
        </w:rPr>
        <w:t xml:space="preserve"> </w:t>
      </w:r>
    </w:p>
    <w:p w14:paraId="4C1E6EE2"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p>
    <w:p w14:paraId="535036D5" w14:textId="77777777" w:rsidR="005921AE" w:rsidRP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r w:rsidRPr="005921AE">
        <w:rPr>
          <w:rFonts w:ascii="Times New Roman" w:eastAsia="Times New Roman" w:hAnsi="Times New Roman" w:cs="Times New Roman"/>
          <w:b/>
          <w:bCs/>
          <w:kern w:val="36"/>
          <w:sz w:val="20"/>
          <w:szCs w:val="20"/>
          <w:lang w:eastAsia="uk-UA"/>
        </w:rPr>
        <w:t>Мінфін видав нову податкову консультацію для ІТ-сектору</w:t>
      </w:r>
    </w:p>
    <w:p w14:paraId="57DB80B1"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Міністерством фінансів України наказом від 27.04.2021 № 238 затверджена узагальнююча податкова консультація з деяких питань оподаткування ПДВ (далі – УПК № 128 ). </w:t>
      </w:r>
    </w:p>
    <w:p w14:paraId="1AE4FDF7"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УПК № 128 надає роз’яснення стосовно застосування п. 26</w:t>
      </w:r>
      <w:r w:rsidRPr="005921AE">
        <w:rPr>
          <w:rFonts w:ascii="Times New Roman" w:eastAsia="Times New Roman" w:hAnsi="Times New Roman" w:cs="Times New Roman"/>
          <w:sz w:val="20"/>
          <w:szCs w:val="20"/>
          <w:vertAlign w:val="superscript"/>
          <w:lang w:eastAsia="uk-UA"/>
        </w:rPr>
        <w:t>1</w:t>
      </w:r>
      <w:r w:rsidRPr="005921AE">
        <w:rPr>
          <w:rFonts w:ascii="Times New Roman" w:eastAsia="Times New Roman" w:hAnsi="Times New Roman" w:cs="Times New Roman"/>
          <w:sz w:val="20"/>
          <w:szCs w:val="20"/>
          <w:lang w:eastAsia="uk-UA"/>
        </w:rPr>
        <w:t xml:space="preserve"> підрозділу 2 розділу ХХ Податкового кодексу України щодо. </w:t>
      </w:r>
    </w:p>
    <w:p w14:paraId="5DEFA347"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Так, операції з постачання програмної продукції тимчасово, з 01 січня 2013 року до 01 січня 2023 року, звільняють від ПДВ. </w:t>
      </w:r>
    </w:p>
    <w:p w14:paraId="4D57BD9F"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b/>
          <w:bCs/>
          <w:i/>
          <w:iCs/>
          <w:sz w:val="20"/>
          <w:szCs w:val="20"/>
          <w:lang w:eastAsia="uk-UA"/>
        </w:rPr>
        <w:t>1. Чи звільняють від ПДВ операції з постачання програмної продукції, до складу вартості якої входять послуги з її технічної підтримки?</w:t>
      </w:r>
      <w:r w:rsidRPr="005921AE">
        <w:rPr>
          <w:rFonts w:ascii="Times New Roman" w:eastAsia="Times New Roman" w:hAnsi="Times New Roman" w:cs="Times New Roman"/>
          <w:sz w:val="20"/>
          <w:szCs w:val="20"/>
          <w:lang w:eastAsia="uk-UA"/>
        </w:rPr>
        <w:t xml:space="preserve"> </w:t>
      </w:r>
    </w:p>
    <w:p w14:paraId="3A126D01"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До програмної продукції, яку звільняють від оподаткування ПДВ, відносять будь-які зміни, оновлення, додатки, доповнення та/або розширення функціоналу комп'ютерних програм, права на отримання таких оновлень, змін, додатків, доповнень протягом певного періоду часу. </w:t>
      </w:r>
    </w:p>
    <w:p w14:paraId="6FEC9CF2"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Якщо операції з постачання послуг із технічної підтримки програмної продукції, зокрема встановлення, налаштування, тестування, виявлення та усунення недоліків, включають (є складовою частиною постачання такої продукції) до вартості програмної продукції, в т.ч. до вартості змін, оновлень, доповнень та/або розширення функціоналу комп'ютерних програм, прав на отримання таких оновлень, змін, додатків, доповнень протягом певного періоду часу, то такі операції звільняють від ПДВ. </w:t>
      </w:r>
    </w:p>
    <w:p w14:paraId="634DEB18" w14:textId="77777777" w:rsidR="005921AE" w:rsidRPr="005921AE" w:rsidRDefault="005921AE" w:rsidP="005921AE">
      <w:pPr>
        <w:spacing w:after="0" w:line="240" w:lineRule="auto"/>
        <w:rPr>
          <w:rFonts w:ascii="Times New Roman" w:eastAsia="Times New Roman" w:hAnsi="Times New Roman" w:cs="Times New Roman"/>
          <w:sz w:val="20"/>
          <w:szCs w:val="20"/>
          <w:lang w:eastAsia="uk-UA"/>
        </w:rPr>
      </w:pPr>
      <w:r w:rsidRPr="005921AE">
        <w:rPr>
          <w:rFonts w:ascii="Times New Roman" w:eastAsia="Times New Roman" w:hAnsi="Times New Roman" w:cs="Times New Roman"/>
          <w:b/>
          <w:bCs/>
          <w:i/>
          <w:iCs/>
          <w:sz w:val="20"/>
          <w:szCs w:val="20"/>
          <w:lang w:eastAsia="uk-UA"/>
        </w:rPr>
        <w:t>2. Чи звільняють від ПДВ операції з постачання технічної підтримки програмної продукції, яка не входить до складу вартості такої програмної продукції?</w:t>
      </w:r>
      <w:r w:rsidRPr="005921AE">
        <w:rPr>
          <w:rFonts w:ascii="Times New Roman" w:eastAsia="Times New Roman" w:hAnsi="Times New Roman" w:cs="Times New Roman"/>
          <w:sz w:val="20"/>
          <w:szCs w:val="20"/>
          <w:lang w:eastAsia="uk-UA"/>
        </w:rPr>
        <w:t xml:space="preserve"> </w:t>
      </w:r>
    </w:p>
    <w:p w14:paraId="3F40E93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Якщо операції з технічної підтримки програмної продукції включають будь-які зміни, оновлення, додатки, доповнення, включаючи усунення недоліків та виправлення помилок, та/або розширення функціоналу комп'ютерних програм, права на отримання таких оновлень, змін, додатків, доповнень протягом певного періоду часу, з одночасним постачанням за одну вартість послуг із встановлення, налаштування, тестування, виявлення та усунення недоліків, консультування щодо користування програмною продукцією, то такі операції звільняються від ПДВ. </w:t>
      </w:r>
    </w:p>
    <w:p w14:paraId="384083C1"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Послуги з технічної підтримки програмної продукції, які передбачають виключно постачання послуг із встановлення, налаштування, тестування, виявлення та усунення недоліків, консультування щодо користування програмною продукцією, які не передбачають внесення будь-яких змін до програмної продукції, та вартість яких не включає зміни, оновлення, додатки, доповнення та/або розширення функціоналу комп'ютерних програм, а також право (права) на отримання таких змін, оновлень, додатків, доповнень та/або розширення функціоналу комп'ютерних програм протягом певного періоду часу, оподатковують ПДВ на загальних підставах. </w:t>
      </w:r>
    </w:p>
    <w:p w14:paraId="1E0B5E9A"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З УПК № 128 можливо ознайомитись на офіційному сайті Міністерства фінансів України за посиланням </w:t>
      </w:r>
    </w:p>
    <w:p w14:paraId="35390B78" w14:textId="77777777" w:rsidR="005921AE" w:rsidRPr="005921AE" w:rsidRDefault="00570315" w:rsidP="005921AE">
      <w:pPr>
        <w:spacing w:after="0" w:line="240" w:lineRule="auto"/>
        <w:jc w:val="both"/>
        <w:rPr>
          <w:rFonts w:ascii="Times New Roman" w:eastAsia="Times New Roman" w:hAnsi="Times New Roman" w:cs="Times New Roman"/>
          <w:sz w:val="20"/>
          <w:szCs w:val="20"/>
          <w:lang w:eastAsia="uk-UA"/>
        </w:rPr>
      </w:pPr>
      <w:hyperlink r:id="rId65" w:history="1">
        <w:r w:rsidR="005921AE" w:rsidRPr="005921AE">
          <w:rPr>
            <w:rFonts w:ascii="Times New Roman" w:eastAsia="Times New Roman" w:hAnsi="Times New Roman" w:cs="Times New Roman"/>
            <w:b/>
            <w:bCs/>
            <w:color w:val="0000FF"/>
            <w:sz w:val="20"/>
            <w:szCs w:val="20"/>
            <w:u w:val="single"/>
            <w:lang w:eastAsia="uk-UA"/>
          </w:rPr>
          <w:t>https://mof.gov.ua/uk/decrees_2021-487</w:t>
        </w:r>
      </w:hyperlink>
      <w:r w:rsidR="005921AE" w:rsidRPr="005921AE">
        <w:rPr>
          <w:rFonts w:ascii="Times New Roman" w:eastAsia="Times New Roman" w:hAnsi="Times New Roman" w:cs="Times New Roman"/>
          <w:sz w:val="20"/>
          <w:szCs w:val="20"/>
          <w:lang w:eastAsia="uk-UA"/>
        </w:rPr>
        <w:t xml:space="preserve"> </w:t>
      </w:r>
    </w:p>
    <w:p w14:paraId="6879C60B"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w:t>
      </w:r>
      <w:hyperlink r:id="rId66" w:history="1">
        <w:r w:rsidRPr="005921AE">
          <w:rPr>
            <w:rFonts w:ascii="Times New Roman" w:eastAsia="Times New Roman" w:hAnsi="Times New Roman" w:cs="Times New Roman"/>
            <w:color w:val="0000FF"/>
            <w:sz w:val="20"/>
            <w:szCs w:val="20"/>
            <w:u w:val="single"/>
            <w:lang w:eastAsia="uk-UA"/>
          </w:rPr>
          <w:t>https://mof.gov.ua/storage/files/%D0%9D%D0%B0%D0%BA%D0%B0%D0%B7%20238.pdf</w:t>
        </w:r>
      </w:hyperlink>
      <w:r w:rsidRPr="005921AE">
        <w:rPr>
          <w:rFonts w:ascii="Times New Roman" w:eastAsia="Times New Roman" w:hAnsi="Times New Roman" w:cs="Times New Roman"/>
          <w:sz w:val="20"/>
          <w:szCs w:val="20"/>
          <w:lang w:eastAsia="uk-UA"/>
        </w:rPr>
        <w:t xml:space="preserve">) </w:t>
      </w:r>
    </w:p>
    <w:p w14:paraId="22AF90D4"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5921AE">
        <w:rPr>
          <w:rFonts w:ascii="Times New Roman" w:eastAsia="Times New Roman" w:hAnsi="Times New Roman" w:cs="Times New Roman"/>
          <w:sz w:val="20"/>
          <w:szCs w:val="20"/>
          <w:lang w:eastAsia="uk-UA"/>
        </w:rPr>
        <w:t xml:space="preserve"> </w:t>
      </w:r>
      <w:hyperlink r:id="rId67" w:tgtFrame="_blank" w:history="1">
        <w:r w:rsidRPr="005921AE">
          <w:rPr>
            <w:rFonts w:ascii="Times New Roman" w:eastAsia="Times New Roman" w:hAnsi="Times New Roman" w:cs="Times New Roman"/>
            <w:color w:val="0000FF"/>
            <w:sz w:val="20"/>
            <w:szCs w:val="20"/>
            <w:u w:val="single"/>
            <w:lang w:eastAsia="uk-UA"/>
          </w:rPr>
          <w:t>https://t.me/tax_gov_ua</w:t>
        </w:r>
      </w:hyperlink>
      <w:r w:rsidRPr="005921AE">
        <w:rPr>
          <w:rFonts w:ascii="Times New Roman" w:eastAsia="Times New Roman" w:hAnsi="Times New Roman" w:cs="Times New Roman"/>
          <w:sz w:val="20"/>
          <w:szCs w:val="20"/>
          <w:lang w:eastAsia="uk-UA"/>
        </w:rPr>
        <w:t xml:space="preserve"> </w:t>
      </w:r>
    </w:p>
    <w:p w14:paraId="4453E005" w14:textId="4690C325" w:rsid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68" w:tgtFrame="_blank" w:history="1">
        <w:r w:rsidRPr="005921AE">
          <w:rPr>
            <w:rFonts w:ascii="Times New Roman" w:eastAsia="Times New Roman" w:hAnsi="Times New Roman" w:cs="Times New Roman"/>
            <w:i/>
            <w:iCs/>
            <w:color w:val="0000FF"/>
            <w:sz w:val="20"/>
            <w:szCs w:val="20"/>
            <w:u w:val="single"/>
            <w:lang w:eastAsia="uk-UA"/>
          </w:rPr>
          <w:t>InfoTAX</w:t>
        </w:r>
      </w:hyperlink>
      <w:r w:rsidRPr="005921AE">
        <w:rPr>
          <w:rFonts w:ascii="Times New Roman" w:eastAsia="Times New Roman" w:hAnsi="Times New Roman" w:cs="Times New Roman"/>
          <w:i/>
          <w:iCs/>
          <w:sz w:val="20"/>
          <w:szCs w:val="20"/>
          <w:lang w:eastAsia="uk-UA"/>
        </w:rPr>
        <w:t>»</w:t>
      </w:r>
      <w:r w:rsidRPr="005921AE">
        <w:rPr>
          <w:rFonts w:ascii="Times New Roman" w:eastAsia="Times New Roman" w:hAnsi="Times New Roman" w:cs="Times New Roman"/>
          <w:sz w:val="20"/>
          <w:szCs w:val="20"/>
          <w:lang w:eastAsia="uk-UA"/>
        </w:rPr>
        <w:t xml:space="preserve"> </w:t>
      </w:r>
    </w:p>
    <w:p w14:paraId="3A9B43A0"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p>
    <w:p w14:paraId="5444F560" w14:textId="77777777" w:rsidR="005921AE" w:rsidRP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r w:rsidRPr="005921AE">
        <w:rPr>
          <w:rFonts w:ascii="Times New Roman" w:eastAsia="Times New Roman" w:hAnsi="Times New Roman" w:cs="Times New Roman"/>
          <w:b/>
          <w:bCs/>
          <w:kern w:val="36"/>
          <w:sz w:val="20"/>
          <w:szCs w:val="20"/>
          <w:lang w:eastAsia="uk-UA"/>
        </w:rPr>
        <w:t>По травень 2021 року (включно) ФОП – «спрощенців» першої групи звільнено від сплати єдиного податку і єдиного внеску</w:t>
      </w:r>
    </w:p>
    <w:p w14:paraId="6FF2F3E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Головне управління ДПС у Дніпропетровській області повідомляє, що Законом України від 04 грудня 2020 року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передбачені пільги для фізичних осіб – підприємців (ФОП) платників єдиного податку першої групи. </w:t>
      </w:r>
    </w:p>
    <w:p w14:paraId="5684A6CF"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Так, платники єдиного податку першої групи тимчасово звільняються: </w:t>
      </w:r>
    </w:p>
    <w:p w14:paraId="3A0039A0"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від сплати єдиного податку за грудень 2020 року та січень – травень 2021 року </w:t>
      </w:r>
      <w:r w:rsidRPr="005921AE">
        <w:rPr>
          <w:rFonts w:ascii="Times New Roman" w:eastAsia="Times New Roman" w:hAnsi="Times New Roman" w:cs="Times New Roman"/>
          <w:i/>
          <w:iCs/>
          <w:sz w:val="20"/>
          <w:szCs w:val="20"/>
          <w:lang w:eastAsia="uk-UA"/>
        </w:rPr>
        <w:t>(крім випадків порушення умов застосування першої групи платників єдиного податку)</w:t>
      </w:r>
      <w:r w:rsidRPr="005921AE">
        <w:rPr>
          <w:rFonts w:ascii="Times New Roman" w:eastAsia="Times New Roman" w:hAnsi="Times New Roman" w:cs="Times New Roman"/>
          <w:sz w:val="20"/>
          <w:szCs w:val="20"/>
          <w:lang w:eastAsia="uk-UA"/>
        </w:rPr>
        <w:t xml:space="preserve"> (п. 52</w:t>
      </w:r>
      <w:r w:rsidRPr="005921AE">
        <w:rPr>
          <w:rFonts w:ascii="Times New Roman" w:eastAsia="Times New Roman" w:hAnsi="Times New Roman" w:cs="Times New Roman"/>
          <w:sz w:val="20"/>
          <w:szCs w:val="20"/>
          <w:vertAlign w:val="superscript"/>
          <w:lang w:eastAsia="uk-UA"/>
        </w:rPr>
        <w:t>9</w:t>
      </w:r>
      <w:r w:rsidRPr="005921AE">
        <w:rPr>
          <w:rFonts w:ascii="Times New Roman" w:eastAsia="Times New Roman" w:hAnsi="Times New Roman" w:cs="Times New Roman"/>
          <w:sz w:val="20"/>
          <w:szCs w:val="20"/>
          <w:lang w:eastAsia="uk-UA"/>
        </w:rPr>
        <w:t xml:space="preserve"> підрозділу 10 розділу XX «Перехідні положення» ПКУ); </w:t>
      </w:r>
    </w:p>
    <w:p w14:paraId="35AF9494"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 від нарахування, обчислення та сплати єдиного внеску на загальнообов’язкове державне соціальне страхування (єдиний внесок) за періоди з 01 по 31 грудня 2020 року, з 01 по 31 січня, з 01 по 28 лютого, з 01 по 31 березня, з 01 по 30 квітня та з 01 по 31 травня 2021 року за себе. Такі особи можуть прийняти рішення про нарахування, обчислення та сплату єдиного внеску за зазначені періоди в розмірах та порядку, визначених Законом України від 8 липня 2010 року № 2464-VI «Про збір та облік єдиного внеску на загальнообов’язкове державне соціальне страхування» зі змінами та доповненнями. У такому разі інформація про сплачені суми зазначається у звітності про нарахування єдиного внеску. </w:t>
      </w:r>
    </w:p>
    <w:p w14:paraId="2BE3C95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Крім того, для ФОП, які обрали спрощену систему оподаткування і належать до першої групи платників єдиного податку та які не сплачували страхові внески за періоди з 01 по 31 грудня 2020 року, з 01 по 31 січня, з 01 по 28 лютого, з 01 по 31 березня, з 01 по 30 квітня та з 01 по 31 травня 2021 року такі періоди включаються до страхового стажу та вважається, що страхові суми було сплачено у розмірі мінімального страхового внеску, визначеного законодавством для кожного з таких періодів. </w:t>
      </w:r>
    </w:p>
    <w:p w14:paraId="5CB08EDC"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Тобто, єдиний внесок та єдиний податок «спрощенці» першої групи можуть не сплачувати за грудень 2020 року та з січня по травень (включно) 2021 року. </w:t>
      </w:r>
    </w:p>
    <w:p w14:paraId="7C656FDA"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І важливо, що законом чітко визначено, що ці місяці несплати єдиного внеску включаються до страхового стажу єдинника першої групи. </w:t>
      </w:r>
    </w:p>
    <w:p w14:paraId="5A80E78B"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У травні закінчуються преференції для платників єдиного податку першої групи. </w:t>
      </w:r>
    </w:p>
    <w:p w14:paraId="1E3FA853"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Отже, вперше такі ФОП сплачуватимуть єдиний податок у червні 2021 року, а єдиний внесок – у липні 2021 року. </w:t>
      </w:r>
    </w:p>
    <w:p w14:paraId="0B29300D"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Підписуйтесь на Telegram-канал Державної податкової служби України</w:t>
      </w:r>
      <w:r w:rsidRPr="005921AE">
        <w:rPr>
          <w:rFonts w:ascii="Times New Roman" w:eastAsia="Times New Roman" w:hAnsi="Times New Roman" w:cs="Times New Roman"/>
          <w:sz w:val="20"/>
          <w:szCs w:val="20"/>
          <w:lang w:eastAsia="uk-UA"/>
        </w:rPr>
        <w:t xml:space="preserve"> </w:t>
      </w:r>
      <w:hyperlink r:id="rId69" w:tgtFrame="_blank" w:history="1">
        <w:r w:rsidRPr="005921AE">
          <w:rPr>
            <w:rFonts w:ascii="Times New Roman" w:eastAsia="Times New Roman" w:hAnsi="Times New Roman" w:cs="Times New Roman"/>
            <w:color w:val="0000FF"/>
            <w:sz w:val="20"/>
            <w:szCs w:val="20"/>
            <w:u w:val="single"/>
            <w:lang w:eastAsia="uk-UA"/>
          </w:rPr>
          <w:t>https://t.me/tax_gov_ua</w:t>
        </w:r>
      </w:hyperlink>
      <w:r w:rsidRPr="005921AE">
        <w:rPr>
          <w:rFonts w:ascii="Times New Roman" w:eastAsia="Times New Roman" w:hAnsi="Times New Roman" w:cs="Times New Roman"/>
          <w:sz w:val="20"/>
          <w:szCs w:val="20"/>
          <w:lang w:eastAsia="uk-UA"/>
        </w:rPr>
        <w:t xml:space="preserve"> </w:t>
      </w:r>
    </w:p>
    <w:p w14:paraId="46252988"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i/>
          <w:iCs/>
          <w:sz w:val="20"/>
          <w:szCs w:val="20"/>
          <w:lang w:eastAsia="uk-UA"/>
        </w:rPr>
        <w:t>Спілкуйся з Податковою службою дистанційно за допомогою сервісу «</w:t>
      </w:r>
      <w:hyperlink r:id="rId70" w:tgtFrame="_blank" w:history="1">
        <w:r w:rsidRPr="005921AE">
          <w:rPr>
            <w:rFonts w:ascii="Times New Roman" w:eastAsia="Times New Roman" w:hAnsi="Times New Roman" w:cs="Times New Roman"/>
            <w:i/>
            <w:iCs/>
            <w:color w:val="0000FF"/>
            <w:sz w:val="20"/>
            <w:szCs w:val="20"/>
            <w:u w:val="single"/>
            <w:lang w:eastAsia="uk-UA"/>
          </w:rPr>
          <w:t>InfoTAX</w:t>
        </w:r>
      </w:hyperlink>
      <w:r w:rsidRPr="005921AE">
        <w:rPr>
          <w:rFonts w:ascii="Times New Roman" w:eastAsia="Times New Roman" w:hAnsi="Times New Roman" w:cs="Times New Roman"/>
          <w:i/>
          <w:iCs/>
          <w:sz w:val="20"/>
          <w:szCs w:val="20"/>
          <w:lang w:eastAsia="uk-UA"/>
        </w:rPr>
        <w:t>»</w:t>
      </w:r>
      <w:r w:rsidRPr="005921AE">
        <w:rPr>
          <w:rFonts w:ascii="Times New Roman" w:eastAsia="Times New Roman" w:hAnsi="Times New Roman" w:cs="Times New Roman"/>
          <w:sz w:val="20"/>
          <w:szCs w:val="20"/>
          <w:lang w:eastAsia="uk-UA"/>
        </w:rPr>
        <w:t xml:space="preserve"> </w:t>
      </w:r>
    </w:p>
    <w:p w14:paraId="655A402D" w14:textId="523BE60C" w:rsidR="005921AE" w:rsidRPr="005921AE" w:rsidRDefault="005921AE" w:rsidP="005921AE">
      <w:pPr>
        <w:spacing w:after="0" w:line="240" w:lineRule="auto"/>
        <w:outlineLvl w:val="0"/>
        <w:rPr>
          <w:rFonts w:ascii="Times New Roman" w:eastAsia="Times New Roman" w:hAnsi="Times New Roman" w:cs="Times New Roman"/>
          <w:b/>
          <w:bCs/>
          <w:kern w:val="36"/>
          <w:sz w:val="20"/>
          <w:szCs w:val="20"/>
          <w:lang w:eastAsia="uk-UA"/>
        </w:rPr>
      </w:pPr>
      <w:r w:rsidRPr="005921AE">
        <w:rPr>
          <w:rFonts w:ascii="Times New Roman" w:eastAsia="Times New Roman" w:hAnsi="Times New Roman" w:cs="Times New Roman"/>
          <w:b/>
          <w:bCs/>
          <w:kern w:val="36"/>
          <w:sz w:val="20"/>
          <w:szCs w:val="20"/>
          <w:lang w:eastAsia="uk-UA"/>
        </w:rPr>
        <w:lastRenderedPageBreak/>
        <w:t>За чотири місяці 2021 року платники Дніпропетровщини перерахували податків і зборів до бюджетів усіх рівнів та ЄСВ майже 24 мільярда 115 мільйонів гривень</w:t>
      </w:r>
    </w:p>
    <w:p w14:paraId="161A3057"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За січень - квітень 2021 року Головним управлінням ДПС у Дніпропетровській області забезпечено збір платежів до бюджетів усіх рівнів у сумі 17 млрд 930 млн грн, що перевищує надходження січня - квітня минулого року майже на 3 млрд 764,5 млн грн, або на 26,6 %. Про це повідомила начальник Головного управління ДПС у Дніпропетровській області Ганна Чуб. </w:t>
      </w:r>
    </w:p>
    <w:p w14:paraId="05BD3F4B"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Так, до державного бюджету протягом поточного року спрямовано 8 млрд 321,3 млн грн</w:t>
      </w:r>
      <w:r w:rsidRPr="005921AE">
        <w:rPr>
          <w:rFonts w:ascii="Times New Roman" w:eastAsia="Times New Roman" w:hAnsi="Times New Roman" w:cs="Times New Roman"/>
          <w:b/>
          <w:bCs/>
          <w:sz w:val="20"/>
          <w:szCs w:val="20"/>
          <w:lang w:eastAsia="uk-UA"/>
        </w:rPr>
        <w:t>,</w:t>
      </w:r>
      <w:r w:rsidRPr="005921AE">
        <w:rPr>
          <w:rFonts w:ascii="Times New Roman" w:eastAsia="Times New Roman" w:hAnsi="Times New Roman" w:cs="Times New Roman"/>
          <w:sz w:val="20"/>
          <w:szCs w:val="20"/>
          <w:lang w:eastAsia="uk-UA"/>
        </w:rPr>
        <w:t xml:space="preserve"> що на 1 млрд 538,8 млн грн (або на 22,7 %) більше надходжень відповідного періоду 2020 року. </w:t>
      </w:r>
    </w:p>
    <w:p w14:paraId="4831D0E0"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До місцевих бюджетів області від платників регіону надійшло 9 млрд 608,7 млн гривень. Це на 2 млрд 225,7 млн грн (або на 30,1 %) більше фактичних надходжень чотирьох місяців 2020 року. </w:t>
      </w:r>
    </w:p>
    <w:p w14:paraId="3A26F6CB" w14:textId="77777777" w:rsidR="005921AE" w:rsidRPr="005921AE" w:rsidRDefault="005921AE" w:rsidP="005921AE">
      <w:pPr>
        <w:spacing w:after="0" w:line="240" w:lineRule="auto"/>
        <w:jc w:val="both"/>
        <w:rPr>
          <w:rFonts w:ascii="Times New Roman" w:eastAsia="Times New Roman" w:hAnsi="Times New Roman" w:cs="Times New Roman"/>
          <w:sz w:val="20"/>
          <w:szCs w:val="20"/>
          <w:lang w:eastAsia="uk-UA"/>
        </w:rPr>
      </w:pPr>
      <w:r w:rsidRPr="005921AE">
        <w:rPr>
          <w:rFonts w:ascii="Times New Roman" w:eastAsia="Times New Roman" w:hAnsi="Times New Roman" w:cs="Times New Roman"/>
          <w:sz w:val="20"/>
          <w:szCs w:val="20"/>
          <w:lang w:eastAsia="uk-UA"/>
        </w:rPr>
        <w:t xml:space="preserve">Єдиного внеску на загальнообов’язкове державне соціальне страхування у січні - квітні 2021 року в області надійшло 6 млрд 184,3 млн грн, що перевищує минулорічні показники на 544,6 млн грн (або на 16,8 %). </w:t>
      </w:r>
    </w:p>
    <w:p w14:paraId="31388319" w14:textId="77777777" w:rsidR="005921AE" w:rsidRPr="009E05D8" w:rsidRDefault="005921AE" w:rsidP="009E05D8">
      <w:pPr>
        <w:spacing w:after="0"/>
        <w:jc w:val="both"/>
        <w:rPr>
          <w:rFonts w:ascii="Times New Roman" w:hAnsi="Times New Roman" w:cs="Times New Roman"/>
          <w:sz w:val="20"/>
          <w:szCs w:val="20"/>
        </w:rPr>
      </w:pPr>
    </w:p>
    <w:sectPr w:rsidR="005921AE" w:rsidRPr="009E05D8" w:rsidSect="009E05D8">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D8"/>
    <w:rsid w:val="00102719"/>
    <w:rsid w:val="001E0ADA"/>
    <w:rsid w:val="00570315"/>
    <w:rsid w:val="005921AE"/>
    <w:rsid w:val="00610802"/>
    <w:rsid w:val="0083638E"/>
    <w:rsid w:val="009E05D8"/>
    <w:rsid w:val="00E605B3"/>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0A54"/>
  <w15:chartTrackingRefBased/>
  <w15:docId w15:val="{3D1DF38F-D7D6-4F2F-A256-C455E2DB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E05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5D8"/>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9E05D8"/>
    <w:rPr>
      <w:color w:val="0000FF"/>
      <w:u w:val="single"/>
    </w:rPr>
  </w:style>
  <w:style w:type="paragraph" w:styleId="a4">
    <w:name w:val="Normal (Web)"/>
    <w:basedOn w:val="a"/>
    <w:uiPriority w:val="99"/>
    <w:semiHidden/>
    <w:unhideWhenUsed/>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9E05D8"/>
    <w:rPr>
      <w:i/>
      <w:iCs/>
    </w:rPr>
  </w:style>
  <w:style w:type="character" w:styleId="a6">
    <w:name w:val="Strong"/>
    <w:basedOn w:val="a0"/>
    <w:uiPriority w:val="22"/>
    <w:qFormat/>
    <w:rsid w:val="009E05D8"/>
    <w:rPr>
      <w:b/>
      <w:bCs/>
    </w:rPr>
  </w:style>
  <w:style w:type="paragraph" w:customStyle="1" w:styleId="parstyle">
    <w:name w:val="parstyle"/>
    <w:basedOn w:val="a"/>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Unresolved Mention"/>
    <w:basedOn w:val="a0"/>
    <w:uiPriority w:val="99"/>
    <w:semiHidden/>
    <w:unhideWhenUsed/>
    <w:rsid w:val="00E60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8855">
      <w:bodyDiv w:val="1"/>
      <w:marLeft w:val="0"/>
      <w:marRight w:val="0"/>
      <w:marTop w:val="0"/>
      <w:marBottom w:val="0"/>
      <w:divBdr>
        <w:top w:val="none" w:sz="0" w:space="0" w:color="auto"/>
        <w:left w:val="none" w:sz="0" w:space="0" w:color="auto"/>
        <w:bottom w:val="none" w:sz="0" w:space="0" w:color="auto"/>
        <w:right w:val="none" w:sz="0" w:space="0" w:color="auto"/>
      </w:divBdr>
      <w:divsChild>
        <w:div w:id="570971637">
          <w:marLeft w:val="0"/>
          <w:marRight w:val="0"/>
          <w:marTop w:val="0"/>
          <w:marBottom w:val="0"/>
          <w:divBdr>
            <w:top w:val="none" w:sz="0" w:space="0" w:color="auto"/>
            <w:left w:val="none" w:sz="0" w:space="0" w:color="auto"/>
            <w:bottom w:val="none" w:sz="0" w:space="0" w:color="auto"/>
            <w:right w:val="none" w:sz="0" w:space="0" w:color="auto"/>
          </w:divBdr>
          <w:divsChild>
            <w:div w:id="488523098">
              <w:marLeft w:val="0"/>
              <w:marRight w:val="0"/>
              <w:marTop w:val="0"/>
              <w:marBottom w:val="0"/>
              <w:divBdr>
                <w:top w:val="none" w:sz="0" w:space="0" w:color="auto"/>
                <w:left w:val="none" w:sz="0" w:space="0" w:color="auto"/>
                <w:bottom w:val="none" w:sz="0" w:space="0" w:color="auto"/>
                <w:right w:val="none" w:sz="0" w:space="0" w:color="auto"/>
              </w:divBdr>
            </w:div>
          </w:divsChild>
        </w:div>
        <w:div w:id="1282951610">
          <w:marLeft w:val="0"/>
          <w:marRight w:val="0"/>
          <w:marTop w:val="0"/>
          <w:marBottom w:val="0"/>
          <w:divBdr>
            <w:top w:val="none" w:sz="0" w:space="0" w:color="auto"/>
            <w:left w:val="none" w:sz="0" w:space="0" w:color="auto"/>
            <w:bottom w:val="none" w:sz="0" w:space="0" w:color="auto"/>
            <w:right w:val="none" w:sz="0" w:space="0" w:color="auto"/>
          </w:divBdr>
          <w:divsChild>
            <w:div w:id="55978876">
              <w:marLeft w:val="0"/>
              <w:marRight w:val="0"/>
              <w:marTop w:val="0"/>
              <w:marBottom w:val="0"/>
              <w:divBdr>
                <w:top w:val="none" w:sz="0" w:space="0" w:color="auto"/>
                <w:left w:val="none" w:sz="0" w:space="0" w:color="auto"/>
                <w:bottom w:val="none" w:sz="0" w:space="0" w:color="auto"/>
                <w:right w:val="none" w:sz="0" w:space="0" w:color="auto"/>
              </w:divBdr>
              <w:divsChild>
                <w:div w:id="7145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9453">
      <w:bodyDiv w:val="1"/>
      <w:marLeft w:val="0"/>
      <w:marRight w:val="0"/>
      <w:marTop w:val="0"/>
      <w:marBottom w:val="0"/>
      <w:divBdr>
        <w:top w:val="none" w:sz="0" w:space="0" w:color="auto"/>
        <w:left w:val="none" w:sz="0" w:space="0" w:color="auto"/>
        <w:bottom w:val="none" w:sz="0" w:space="0" w:color="auto"/>
        <w:right w:val="none" w:sz="0" w:space="0" w:color="auto"/>
      </w:divBdr>
      <w:divsChild>
        <w:div w:id="1505123227">
          <w:marLeft w:val="0"/>
          <w:marRight w:val="0"/>
          <w:marTop w:val="0"/>
          <w:marBottom w:val="0"/>
          <w:divBdr>
            <w:top w:val="none" w:sz="0" w:space="0" w:color="auto"/>
            <w:left w:val="none" w:sz="0" w:space="0" w:color="auto"/>
            <w:bottom w:val="none" w:sz="0" w:space="0" w:color="auto"/>
            <w:right w:val="none" w:sz="0" w:space="0" w:color="auto"/>
          </w:divBdr>
          <w:divsChild>
            <w:div w:id="1755323153">
              <w:marLeft w:val="0"/>
              <w:marRight w:val="0"/>
              <w:marTop w:val="0"/>
              <w:marBottom w:val="0"/>
              <w:divBdr>
                <w:top w:val="none" w:sz="0" w:space="0" w:color="auto"/>
                <w:left w:val="none" w:sz="0" w:space="0" w:color="auto"/>
                <w:bottom w:val="none" w:sz="0" w:space="0" w:color="auto"/>
                <w:right w:val="none" w:sz="0" w:space="0" w:color="auto"/>
              </w:divBdr>
            </w:div>
          </w:divsChild>
        </w:div>
        <w:div w:id="1026325659">
          <w:marLeft w:val="0"/>
          <w:marRight w:val="0"/>
          <w:marTop w:val="0"/>
          <w:marBottom w:val="0"/>
          <w:divBdr>
            <w:top w:val="none" w:sz="0" w:space="0" w:color="auto"/>
            <w:left w:val="none" w:sz="0" w:space="0" w:color="auto"/>
            <w:bottom w:val="none" w:sz="0" w:space="0" w:color="auto"/>
            <w:right w:val="none" w:sz="0" w:space="0" w:color="auto"/>
          </w:divBdr>
          <w:divsChild>
            <w:div w:id="215942710">
              <w:marLeft w:val="0"/>
              <w:marRight w:val="0"/>
              <w:marTop w:val="0"/>
              <w:marBottom w:val="0"/>
              <w:divBdr>
                <w:top w:val="none" w:sz="0" w:space="0" w:color="auto"/>
                <w:left w:val="none" w:sz="0" w:space="0" w:color="auto"/>
                <w:bottom w:val="none" w:sz="0" w:space="0" w:color="auto"/>
                <w:right w:val="none" w:sz="0" w:space="0" w:color="auto"/>
              </w:divBdr>
              <w:divsChild>
                <w:div w:id="17283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480">
      <w:bodyDiv w:val="1"/>
      <w:marLeft w:val="0"/>
      <w:marRight w:val="0"/>
      <w:marTop w:val="0"/>
      <w:marBottom w:val="0"/>
      <w:divBdr>
        <w:top w:val="none" w:sz="0" w:space="0" w:color="auto"/>
        <w:left w:val="none" w:sz="0" w:space="0" w:color="auto"/>
        <w:bottom w:val="none" w:sz="0" w:space="0" w:color="auto"/>
        <w:right w:val="none" w:sz="0" w:space="0" w:color="auto"/>
      </w:divBdr>
      <w:divsChild>
        <w:div w:id="843983184">
          <w:marLeft w:val="0"/>
          <w:marRight w:val="0"/>
          <w:marTop w:val="0"/>
          <w:marBottom w:val="0"/>
          <w:divBdr>
            <w:top w:val="none" w:sz="0" w:space="0" w:color="auto"/>
            <w:left w:val="none" w:sz="0" w:space="0" w:color="auto"/>
            <w:bottom w:val="none" w:sz="0" w:space="0" w:color="auto"/>
            <w:right w:val="none" w:sz="0" w:space="0" w:color="auto"/>
          </w:divBdr>
          <w:divsChild>
            <w:div w:id="748621903">
              <w:marLeft w:val="0"/>
              <w:marRight w:val="0"/>
              <w:marTop w:val="0"/>
              <w:marBottom w:val="0"/>
              <w:divBdr>
                <w:top w:val="none" w:sz="0" w:space="0" w:color="auto"/>
                <w:left w:val="none" w:sz="0" w:space="0" w:color="auto"/>
                <w:bottom w:val="none" w:sz="0" w:space="0" w:color="auto"/>
                <w:right w:val="none" w:sz="0" w:space="0" w:color="auto"/>
              </w:divBdr>
            </w:div>
          </w:divsChild>
        </w:div>
        <w:div w:id="914247018">
          <w:marLeft w:val="0"/>
          <w:marRight w:val="0"/>
          <w:marTop w:val="0"/>
          <w:marBottom w:val="0"/>
          <w:divBdr>
            <w:top w:val="none" w:sz="0" w:space="0" w:color="auto"/>
            <w:left w:val="none" w:sz="0" w:space="0" w:color="auto"/>
            <w:bottom w:val="none" w:sz="0" w:space="0" w:color="auto"/>
            <w:right w:val="none" w:sz="0" w:space="0" w:color="auto"/>
          </w:divBdr>
          <w:divsChild>
            <w:div w:id="30961446">
              <w:marLeft w:val="0"/>
              <w:marRight w:val="0"/>
              <w:marTop w:val="0"/>
              <w:marBottom w:val="0"/>
              <w:divBdr>
                <w:top w:val="none" w:sz="0" w:space="0" w:color="auto"/>
                <w:left w:val="none" w:sz="0" w:space="0" w:color="auto"/>
                <w:bottom w:val="none" w:sz="0" w:space="0" w:color="auto"/>
                <w:right w:val="none" w:sz="0" w:space="0" w:color="auto"/>
              </w:divBdr>
              <w:divsChild>
                <w:div w:id="201025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08622">
      <w:bodyDiv w:val="1"/>
      <w:marLeft w:val="0"/>
      <w:marRight w:val="0"/>
      <w:marTop w:val="0"/>
      <w:marBottom w:val="0"/>
      <w:divBdr>
        <w:top w:val="none" w:sz="0" w:space="0" w:color="auto"/>
        <w:left w:val="none" w:sz="0" w:space="0" w:color="auto"/>
        <w:bottom w:val="none" w:sz="0" w:space="0" w:color="auto"/>
        <w:right w:val="none" w:sz="0" w:space="0" w:color="auto"/>
      </w:divBdr>
      <w:divsChild>
        <w:div w:id="1933930060">
          <w:marLeft w:val="0"/>
          <w:marRight w:val="0"/>
          <w:marTop w:val="0"/>
          <w:marBottom w:val="0"/>
          <w:divBdr>
            <w:top w:val="none" w:sz="0" w:space="0" w:color="auto"/>
            <w:left w:val="none" w:sz="0" w:space="0" w:color="auto"/>
            <w:bottom w:val="none" w:sz="0" w:space="0" w:color="auto"/>
            <w:right w:val="none" w:sz="0" w:space="0" w:color="auto"/>
          </w:divBdr>
          <w:divsChild>
            <w:div w:id="521944328">
              <w:marLeft w:val="0"/>
              <w:marRight w:val="0"/>
              <w:marTop w:val="0"/>
              <w:marBottom w:val="0"/>
              <w:divBdr>
                <w:top w:val="none" w:sz="0" w:space="0" w:color="auto"/>
                <w:left w:val="none" w:sz="0" w:space="0" w:color="auto"/>
                <w:bottom w:val="none" w:sz="0" w:space="0" w:color="auto"/>
                <w:right w:val="none" w:sz="0" w:space="0" w:color="auto"/>
              </w:divBdr>
            </w:div>
          </w:divsChild>
        </w:div>
        <w:div w:id="1420062745">
          <w:marLeft w:val="0"/>
          <w:marRight w:val="0"/>
          <w:marTop w:val="0"/>
          <w:marBottom w:val="0"/>
          <w:divBdr>
            <w:top w:val="none" w:sz="0" w:space="0" w:color="auto"/>
            <w:left w:val="none" w:sz="0" w:space="0" w:color="auto"/>
            <w:bottom w:val="none" w:sz="0" w:space="0" w:color="auto"/>
            <w:right w:val="none" w:sz="0" w:space="0" w:color="auto"/>
          </w:divBdr>
          <w:divsChild>
            <w:div w:id="1862821030">
              <w:marLeft w:val="0"/>
              <w:marRight w:val="0"/>
              <w:marTop w:val="0"/>
              <w:marBottom w:val="0"/>
              <w:divBdr>
                <w:top w:val="none" w:sz="0" w:space="0" w:color="auto"/>
                <w:left w:val="none" w:sz="0" w:space="0" w:color="auto"/>
                <w:bottom w:val="none" w:sz="0" w:space="0" w:color="auto"/>
                <w:right w:val="none" w:sz="0" w:space="0" w:color="auto"/>
              </w:divBdr>
              <w:divsChild>
                <w:div w:id="2504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551739">
      <w:bodyDiv w:val="1"/>
      <w:marLeft w:val="0"/>
      <w:marRight w:val="0"/>
      <w:marTop w:val="0"/>
      <w:marBottom w:val="0"/>
      <w:divBdr>
        <w:top w:val="none" w:sz="0" w:space="0" w:color="auto"/>
        <w:left w:val="none" w:sz="0" w:space="0" w:color="auto"/>
        <w:bottom w:val="none" w:sz="0" w:space="0" w:color="auto"/>
        <w:right w:val="none" w:sz="0" w:space="0" w:color="auto"/>
      </w:divBdr>
      <w:divsChild>
        <w:div w:id="1299143714">
          <w:marLeft w:val="0"/>
          <w:marRight w:val="0"/>
          <w:marTop w:val="0"/>
          <w:marBottom w:val="0"/>
          <w:divBdr>
            <w:top w:val="none" w:sz="0" w:space="0" w:color="auto"/>
            <w:left w:val="none" w:sz="0" w:space="0" w:color="auto"/>
            <w:bottom w:val="none" w:sz="0" w:space="0" w:color="auto"/>
            <w:right w:val="none" w:sz="0" w:space="0" w:color="auto"/>
          </w:divBdr>
          <w:divsChild>
            <w:div w:id="212355046">
              <w:marLeft w:val="0"/>
              <w:marRight w:val="0"/>
              <w:marTop w:val="0"/>
              <w:marBottom w:val="0"/>
              <w:divBdr>
                <w:top w:val="none" w:sz="0" w:space="0" w:color="auto"/>
                <w:left w:val="none" w:sz="0" w:space="0" w:color="auto"/>
                <w:bottom w:val="none" w:sz="0" w:space="0" w:color="auto"/>
                <w:right w:val="none" w:sz="0" w:space="0" w:color="auto"/>
              </w:divBdr>
            </w:div>
          </w:divsChild>
        </w:div>
        <w:div w:id="1629891501">
          <w:marLeft w:val="0"/>
          <w:marRight w:val="0"/>
          <w:marTop w:val="0"/>
          <w:marBottom w:val="0"/>
          <w:divBdr>
            <w:top w:val="none" w:sz="0" w:space="0" w:color="auto"/>
            <w:left w:val="none" w:sz="0" w:space="0" w:color="auto"/>
            <w:bottom w:val="none" w:sz="0" w:space="0" w:color="auto"/>
            <w:right w:val="none" w:sz="0" w:space="0" w:color="auto"/>
          </w:divBdr>
          <w:divsChild>
            <w:div w:id="218442404">
              <w:marLeft w:val="0"/>
              <w:marRight w:val="0"/>
              <w:marTop w:val="0"/>
              <w:marBottom w:val="0"/>
              <w:divBdr>
                <w:top w:val="none" w:sz="0" w:space="0" w:color="auto"/>
                <w:left w:val="none" w:sz="0" w:space="0" w:color="auto"/>
                <w:bottom w:val="none" w:sz="0" w:space="0" w:color="auto"/>
                <w:right w:val="none" w:sz="0" w:space="0" w:color="auto"/>
              </w:divBdr>
              <w:divsChild>
                <w:div w:id="3480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62307">
      <w:bodyDiv w:val="1"/>
      <w:marLeft w:val="0"/>
      <w:marRight w:val="0"/>
      <w:marTop w:val="0"/>
      <w:marBottom w:val="0"/>
      <w:divBdr>
        <w:top w:val="none" w:sz="0" w:space="0" w:color="auto"/>
        <w:left w:val="none" w:sz="0" w:space="0" w:color="auto"/>
        <w:bottom w:val="none" w:sz="0" w:space="0" w:color="auto"/>
        <w:right w:val="none" w:sz="0" w:space="0" w:color="auto"/>
      </w:divBdr>
      <w:divsChild>
        <w:div w:id="1883323739">
          <w:marLeft w:val="0"/>
          <w:marRight w:val="0"/>
          <w:marTop w:val="0"/>
          <w:marBottom w:val="0"/>
          <w:divBdr>
            <w:top w:val="none" w:sz="0" w:space="0" w:color="auto"/>
            <w:left w:val="none" w:sz="0" w:space="0" w:color="auto"/>
            <w:bottom w:val="none" w:sz="0" w:space="0" w:color="auto"/>
            <w:right w:val="none" w:sz="0" w:space="0" w:color="auto"/>
          </w:divBdr>
          <w:divsChild>
            <w:div w:id="35205476">
              <w:marLeft w:val="0"/>
              <w:marRight w:val="0"/>
              <w:marTop w:val="0"/>
              <w:marBottom w:val="0"/>
              <w:divBdr>
                <w:top w:val="none" w:sz="0" w:space="0" w:color="auto"/>
                <w:left w:val="none" w:sz="0" w:space="0" w:color="auto"/>
                <w:bottom w:val="none" w:sz="0" w:space="0" w:color="auto"/>
                <w:right w:val="none" w:sz="0" w:space="0" w:color="auto"/>
              </w:divBdr>
            </w:div>
          </w:divsChild>
        </w:div>
        <w:div w:id="208416935">
          <w:marLeft w:val="0"/>
          <w:marRight w:val="0"/>
          <w:marTop w:val="0"/>
          <w:marBottom w:val="0"/>
          <w:divBdr>
            <w:top w:val="none" w:sz="0" w:space="0" w:color="auto"/>
            <w:left w:val="none" w:sz="0" w:space="0" w:color="auto"/>
            <w:bottom w:val="none" w:sz="0" w:space="0" w:color="auto"/>
            <w:right w:val="none" w:sz="0" w:space="0" w:color="auto"/>
          </w:divBdr>
          <w:divsChild>
            <w:div w:id="765615054">
              <w:marLeft w:val="0"/>
              <w:marRight w:val="0"/>
              <w:marTop w:val="0"/>
              <w:marBottom w:val="0"/>
              <w:divBdr>
                <w:top w:val="none" w:sz="0" w:space="0" w:color="auto"/>
                <w:left w:val="none" w:sz="0" w:space="0" w:color="auto"/>
                <w:bottom w:val="none" w:sz="0" w:space="0" w:color="auto"/>
                <w:right w:val="none" w:sz="0" w:space="0" w:color="auto"/>
              </w:divBdr>
              <w:divsChild>
                <w:div w:id="16856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534">
      <w:bodyDiv w:val="1"/>
      <w:marLeft w:val="0"/>
      <w:marRight w:val="0"/>
      <w:marTop w:val="0"/>
      <w:marBottom w:val="0"/>
      <w:divBdr>
        <w:top w:val="none" w:sz="0" w:space="0" w:color="auto"/>
        <w:left w:val="none" w:sz="0" w:space="0" w:color="auto"/>
        <w:bottom w:val="none" w:sz="0" w:space="0" w:color="auto"/>
        <w:right w:val="none" w:sz="0" w:space="0" w:color="auto"/>
      </w:divBdr>
      <w:divsChild>
        <w:div w:id="877741840">
          <w:marLeft w:val="0"/>
          <w:marRight w:val="0"/>
          <w:marTop w:val="0"/>
          <w:marBottom w:val="0"/>
          <w:divBdr>
            <w:top w:val="none" w:sz="0" w:space="0" w:color="auto"/>
            <w:left w:val="none" w:sz="0" w:space="0" w:color="auto"/>
            <w:bottom w:val="none" w:sz="0" w:space="0" w:color="auto"/>
            <w:right w:val="none" w:sz="0" w:space="0" w:color="auto"/>
          </w:divBdr>
          <w:divsChild>
            <w:div w:id="2137487213">
              <w:marLeft w:val="0"/>
              <w:marRight w:val="0"/>
              <w:marTop w:val="0"/>
              <w:marBottom w:val="0"/>
              <w:divBdr>
                <w:top w:val="none" w:sz="0" w:space="0" w:color="auto"/>
                <w:left w:val="none" w:sz="0" w:space="0" w:color="auto"/>
                <w:bottom w:val="none" w:sz="0" w:space="0" w:color="auto"/>
                <w:right w:val="none" w:sz="0" w:space="0" w:color="auto"/>
              </w:divBdr>
            </w:div>
          </w:divsChild>
        </w:div>
        <w:div w:id="659848174">
          <w:marLeft w:val="0"/>
          <w:marRight w:val="0"/>
          <w:marTop w:val="0"/>
          <w:marBottom w:val="0"/>
          <w:divBdr>
            <w:top w:val="none" w:sz="0" w:space="0" w:color="auto"/>
            <w:left w:val="none" w:sz="0" w:space="0" w:color="auto"/>
            <w:bottom w:val="none" w:sz="0" w:space="0" w:color="auto"/>
            <w:right w:val="none" w:sz="0" w:space="0" w:color="auto"/>
          </w:divBdr>
          <w:divsChild>
            <w:div w:id="1989358893">
              <w:marLeft w:val="0"/>
              <w:marRight w:val="0"/>
              <w:marTop w:val="0"/>
              <w:marBottom w:val="0"/>
              <w:divBdr>
                <w:top w:val="none" w:sz="0" w:space="0" w:color="auto"/>
                <w:left w:val="none" w:sz="0" w:space="0" w:color="auto"/>
                <w:bottom w:val="none" w:sz="0" w:space="0" w:color="auto"/>
                <w:right w:val="none" w:sz="0" w:space="0" w:color="auto"/>
              </w:divBdr>
              <w:divsChild>
                <w:div w:id="15838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5823">
      <w:bodyDiv w:val="1"/>
      <w:marLeft w:val="0"/>
      <w:marRight w:val="0"/>
      <w:marTop w:val="0"/>
      <w:marBottom w:val="0"/>
      <w:divBdr>
        <w:top w:val="none" w:sz="0" w:space="0" w:color="auto"/>
        <w:left w:val="none" w:sz="0" w:space="0" w:color="auto"/>
        <w:bottom w:val="none" w:sz="0" w:space="0" w:color="auto"/>
        <w:right w:val="none" w:sz="0" w:space="0" w:color="auto"/>
      </w:divBdr>
      <w:divsChild>
        <w:div w:id="1160272623">
          <w:marLeft w:val="0"/>
          <w:marRight w:val="0"/>
          <w:marTop w:val="0"/>
          <w:marBottom w:val="0"/>
          <w:divBdr>
            <w:top w:val="none" w:sz="0" w:space="0" w:color="auto"/>
            <w:left w:val="none" w:sz="0" w:space="0" w:color="auto"/>
            <w:bottom w:val="none" w:sz="0" w:space="0" w:color="auto"/>
            <w:right w:val="none" w:sz="0" w:space="0" w:color="auto"/>
          </w:divBdr>
          <w:divsChild>
            <w:div w:id="1403327885">
              <w:marLeft w:val="0"/>
              <w:marRight w:val="0"/>
              <w:marTop w:val="0"/>
              <w:marBottom w:val="0"/>
              <w:divBdr>
                <w:top w:val="none" w:sz="0" w:space="0" w:color="auto"/>
                <w:left w:val="none" w:sz="0" w:space="0" w:color="auto"/>
                <w:bottom w:val="none" w:sz="0" w:space="0" w:color="auto"/>
                <w:right w:val="none" w:sz="0" w:space="0" w:color="auto"/>
              </w:divBdr>
            </w:div>
          </w:divsChild>
        </w:div>
        <w:div w:id="1980305046">
          <w:marLeft w:val="0"/>
          <w:marRight w:val="0"/>
          <w:marTop w:val="0"/>
          <w:marBottom w:val="0"/>
          <w:divBdr>
            <w:top w:val="none" w:sz="0" w:space="0" w:color="auto"/>
            <w:left w:val="none" w:sz="0" w:space="0" w:color="auto"/>
            <w:bottom w:val="none" w:sz="0" w:space="0" w:color="auto"/>
            <w:right w:val="none" w:sz="0" w:space="0" w:color="auto"/>
          </w:divBdr>
          <w:divsChild>
            <w:div w:id="393359833">
              <w:marLeft w:val="0"/>
              <w:marRight w:val="0"/>
              <w:marTop w:val="0"/>
              <w:marBottom w:val="0"/>
              <w:divBdr>
                <w:top w:val="none" w:sz="0" w:space="0" w:color="auto"/>
                <w:left w:val="none" w:sz="0" w:space="0" w:color="auto"/>
                <w:bottom w:val="none" w:sz="0" w:space="0" w:color="auto"/>
                <w:right w:val="none" w:sz="0" w:space="0" w:color="auto"/>
              </w:divBdr>
              <w:divsChild>
                <w:div w:id="570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2176">
      <w:bodyDiv w:val="1"/>
      <w:marLeft w:val="0"/>
      <w:marRight w:val="0"/>
      <w:marTop w:val="0"/>
      <w:marBottom w:val="0"/>
      <w:divBdr>
        <w:top w:val="none" w:sz="0" w:space="0" w:color="auto"/>
        <w:left w:val="none" w:sz="0" w:space="0" w:color="auto"/>
        <w:bottom w:val="none" w:sz="0" w:space="0" w:color="auto"/>
        <w:right w:val="none" w:sz="0" w:space="0" w:color="auto"/>
      </w:divBdr>
      <w:divsChild>
        <w:div w:id="1482430785">
          <w:marLeft w:val="0"/>
          <w:marRight w:val="0"/>
          <w:marTop w:val="0"/>
          <w:marBottom w:val="0"/>
          <w:divBdr>
            <w:top w:val="none" w:sz="0" w:space="0" w:color="auto"/>
            <w:left w:val="none" w:sz="0" w:space="0" w:color="auto"/>
            <w:bottom w:val="none" w:sz="0" w:space="0" w:color="auto"/>
            <w:right w:val="none" w:sz="0" w:space="0" w:color="auto"/>
          </w:divBdr>
          <w:divsChild>
            <w:div w:id="248470143">
              <w:marLeft w:val="0"/>
              <w:marRight w:val="0"/>
              <w:marTop w:val="0"/>
              <w:marBottom w:val="0"/>
              <w:divBdr>
                <w:top w:val="none" w:sz="0" w:space="0" w:color="auto"/>
                <w:left w:val="none" w:sz="0" w:space="0" w:color="auto"/>
                <w:bottom w:val="none" w:sz="0" w:space="0" w:color="auto"/>
                <w:right w:val="none" w:sz="0" w:space="0" w:color="auto"/>
              </w:divBdr>
            </w:div>
          </w:divsChild>
        </w:div>
        <w:div w:id="884099194">
          <w:marLeft w:val="0"/>
          <w:marRight w:val="0"/>
          <w:marTop w:val="0"/>
          <w:marBottom w:val="0"/>
          <w:divBdr>
            <w:top w:val="none" w:sz="0" w:space="0" w:color="auto"/>
            <w:left w:val="none" w:sz="0" w:space="0" w:color="auto"/>
            <w:bottom w:val="none" w:sz="0" w:space="0" w:color="auto"/>
            <w:right w:val="none" w:sz="0" w:space="0" w:color="auto"/>
          </w:divBdr>
          <w:divsChild>
            <w:div w:id="36242654">
              <w:marLeft w:val="0"/>
              <w:marRight w:val="0"/>
              <w:marTop w:val="0"/>
              <w:marBottom w:val="0"/>
              <w:divBdr>
                <w:top w:val="none" w:sz="0" w:space="0" w:color="auto"/>
                <w:left w:val="none" w:sz="0" w:space="0" w:color="auto"/>
                <w:bottom w:val="none" w:sz="0" w:space="0" w:color="auto"/>
                <w:right w:val="none" w:sz="0" w:space="0" w:color="auto"/>
              </w:divBdr>
              <w:divsChild>
                <w:div w:id="19170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0170">
      <w:bodyDiv w:val="1"/>
      <w:marLeft w:val="0"/>
      <w:marRight w:val="0"/>
      <w:marTop w:val="0"/>
      <w:marBottom w:val="0"/>
      <w:divBdr>
        <w:top w:val="none" w:sz="0" w:space="0" w:color="auto"/>
        <w:left w:val="none" w:sz="0" w:space="0" w:color="auto"/>
        <w:bottom w:val="none" w:sz="0" w:space="0" w:color="auto"/>
        <w:right w:val="none" w:sz="0" w:space="0" w:color="auto"/>
      </w:divBdr>
      <w:divsChild>
        <w:div w:id="490829236">
          <w:marLeft w:val="0"/>
          <w:marRight w:val="0"/>
          <w:marTop w:val="0"/>
          <w:marBottom w:val="0"/>
          <w:divBdr>
            <w:top w:val="none" w:sz="0" w:space="0" w:color="auto"/>
            <w:left w:val="none" w:sz="0" w:space="0" w:color="auto"/>
            <w:bottom w:val="none" w:sz="0" w:space="0" w:color="auto"/>
            <w:right w:val="none" w:sz="0" w:space="0" w:color="auto"/>
          </w:divBdr>
          <w:divsChild>
            <w:div w:id="841316438">
              <w:marLeft w:val="0"/>
              <w:marRight w:val="0"/>
              <w:marTop w:val="0"/>
              <w:marBottom w:val="0"/>
              <w:divBdr>
                <w:top w:val="none" w:sz="0" w:space="0" w:color="auto"/>
                <w:left w:val="none" w:sz="0" w:space="0" w:color="auto"/>
                <w:bottom w:val="none" w:sz="0" w:space="0" w:color="auto"/>
                <w:right w:val="none" w:sz="0" w:space="0" w:color="auto"/>
              </w:divBdr>
            </w:div>
          </w:divsChild>
        </w:div>
        <w:div w:id="1912813706">
          <w:marLeft w:val="0"/>
          <w:marRight w:val="0"/>
          <w:marTop w:val="0"/>
          <w:marBottom w:val="0"/>
          <w:divBdr>
            <w:top w:val="none" w:sz="0" w:space="0" w:color="auto"/>
            <w:left w:val="none" w:sz="0" w:space="0" w:color="auto"/>
            <w:bottom w:val="none" w:sz="0" w:space="0" w:color="auto"/>
            <w:right w:val="none" w:sz="0" w:space="0" w:color="auto"/>
          </w:divBdr>
          <w:divsChild>
            <w:div w:id="2061594291">
              <w:marLeft w:val="0"/>
              <w:marRight w:val="0"/>
              <w:marTop w:val="0"/>
              <w:marBottom w:val="0"/>
              <w:divBdr>
                <w:top w:val="none" w:sz="0" w:space="0" w:color="auto"/>
                <w:left w:val="none" w:sz="0" w:space="0" w:color="auto"/>
                <w:bottom w:val="none" w:sz="0" w:space="0" w:color="auto"/>
                <w:right w:val="none" w:sz="0" w:space="0" w:color="auto"/>
              </w:divBdr>
              <w:divsChild>
                <w:div w:id="6737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08807">
      <w:bodyDiv w:val="1"/>
      <w:marLeft w:val="0"/>
      <w:marRight w:val="0"/>
      <w:marTop w:val="0"/>
      <w:marBottom w:val="0"/>
      <w:divBdr>
        <w:top w:val="none" w:sz="0" w:space="0" w:color="auto"/>
        <w:left w:val="none" w:sz="0" w:space="0" w:color="auto"/>
        <w:bottom w:val="none" w:sz="0" w:space="0" w:color="auto"/>
        <w:right w:val="none" w:sz="0" w:space="0" w:color="auto"/>
      </w:divBdr>
      <w:divsChild>
        <w:div w:id="1913277456">
          <w:marLeft w:val="0"/>
          <w:marRight w:val="0"/>
          <w:marTop w:val="0"/>
          <w:marBottom w:val="0"/>
          <w:divBdr>
            <w:top w:val="none" w:sz="0" w:space="0" w:color="auto"/>
            <w:left w:val="none" w:sz="0" w:space="0" w:color="auto"/>
            <w:bottom w:val="none" w:sz="0" w:space="0" w:color="auto"/>
            <w:right w:val="none" w:sz="0" w:space="0" w:color="auto"/>
          </w:divBdr>
          <w:divsChild>
            <w:div w:id="1997297826">
              <w:marLeft w:val="0"/>
              <w:marRight w:val="0"/>
              <w:marTop w:val="0"/>
              <w:marBottom w:val="0"/>
              <w:divBdr>
                <w:top w:val="none" w:sz="0" w:space="0" w:color="auto"/>
                <w:left w:val="none" w:sz="0" w:space="0" w:color="auto"/>
                <w:bottom w:val="none" w:sz="0" w:space="0" w:color="auto"/>
                <w:right w:val="none" w:sz="0" w:space="0" w:color="auto"/>
              </w:divBdr>
            </w:div>
          </w:divsChild>
        </w:div>
        <w:div w:id="1882934231">
          <w:marLeft w:val="0"/>
          <w:marRight w:val="0"/>
          <w:marTop w:val="0"/>
          <w:marBottom w:val="0"/>
          <w:divBdr>
            <w:top w:val="none" w:sz="0" w:space="0" w:color="auto"/>
            <w:left w:val="none" w:sz="0" w:space="0" w:color="auto"/>
            <w:bottom w:val="none" w:sz="0" w:space="0" w:color="auto"/>
            <w:right w:val="none" w:sz="0" w:space="0" w:color="auto"/>
          </w:divBdr>
          <w:divsChild>
            <w:div w:id="1894928509">
              <w:marLeft w:val="0"/>
              <w:marRight w:val="0"/>
              <w:marTop w:val="0"/>
              <w:marBottom w:val="0"/>
              <w:divBdr>
                <w:top w:val="none" w:sz="0" w:space="0" w:color="auto"/>
                <w:left w:val="none" w:sz="0" w:space="0" w:color="auto"/>
                <w:bottom w:val="none" w:sz="0" w:space="0" w:color="auto"/>
                <w:right w:val="none" w:sz="0" w:space="0" w:color="auto"/>
              </w:divBdr>
              <w:divsChild>
                <w:div w:id="7907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43559">
      <w:bodyDiv w:val="1"/>
      <w:marLeft w:val="0"/>
      <w:marRight w:val="0"/>
      <w:marTop w:val="0"/>
      <w:marBottom w:val="0"/>
      <w:divBdr>
        <w:top w:val="none" w:sz="0" w:space="0" w:color="auto"/>
        <w:left w:val="none" w:sz="0" w:space="0" w:color="auto"/>
        <w:bottom w:val="none" w:sz="0" w:space="0" w:color="auto"/>
        <w:right w:val="none" w:sz="0" w:space="0" w:color="auto"/>
      </w:divBdr>
      <w:divsChild>
        <w:div w:id="811097847">
          <w:marLeft w:val="0"/>
          <w:marRight w:val="0"/>
          <w:marTop w:val="0"/>
          <w:marBottom w:val="0"/>
          <w:divBdr>
            <w:top w:val="none" w:sz="0" w:space="0" w:color="auto"/>
            <w:left w:val="none" w:sz="0" w:space="0" w:color="auto"/>
            <w:bottom w:val="none" w:sz="0" w:space="0" w:color="auto"/>
            <w:right w:val="none" w:sz="0" w:space="0" w:color="auto"/>
          </w:divBdr>
          <w:divsChild>
            <w:div w:id="1193768109">
              <w:marLeft w:val="0"/>
              <w:marRight w:val="0"/>
              <w:marTop w:val="0"/>
              <w:marBottom w:val="0"/>
              <w:divBdr>
                <w:top w:val="none" w:sz="0" w:space="0" w:color="auto"/>
                <w:left w:val="none" w:sz="0" w:space="0" w:color="auto"/>
                <w:bottom w:val="none" w:sz="0" w:space="0" w:color="auto"/>
                <w:right w:val="none" w:sz="0" w:space="0" w:color="auto"/>
              </w:divBdr>
            </w:div>
          </w:divsChild>
        </w:div>
        <w:div w:id="2136176069">
          <w:marLeft w:val="0"/>
          <w:marRight w:val="0"/>
          <w:marTop w:val="0"/>
          <w:marBottom w:val="0"/>
          <w:divBdr>
            <w:top w:val="none" w:sz="0" w:space="0" w:color="auto"/>
            <w:left w:val="none" w:sz="0" w:space="0" w:color="auto"/>
            <w:bottom w:val="none" w:sz="0" w:space="0" w:color="auto"/>
            <w:right w:val="none" w:sz="0" w:space="0" w:color="auto"/>
          </w:divBdr>
          <w:divsChild>
            <w:div w:id="1292861422">
              <w:marLeft w:val="0"/>
              <w:marRight w:val="0"/>
              <w:marTop w:val="0"/>
              <w:marBottom w:val="0"/>
              <w:divBdr>
                <w:top w:val="none" w:sz="0" w:space="0" w:color="auto"/>
                <w:left w:val="none" w:sz="0" w:space="0" w:color="auto"/>
                <w:bottom w:val="none" w:sz="0" w:space="0" w:color="auto"/>
                <w:right w:val="none" w:sz="0" w:space="0" w:color="auto"/>
              </w:divBdr>
              <w:divsChild>
                <w:div w:id="15163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57889">
      <w:bodyDiv w:val="1"/>
      <w:marLeft w:val="0"/>
      <w:marRight w:val="0"/>
      <w:marTop w:val="0"/>
      <w:marBottom w:val="0"/>
      <w:divBdr>
        <w:top w:val="none" w:sz="0" w:space="0" w:color="auto"/>
        <w:left w:val="none" w:sz="0" w:space="0" w:color="auto"/>
        <w:bottom w:val="none" w:sz="0" w:space="0" w:color="auto"/>
        <w:right w:val="none" w:sz="0" w:space="0" w:color="auto"/>
      </w:divBdr>
      <w:divsChild>
        <w:div w:id="211814312">
          <w:marLeft w:val="0"/>
          <w:marRight w:val="0"/>
          <w:marTop w:val="0"/>
          <w:marBottom w:val="0"/>
          <w:divBdr>
            <w:top w:val="none" w:sz="0" w:space="0" w:color="auto"/>
            <w:left w:val="none" w:sz="0" w:space="0" w:color="auto"/>
            <w:bottom w:val="none" w:sz="0" w:space="0" w:color="auto"/>
            <w:right w:val="none" w:sz="0" w:space="0" w:color="auto"/>
          </w:divBdr>
          <w:divsChild>
            <w:div w:id="872038071">
              <w:marLeft w:val="0"/>
              <w:marRight w:val="0"/>
              <w:marTop w:val="0"/>
              <w:marBottom w:val="0"/>
              <w:divBdr>
                <w:top w:val="none" w:sz="0" w:space="0" w:color="auto"/>
                <w:left w:val="none" w:sz="0" w:space="0" w:color="auto"/>
                <w:bottom w:val="none" w:sz="0" w:space="0" w:color="auto"/>
                <w:right w:val="none" w:sz="0" w:space="0" w:color="auto"/>
              </w:divBdr>
            </w:div>
          </w:divsChild>
        </w:div>
        <w:div w:id="492792494">
          <w:marLeft w:val="0"/>
          <w:marRight w:val="0"/>
          <w:marTop w:val="0"/>
          <w:marBottom w:val="0"/>
          <w:divBdr>
            <w:top w:val="none" w:sz="0" w:space="0" w:color="auto"/>
            <w:left w:val="none" w:sz="0" w:space="0" w:color="auto"/>
            <w:bottom w:val="none" w:sz="0" w:space="0" w:color="auto"/>
            <w:right w:val="none" w:sz="0" w:space="0" w:color="auto"/>
          </w:divBdr>
          <w:divsChild>
            <w:div w:id="153420587">
              <w:marLeft w:val="0"/>
              <w:marRight w:val="0"/>
              <w:marTop w:val="0"/>
              <w:marBottom w:val="0"/>
              <w:divBdr>
                <w:top w:val="none" w:sz="0" w:space="0" w:color="auto"/>
                <w:left w:val="none" w:sz="0" w:space="0" w:color="auto"/>
                <w:bottom w:val="none" w:sz="0" w:space="0" w:color="auto"/>
                <w:right w:val="none" w:sz="0" w:space="0" w:color="auto"/>
              </w:divBdr>
              <w:divsChild>
                <w:div w:id="10928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19820">
      <w:bodyDiv w:val="1"/>
      <w:marLeft w:val="0"/>
      <w:marRight w:val="0"/>
      <w:marTop w:val="0"/>
      <w:marBottom w:val="0"/>
      <w:divBdr>
        <w:top w:val="none" w:sz="0" w:space="0" w:color="auto"/>
        <w:left w:val="none" w:sz="0" w:space="0" w:color="auto"/>
        <w:bottom w:val="none" w:sz="0" w:space="0" w:color="auto"/>
        <w:right w:val="none" w:sz="0" w:space="0" w:color="auto"/>
      </w:divBdr>
      <w:divsChild>
        <w:div w:id="2022202349">
          <w:marLeft w:val="0"/>
          <w:marRight w:val="0"/>
          <w:marTop w:val="0"/>
          <w:marBottom w:val="0"/>
          <w:divBdr>
            <w:top w:val="none" w:sz="0" w:space="0" w:color="auto"/>
            <w:left w:val="none" w:sz="0" w:space="0" w:color="auto"/>
            <w:bottom w:val="none" w:sz="0" w:space="0" w:color="auto"/>
            <w:right w:val="none" w:sz="0" w:space="0" w:color="auto"/>
          </w:divBdr>
          <w:divsChild>
            <w:div w:id="1008950388">
              <w:marLeft w:val="0"/>
              <w:marRight w:val="0"/>
              <w:marTop w:val="0"/>
              <w:marBottom w:val="0"/>
              <w:divBdr>
                <w:top w:val="none" w:sz="0" w:space="0" w:color="auto"/>
                <w:left w:val="none" w:sz="0" w:space="0" w:color="auto"/>
                <w:bottom w:val="none" w:sz="0" w:space="0" w:color="auto"/>
                <w:right w:val="none" w:sz="0" w:space="0" w:color="auto"/>
              </w:divBdr>
            </w:div>
          </w:divsChild>
        </w:div>
        <w:div w:id="994797169">
          <w:marLeft w:val="0"/>
          <w:marRight w:val="0"/>
          <w:marTop w:val="0"/>
          <w:marBottom w:val="0"/>
          <w:divBdr>
            <w:top w:val="none" w:sz="0" w:space="0" w:color="auto"/>
            <w:left w:val="none" w:sz="0" w:space="0" w:color="auto"/>
            <w:bottom w:val="none" w:sz="0" w:space="0" w:color="auto"/>
            <w:right w:val="none" w:sz="0" w:space="0" w:color="auto"/>
          </w:divBdr>
          <w:divsChild>
            <w:div w:id="288977069">
              <w:marLeft w:val="0"/>
              <w:marRight w:val="0"/>
              <w:marTop w:val="0"/>
              <w:marBottom w:val="0"/>
              <w:divBdr>
                <w:top w:val="none" w:sz="0" w:space="0" w:color="auto"/>
                <w:left w:val="none" w:sz="0" w:space="0" w:color="auto"/>
                <w:bottom w:val="none" w:sz="0" w:space="0" w:color="auto"/>
                <w:right w:val="none" w:sz="0" w:space="0" w:color="auto"/>
              </w:divBdr>
              <w:divsChild>
                <w:div w:id="10405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388174">
      <w:bodyDiv w:val="1"/>
      <w:marLeft w:val="0"/>
      <w:marRight w:val="0"/>
      <w:marTop w:val="0"/>
      <w:marBottom w:val="0"/>
      <w:divBdr>
        <w:top w:val="none" w:sz="0" w:space="0" w:color="auto"/>
        <w:left w:val="none" w:sz="0" w:space="0" w:color="auto"/>
        <w:bottom w:val="none" w:sz="0" w:space="0" w:color="auto"/>
        <w:right w:val="none" w:sz="0" w:space="0" w:color="auto"/>
      </w:divBdr>
      <w:divsChild>
        <w:div w:id="253054745">
          <w:marLeft w:val="0"/>
          <w:marRight w:val="0"/>
          <w:marTop w:val="0"/>
          <w:marBottom w:val="0"/>
          <w:divBdr>
            <w:top w:val="none" w:sz="0" w:space="0" w:color="auto"/>
            <w:left w:val="none" w:sz="0" w:space="0" w:color="auto"/>
            <w:bottom w:val="none" w:sz="0" w:space="0" w:color="auto"/>
            <w:right w:val="none" w:sz="0" w:space="0" w:color="auto"/>
          </w:divBdr>
          <w:divsChild>
            <w:div w:id="770470887">
              <w:marLeft w:val="0"/>
              <w:marRight w:val="0"/>
              <w:marTop w:val="0"/>
              <w:marBottom w:val="0"/>
              <w:divBdr>
                <w:top w:val="none" w:sz="0" w:space="0" w:color="auto"/>
                <w:left w:val="none" w:sz="0" w:space="0" w:color="auto"/>
                <w:bottom w:val="none" w:sz="0" w:space="0" w:color="auto"/>
                <w:right w:val="none" w:sz="0" w:space="0" w:color="auto"/>
              </w:divBdr>
            </w:div>
          </w:divsChild>
        </w:div>
        <w:div w:id="1633513875">
          <w:marLeft w:val="0"/>
          <w:marRight w:val="0"/>
          <w:marTop w:val="0"/>
          <w:marBottom w:val="0"/>
          <w:divBdr>
            <w:top w:val="none" w:sz="0" w:space="0" w:color="auto"/>
            <w:left w:val="none" w:sz="0" w:space="0" w:color="auto"/>
            <w:bottom w:val="none" w:sz="0" w:space="0" w:color="auto"/>
            <w:right w:val="none" w:sz="0" w:space="0" w:color="auto"/>
          </w:divBdr>
          <w:divsChild>
            <w:div w:id="93595133">
              <w:marLeft w:val="0"/>
              <w:marRight w:val="0"/>
              <w:marTop w:val="0"/>
              <w:marBottom w:val="0"/>
              <w:divBdr>
                <w:top w:val="none" w:sz="0" w:space="0" w:color="auto"/>
                <w:left w:val="none" w:sz="0" w:space="0" w:color="auto"/>
                <w:bottom w:val="none" w:sz="0" w:space="0" w:color="auto"/>
                <w:right w:val="none" w:sz="0" w:space="0" w:color="auto"/>
              </w:divBdr>
              <w:divsChild>
                <w:div w:id="38360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4313">
      <w:bodyDiv w:val="1"/>
      <w:marLeft w:val="0"/>
      <w:marRight w:val="0"/>
      <w:marTop w:val="0"/>
      <w:marBottom w:val="0"/>
      <w:divBdr>
        <w:top w:val="none" w:sz="0" w:space="0" w:color="auto"/>
        <w:left w:val="none" w:sz="0" w:space="0" w:color="auto"/>
        <w:bottom w:val="none" w:sz="0" w:space="0" w:color="auto"/>
        <w:right w:val="none" w:sz="0" w:space="0" w:color="auto"/>
      </w:divBdr>
      <w:divsChild>
        <w:div w:id="1201943443">
          <w:marLeft w:val="0"/>
          <w:marRight w:val="0"/>
          <w:marTop w:val="0"/>
          <w:marBottom w:val="0"/>
          <w:divBdr>
            <w:top w:val="none" w:sz="0" w:space="0" w:color="auto"/>
            <w:left w:val="none" w:sz="0" w:space="0" w:color="auto"/>
            <w:bottom w:val="none" w:sz="0" w:space="0" w:color="auto"/>
            <w:right w:val="none" w:sz="0" w:space="0" w:color="auto"/>
          </w:divBdr>
          <w:divsChild>
            <w:div w:id="1900894109">
              <w:marLeft w:val="0"/>
              <w:marRight w:val="0"/>
              <w:marTop w:val="0"/>
              <w:marBottom w:val="0"/>
              <w:divBdr>
                <w:top w:val="none" w:sz="0" w:space="0" w:color="auto"/>
                <w:left w:val="none" w:sz="0" w:space="0" w:color="auto"/>
                <w:bottom w:val="none" w:sz="0" w:space="0" w:color="auto"/>
                <w:right w:val="none" w:sz="0" w:space="0" w:color="auto"/>
              </w:divBdr>
            </w:div>
          </w:divsChild>
        </w:div>
        <w:div w:id="919876149">
          <w:marLeft w:val="0"/>
          <w:marRight w:val="0"/>
          <w:marTop w:val="0"/>
          <w:marBottom w:val="0"/>
          <w:divBdr>
            <w:top w:val="none" w:sz="0" w:space="0" w:color="auto"/>
            <w:left w:val="none" w:sz="0" w:space="0" w:color="auto"/>
            <w:bottom w:val="none" w:sz="0" w:space="0" w:color="auto"/>
            <w:right w:val="none" w:sz="0" w:space="0" w:color="auto"/>
          </w:divBdr>
          <w:divsChild>
            <w:div w:id="67650679">
              <w:marLeft w:val="0"/>
              <w:marRight w:val="0"/>
              <w:marTop w:val="0"/>
              <w:marBottom w:val="0"/>
              <w:divBdr>
                <w:top w:val="none" w:sz="0" w:space="0" w:color="auto"/>
                <w:left w:val="none" w:sz="0" w:space="0" w:color="auto"/>
                <w:bottom w:val="none" w:sz="0" w:space="0" w:color="auto"/>
                <w:right w:val="none" w:sz="0" w:space="0" w:color="auto"/>
              </w:divBdr>
              <w:divsChild>
                <w:div w:id="6095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264486">
      <w:bodyDiv w:val="1"/>
      <w:marLeft w:val="0"/>
      <w:marRight w:val="0"/>
      <w:marTop w:val="0"/>
      <w:marBottom w:val="0"/>
      <w:divBdr>
        <w:top w:val="none" w:sz="0" w:space="0" w:color="auto"/>
        <w:left w:val="none" w:sz="0" w:space="0" w:color="auto"/>
        <w:bottom w:val="none" w:sz="0" w:space="0" w:color="auto"/>
        <w:right w:val="none" w:sz="0" w:space="0" w:color="auto"/>
      </w:divBdr>
      <w:divsChild>
        <w:div w:id="1184713053">
          <w:marLeft w:val="0"/>
          <w:marRight w:val="0"/>
          <w:marTop w:val="0"/>
          <w:marBottom w:val="0"/>
          <w:divBdr>
            <w:top w:val="none" w:sz="0" w:space="0" w:color="auto"/>
            <w:left w:val="none" w:sz="0" w:space="0" w:color="auto"/>
            <w:bottom w:val="none" w:sz="0" w:space="0" w:color="auto"/>
            <w:right w:val="none" w:sz="0" w:space="0" w:color="auto"/>
          </w:divBdr>
          <w:divsChild>
            <w:div w:id="714428427">
              <w:marLeft w:val="0"/>
              <w:marRight w:val="0"/>
              <w:marTop w:val="0"/>
              <w:marBottom w:val="0"/>
              <w:divBdr>
                <w:top w:val="none" w:sz="0" w:space="0" w:color="auto"/>
                <w:left w:val="none" w:sz="0" w:space="0" w:color="auto"/>
                <w:bottom w:val="none" w:sz="0" w:space="0" w:color="auto"/>
                <w:right w:val="none" w:sz="0" w:space="0" w:color="auto"/>
              </w:divBdr>
            </w:div>
          </w:divsChild>
        </w:div>
        <w:div w:id="167332027">
          <w:marLeft w:val="0"/>
          <w:marRight w:val="0"/>
          <w:marTop w:val="0"/>
          <w:marBottom w:val="0"/>
          <w:divBdr>
            <w:top w:val="none" w:sz="0" w:space="0" w:color="auto"/>
            <w:left w:val="none" w:sz="0" w:space="0" w:color="auto"/>
            <w:bottom w:val="none" w:sz="0" w:space="0" w:color="auto"/>
            <w:right w:val="none" w:sz="0" w:space="0" w:color="auto"/>
          </w:divBdr>
          <w:divsChild>
            <w:div w:id="1412501555">
              <w:marLeft w:val="0"/>
              <w:marRight w:val="0"/>
              <w:marTop w:val="0"/>
              <w:marBottom w:val="0"/>
              <w:divBdr>
                <w:top w:val="none" w:sz="0" w:space="0" w:color="auto"/>
                <w:left w:val="none" w:sz="0" w:space="0" w:color="auto"/>
                <w:bottom w:val="none" w:sz="0" w:space="0" w:color="auto"/>
                <w:right w:val="none" w:sz="0" w:space="0" w:color="auto"/>
              </w:divBdr>
              <w:divsChild>
                <w:div w:id="4551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88282">
      <w:bodyDiv w:val="1"/>
      <w:marLeft w:val="0"/>
      <w:marRight w:val="0"/>
      <w:marTop w:val="0"/>
      <w:marBottom w:val="0"/>
      <w:divBdr>
        <w:top w:val="none" w:sz="0" w:space="0" w:color="auto"/>
        <w:left w:val="none" w:sz="0" w:space="0" w:color="auto"/>
        <w:bottom w:val="none" w:sz="0" w:space="0" w:color="auto"/>
        <w:right w:val="none" w:sz="0" w:space="0" w:color="auto"/>
      </w:divBdr>
      <w:divsChild>
        <w:div w:id="173227174">
          <w:marLeft w:val="0"/>
          <w:marRight w:val="0"/>
          <w:marTop w:val="0"/>
          <w:marBottom w:val="0"/>
          <w:divBdr>
            <w:top w:val="none" w:sz="0" w:space="0" w:color="auto"/>
            <w:left w:val="none" w:sz="0" w:space="0" w:color="auto"/>
            <w:bottom w:val="none" w:sz="0" w:space="0" w:color="auto"/>
            <w:right w:val="none" w:sz="0" w:space="0" w:color="auto"/>
          </w:divBdr>
          <w:divsChild>
            <w:div w:id="1346126906">
              <w:marLeft w:val="0"/>
              <w:marRight w:val="0"/>
              <w:marTop w:val="0"/>
              <w:marBottom w:val="0"/>
              <w:divBdr>
                <w:top w:val="none" w:sz="0" w:space="0" w:color="auto"/>
                <w:left w:val="none" w:sz="0" w:space="0" w:color="auto"/>
                <w:bottom w:val="none" w:sz="0" w:space="0" w:color="auto"/>
                <w:right w:val="none" w:sz="0" w:space="0" w:color="auto"/>
              </w:divBdr>
            </w:div>
          </w:divsChild>
        </w:div>
        <w:div w:id="777682401">
          <w:marLeft w:val="0"/>
          <w:marRight w:val="0"/>
          <w:marTop w:val="0"/>
          <w:marBottom w:val="0"/>
          <w:divBdr>
            <w:top w:val="none" w:sz="0" w:space="0" w:color="auto"/>
            <w:left w:val="none" w:sz="0" w:space="0" w:color="auto"/>
            <w:bottom w:val="none" w:sz="0" w:space="0" w:color="auto"/>
            <w:right w:val="none" w:sz="0" w:space="0" w:color="auto"/>
          </w:divBdr>
          <w:divsChild>
            <w:div w:id="1326317769">
              <w:marLeft w:val="0"/>
              <w:marRight w:val="0"/>
              <w:marTop w:val="0"/>
              <w:marBottom w:val="0"/>
              <w:divBdr>
                <w:top w:val="none" w:sz="0" w:space="0" w:color="auto"/>
                <w:left w:val="none" w:sz="0" w:space="0" w:color="auto"/>
                <w:bottom w:val="none" w:sz="0" w:space="0" w:color="auto"/>
                <w:right w:val="none" w:sz="0" w:space="0" w:color="auto"/>
              </w:divBdr>
              <w:divsChild>
                <w:div w:id="11926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363474">
      <w:bodyDiv w:val="1"/>
      <w:marLeft w:val="0"/>
      <w:marRight w:val="0"/>
      <w:marTop w:val="0"/>
      <w:marBottom w:val="0"/>
      <w:divBdr>
        <w:top w:val="none" w:sz="0" w:space="0" w:color="auto"/>
        <w:left w:val="none" w:sz="0" w:space="0" w:color="auto"/>
        <w:bottom w:val="none" w:sz="0" w:space="0" w:color="auto"/>
        <w:right w:val="none" w:sz="0" w:space="0" w:color="auto"/>
      </w:divBdr>
      <w:divsChild>
        <w:div w:id="952132317">
          <w:marLeft w:val="0"/>
          <w:marRight w:val="0"/>
          <w:marTop w:val="0"/>
          <w:marBottom w:val="0"/>
          <w:divBdr>
            <w:top w:val="none" w:sz="0" w:space="0" w:color="auto"/>
            <w:left w:val="none" w:sz="0" w:space="0" w:color="auto"/>
            <w:bottom w:val="none" w:sz="0" w:space="0" w:color="auto"/>
            <w:right w:val="none" w:sz="0" w:space="0" w:color="auto"/>
          </w:divBdr>
          <w:divsChild>
            <w:div w:id="2005470057">
              <w:marLeft w:val="0"/>
              <w:marRight w:val="0"/>
              <w:marTop w:val="0"/>
              <w:marBottom w:val="0"/>
              <w:divBdr>
                <w:top w:val="none" w:sz="0" w:space="0" w:color="auto"/>
                <w:left w:val="none" w:sz="0" w:space="0" w:color="auto"/>
                <w:bottom w:val="none" w:sz="0" w:space="0" w:color="auto"/>
                <w:right w:val="none" w:sz="0" w:space="0" w:color="auto"/>
              </w:divBdr>
            </w:div>
          </w:divsChild>
        </w:div>
        <w:div w:id="355228937">
          <w:marLeft w:val="0"/>
          <w:marRight w:val="0"/>
          <w:marTop w:val="0"/>
          <w:marBottom w:val="0"/>
          <w:divBdr>
            <w:top w:val="none" w:sz="0" w:space="0" w:color="auto"/>
            <w:left w:val="none" w:sz="0" w:space="0" w:color="auto"/>
            <w:bottom w:val="none" w:sz="0" w:space="0" w:color="auto"/>
            <w:right w:val="none" w:sz="0" w:space="0" w:color="auto"/>
          </w:divBdr>
          <w:divsChild>
            <w:div w:id="1939175263">
              <w:marLeft w:val="0"/>
              <w:marRight w:val="0"/>
              <w:marTop w:val="0"/>
              <w:marBottom w:val="0"/>
              <w:divBdr>
                <w:top w:val="none" w:sz="0" w:space="0" w:color="auto"/>
                <w:left w:val="none" w:sz="0" w:space="0" w:color="auto"/>
                <w:bottom w:val="none" w:sz="0" w:space="0" w:color="auto"/>
                <w:right w:val="none" w:sz="0" w:space="0" w:color="auto"/>
              </w:divBdr>
              <w:divsChild>
                <w:div w:id="14129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50360">
      <w:bodyDiv w:val="1"/>
      <w:marLeft w:val="0"/>
      <w:marRight w:val="0"/>
      <w:marTop w:val="0"/>
      <w:marBottom w:val="0"/>
      <w:divBdr>
        <w:top w:val="none" w:sz="0" w:space="0" w:color="auto"/>
        <w:left w:val="none" w:sz="0" w:space="0" w:color="auto"/>
        <w:bottom w:val="none" w:sz="0" w:space="0" w:color="auto"/>
        <w:right w:val="none" w:sz="0" w:space="0" w:color="auto"/>
      </w:divBdr>
      <w:divsChild>
        <w:div w:id="1161044283">
          <w:marLeft w:val="0"/>
          <w:marRight w:val="0"/>
          <w:marTop w:val="0"/>
          <w:marBottom w:val="0"/>
          <w:divBdr>
            <w:top w:val="none" w:sz="0" w:space="0" w:color="auto"/>
            <w:left w:val="none" w:sz="0" w:space="0" w:color="auto"/>
            <w:bottom w:val="none" w:sz="0" w:space="0" w:color="auto"/>
            <w:right w:val="none" w:sz="0" w:space="0" w:color="auto"/>
          </w:divBdr>
          <w:divsChild>
            <w:div w:id="2146846296">
              <w:marLeft w:val="0"/>
              <w:marRight w:val="0"/>
              <w:marTop w:val="0"/>
              <w:marBottom w:val="0"/>
              <w:divBdr>
                <w:top w:val="none" w:sz="0" w:space="0" w:color="auto"/>
                <w:left w:val="none" w:sz="0" w:space="0" w:color="auto"/>
                <w:bottom w:val="none" w:sz="0" w:space="0" w:color="auto"/>
                <w:right w:val="none" w:sz="0" w:space="0" w:color="auto"/>
              </w:divBdr>
            </w:div>
          </w:divsChild>
        </w:div>
        <w:div w:id="1273900494">
          <w:marLeft w:val="0"/>
          <w:marRight w:val="0"/>
          <w:marTop w:val="0"/>
          <w:marBottom w:val="0"/>
          <w:divBdr>
            <w:top w:val="none" w:sz="0" w:space="0" w:color="auto"/>
            <w:left w:val="none" w:sz="0" w:space="0" w:color="auto"/>
            <w:bottom w:val="none" w:sz="0" w:space="0" w:color="auto"/>
            <w:right w:val="none" w:sz="0" w:space="0" w:color="auto"/>
          </w:divBdr>
          <w:divsChild>
            <w:div w:id="1284994322">
              <w:marLeft w:val="0"/>
              <w:marRight w:val="0"/>
              <w:marTop w:val="0"/>
              <w:marBottom w:val="0"/>
              <w:divBdr>
                <w:top w:val="none" w:sz="0" w:space="0" w:color="auto"/>
                <w:left w:val="none" w:sz="0" w:space="0" w:color="auto"/>
                <w:bottom w:val="none" w:sz="0" w:space="0" w:color="auto"/>
                <w:right w:val="none" w:sz="0" w:space="0" w:color="auto"/>
              </w:divBdr>
              <w:divsChild>
                <w:div w:id="176148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719250">
      <w:bodyDiv w:val="1"/>
      <w:marLeft w:val="0"/>
      <w:marRight w:val="0"/>
      <w:marTop w:val="0"/>
      <w:marBottom w:val="0"/>
      <w:divBdr>
        <w:top w:val="none" w:sz="0" w:space="0" w:color="auto"/>
        <w:left w:val="none" w:sz="0" w:space="0" w:color="auto"/>
        <w:bottom w:val="none" w:sz="0" w:space="0" w:color="auto"/>
        <w:right w:val="none" w:sz="0" w:space="0" w:color="auto"/>
      </w:divBdr>
      <w:divsChild>
        <w:div w:id="402216369">
          <w:marLeft w:val="0"/>
          <w:marRight w:val="0"/>
          <w:marTop w:val="0"/>
          <w:marBottom w:val="0"/>
          <w:divBdr>
            <w:top w:val="none" w:sz="0" w:space="0" w:color="auto"/>
            <w:left w:val="none" w:sz="0" w:space="0" w:color="auto"/>
            <w:bottom w:val="none" w:sz="0" w:space="0" w:color="auto"/>
            <w:right w:val="none" w:sz="0" w:space="0" w:color="auto"/>
          </w:divBdr>
          <w:divsChild>
            <w:div w:id="1294140840">
              <w:marLeft w:val="0"/>
              <w:marRight w:val="0"/>
              <w:marTop w:val="0"/>
              <w:marBottom w:val="0"/>
              <w:divBdr>
                <w:top w:val="none" w:sz="0" w:space="0" w:color="auto"/>
                <w:left w:val="none" w:sz="0" w:space="0" w:color="auto"/>
                <w:bottom w:val="none" w:sz="0" w:space="0" w:color="auto"/>
                <w:right w:val="none" w:sz="0" w:space="0" w:color="auto"/>
              </w:divBdr>
            </w:div>
          </w:divsChild>
        </w:div>
        <w:div w:id="1944455244">
          <w:marLeft w:val="0"/>
          <w:marRight w:val="0"/>
          <w:marTop w:val="0"/>
          <w:marBottom w:val="0"/>
          <w:divBdr>
            <w:top w:val="none" w:sz="0" w:space="0" w:color="auto"/>
            <w:left w:val="none" w:sz="0" w:space="0" w:color="auto"/>
            <w:bottom w:val="none" w:sz="0" w:space="0" w:color="auto"/>
            <w:right w:val="none" w:sz="0" w:space="0" w:color="auto"/>
          </w:divBdr>
          <w:divsChild>
            <w:div w:id="1554349078">
              <w:marLeft w:val="0"/>
              <w:marRight w:val="0"/>
              <w:marTop w:val="0"/>
              <w:marBottom w:val="0"/>
              <w:divBdr>
                <w:top w:val="none" w:sz="0" w:space="0" w:color="auto"/>
                <w:left w:val="none" w:sz="0" w:space="0" w:color="auto"/>
                <w:bottom w:val="none" w:sz="0" w:space="0" w:color="auto"/>
                <w:right w:val="none" w:sz="0" w:space="0" w:color="auto"/>
              </w:divBdr>
              <w:divsChild>
                <w:div w:id="20178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01160">
      <w:bodyDiv w:val="1"/>
      <w:marLeft w:val="0"/>
      <w:marRight w:val="0"/>
      <w:marTop w:val="0"/>
      <w:marBottom w:val="0"/>
      <w:divBdr>
        <w:top w:val="none" w:sz="0" w:space="0" w:color="auto"/>
        <w:left w:val="none" w:sz="0" w:space="0" w:color="auto"/>
        <w:bottom w:val="none" w:sz="0" w:space="0" w:color="auto"/>
        <w:right w:val="none" w:sz="0" w:space="0" w:color="auto"/>
      </w:divBdr>
      <w:divsChild>
        <w:div w:id="1522284694">
          <w:marLeft w:val="0"/>
          <w:marRight w:val="0"/>
          <w:marTop w:val="0"/>
          <w:marBottom w:val="0"/>
          <w:divBdr>
            <w:top w:val="none" w:sz="0" w:space="0" w:color="auto"/>
            <w:left w:val="none" w:sz="0" w:space="0" w:color="auto"/>
            <w:bottom w:val="none" w:sz="0" w:space="0" w:color="auto"/>
            <w:right w:val="none" w:sz="0" w:space="0" w:color="auto"/>
          </w:divBdr>
          <w:divsChild>
            <w:div w:id="1933974475">
              <w:marLeft w:val="0"/>
              <w:marRight w:val="0"/>
              <w:marTop w:val="0"/>
              <w:marBottom w:val="0"/>
              <w:divBdr>
                <w:top w:val="none" w:sz="0" w:space="0" w:color="auto"/>
                <w:left w:val="none" w:sz="0" w:space="0" w:color="auto"/>
                <w:bottom w:val="none" w:sz="0" w:space="0" w:color="auto"/>
                <w:right w:val="none" w:sz="0" w:space="0" w:color="auto"/>
              </w:divBdr>
            </w:div>
          </w:divsChild>
        </w:div>
        <w:div w:id="1069813603">
          <w:marLeft w:val="0"/>
          <w:marRight w:val="0"/>
          <w:marTop w:val="0"/>
          <w:marBottom w:val="0"/>
          <w:divBdr>
            <w:top w:val="none" w:sz="0" w:space="0" w:color="auto"/>
            <w:left w:val="none" w:sz="0" w:space="0" w:color="auto"/>
            <w:bottom w:val="none" w:sz="0" w:space="0" w:color="auto"/>
            <w:right w:val="none" w:sz="0" w:space="0" w:color="auto"/>
          </w:divBdr>
          <w:divsChild>
            <w:div w:id="595329426">
              <w:marLeft w:val="0"/>
              <w:marRight w:val="0"/>
              <w:marTop w:val="0"/>
              <w:marBottom w:val="0"/>
              <w:divBdr>
                <w:top w:val="none" w:sz="0" w:space="0" w:color="auto"/>
                <w:left w:val="none" w:sz="0" w:space="0" w:color="auto"/>
                <w:bottom w:val="none" w:sz="0" w:space="0" w:color="auto"/>
                <w:right w:val="none" w:sz="0" w:space="0" w:color="auto"/>
              </w:divBdr>
              <w:divsChild>
                <w:div w:id="158657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102">
      <w:bodyDiv w:val="1"/>
      <w:marLeft w:val="0"/>
      <w:marRight w:val="0"/>
      <w:marTop w:val="0"/>
      <w:marBottom w:val="0"/>
      <w:divBdr>
        <w:top w:val="none" w:sz="0" w:space="0" w:color="auto"/>
        <w:left w:val="none" w:sz="0" w:space="0" w:color="auto"/>
        <w:bottom w:val="none" w:sz="0" w:space="0" w:color="auto"/>
        <w:right w:val="none" w:sz="0" w:space="0" w:color="auto"/>
      </w:divBdr>
      <w:divsChild>
        <w:div w:id="877352776">
          <w:marLeft w:val="0"/>
          <w:marRight w:val="0"/>
          <w:marTop w:val="0"/>
          <w:marBottom w:val="0"/>
          <w:divBdr>
            <w:top w:val="none" w:sz="0" w:space="0" w:color="auto"/>
            <w:left w:val="none" w:sz="0" w:space="0" w:color="auto"/>
            <w:bottom w:val="none" w:sz="0" w:space="0" w:color="auto"/>
            <w:right w:val="none" w:sz="0" w:space="0" w:color="auto"/>
          </w:divBdr>
          <w:divsChild>
            <w:div w:id="459154499">
              <w:marLeft w:val="0"/>
              <w:marRight w:val="0"/>
              <w:marTop w:val="0"/>
              <w:marBottom w:val="0"/>
              <w:divBdr>
                <w:top w:val="none" w:sz="0" w:space="0" w:color="auto"/>
                <w:left w:val="none" w:sz="0" w:space="0" w:color="auto"/>
                <w:bottom w:val="none" w:sz="0" w:space="0" w:color="auto"/>
                <w:right w:val="none" w:sz="0" w:space="0" w:color="auto"/>
              </w:divBdr>
            </w:div>
          </w:divsChild>
        </w:div>
        <w:div w:id="1736977423">
          <w:marLeft w:val="0"/>
          <w:marRight w:val="0"/>
          <w:marTop w:val="0"/>
          <w:marBottom w:val="0"/>
          <w:divBdr>
            <w:top w:val="none" w:sz="0" w:space="0" w:color="auto"/>
            <w:left w:val="none" w:sz="0" w:space="0" w:color="auto"/>
            <w:bottom w:val="none" w:sz="0" w:space="0" w:color="auto"/>
            <w:right w:val="none" w:sz="0" w:space="0" w:color="auto"/>
          </w:divBdr>
          <w:divsChild>
            <w:div w:id="1286623924">
              <w:marLeft w:val="0"/>
              <w:marRight w:val="0"/>
              <w:marTop w:val="0"/>
              <w:marBottom w:val="0"/>
              <w:divBdr>
                <w:top w:val="none" w:sz="0" w:space="0" w:color="auto"/>
                <w:left w:val="none" w:sz="0" w:space="0" w:color="auto"/>
                <w:bottom w:val="none" w:sz="0" w:space="0" w:color="auto"/>
                <w:right w:val="none" w:sz="0" w:space="0" w:color="auto"/>
              </w:divBdr>
              <w:divsChild>
                <w:div w:id="19563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1940">
      <w:bodyDiv w:val="1"/>
      <w:marLeft w:val="0"/>
      <w:marRight w:val="0"/>
      <w:marTop w:val="0"/>
      <w:marBottom w:val="0"/>
      <w:divBdr>
        <w:top w:val="none" w:sz="0" w:space="0" w:color="auto"/>
        <w:left w:val="none" w:sz="0" w:space="0" w:color="auto"/>
        <w:bottom w:val="none" w:sz="0" w:space="0" w:color="auto"/>
        <w:right w:val="none" w:sz="0" w:space="0" w:color="auto"/>
      </w:divBdr>
      <w:divsChild>
        <w:div w:id="1947803944">
          <w:marLeft w:val="0"/>
          <w:marRight w:val="0"/>
          <w:marTop w:val="0"/>
          <w:marBottom w:val="0"/>
          <w:divBdr>
            <w:top w:val="none" w:sz="0" w:space="0" w:color="auto"/>
            <w:left w:val="none" w:sz="0" w:space="0" w:color="auto"/>
            <w:bottom w:val="none" w:sz="0" w:space="0" w:color="auto"/>
            <w:right w:val="none" w:sz="0" w:space="0" w:color="auto"/>
          </w:divBdr>
          <w:divsChild>
            <w:div w:id="2004819049">
              <w:marLeft w:val="0"/>
              <w:marRight w:val="0"/>
              <w:marTop w:val="0"/>
              <w:marBottom w:val="0"/>
              <w:divBdr>
                <w:top w:val="none" w:sz="0" w:space="0" w:color="auto"/>
                <w:left w:val="none" w:sz="0" w:space="0" w:color="auto"/>
                <w:bottom w:val="none" w:sz="0" w:space="0" w:color="auto"/>
                <w:right w:val="none" w:sz="0" w:space="0" w:color="auto"/>
              </w:divBdr>
            </w:div>
          </w:divsChild>
        </w:div>
        <w:div w:id="2038001090">
          <w:marLeft w:val="0"/>
          <w:marRight w:val="0"/>
          <w:marTop w:val="0"/>
          <w:marBottom w:val="0"/>
          <w:divBdr>
            <w:top w:val="none" w:sz="0" w:space="0" w:color="auto"/>
            <w:left w:val="none" w:sz="0" w:space="0" w:color="auto"/>
            <w:bottom w:val="none" w:sz="0" w:space="0" w:color="auto"/>
            <w:right w:val="none" w:sz="0" w:space="0" w:color="auto"/>
          </w:divBdr>
          <w:divsChild>
            <w:div w:id="1212958007">
              <w:marLeft w:val="0"/>
              <w:marRight w:val="0"/>
              <w:marTop w:val="0"/>
              <w:marBottom w:val="0"/>
              <w:divBdr>
                <w:top w:val="none" w:sz="0" w:space="0" w:color="auto"/>
                <w:left w:val="none" w:sz="0" w:space="0" w:color="auto"/>
                <w:bottom w:val="none" w:sz="0" w:space="0" w:color="auto"/>
                <w:right w:val="none" w:sz="0" w:space="0" w:color="auto"/>
              </w:divBdr>
              <w:divsChild>
                <w:div w:id="629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0838">
      <w:bodyDiv w:val="1"/>
      <w:marLeft w:val="0"/>
      <w:marRight w:val="0"/>
      <w:marTop w:val="0"/>
      <w:marBottom w:val="0"/>
      <w:divBdr>
        <w:top w:val="none" w:sz="0" w:space="0" w:color="auto"/>
        <w:left w:val="none" w:sz="0" w:space="0" w:color="auto"/>
        <w:bottom w:val="none" w:sz="0" w:space="0" w:color="auto"/>
        <w:right w:val="none" w:sz="0" w:space="0" w:color="auto"/>
      </w:divBdr>
      <w:divsChild>
        <w:div w:id="229461983">
          <w:marLeft w:val="0"/>
          <w:marRight w:val="0"/>
          <w:marTop w:val="0"/>
          <w:marBottom w:val="0"/>
          <w:divBdr>
            <w:top w:val="none" w:sz="0" w:space="0" w:color="auto"/>
            <w:left w:val="none" w:sz="0" w:space="0" w:color="auto"/>
            <w:bottom w:val="none" w:sz="0" w:space="0" w:color="auto"/>
            <w:right w:val="none" w:sz="0" w:space="0" w:color="auto"/>
          </w:divBdr>
          <w:divsChild>
            <w:div w:id="322705507">
              <w:marLeft w:val="0"/>
              <w:marRight w:val="0"/>
              <w:marTop w:val="0"/>
              <w:marBottom w:val="0"/>
              <w:divBdr>
                <w:top w:val="none" w:sz="0" w:space="0" w:color="auto"/>
                <w:left w:val="none" w:sz="0" w:space="0" w:color="auto"/>
                <w:bottom w:val="none" w:sz="0" w:space="0" w:color="auto"/>
                <w:right w:val="none" w:sz="0" w:space="0" w:color="auto"/>
              </w:divBdr>
            </w:div>
          </w:divsChild>
        </w:div>
        <w:div w:id="59208147">
          <w:marLeft w:val="0"/>
          <w:marRight w:val="0"/>
          <w:marTop w:val="0"/>
          <w:marBottom w:val="0"/>
          <w:divBdr>
            <w:top w:val="none" w:sz="0" w:space="0" w:color="auto"/>
            <w:left w:val="none" w:sz="0" w:space="0" w:color="auto"/>
            <w:bottom w:val="none" w:sz="0" w:space="0" w:color="auto"/>
            <w:right w:val="none" w:sz="0" w:space="0" w:color="auto"/>
          </w:divBdr>
          <w:divsChild>
            <w:div w:id="2018268603">
              <w:marLeft w:val="0"/>
              <w:marRight w:val="0"/>
              <w:marTop w:val="0"/>
              <w:marBottom w:val="0"/>
              <w:divBdr>
                <w:top w:val="none" w:sz="0" w:space="0" w:color="auto"/>
                <w:left w:val="none" w:sz="0" w:space="0" w:color="auto"/>
                <w:bottom w:val="none" w:sz="0" w:space="0" w:color="auto"/>
                <w:right w:val="none" w:sz="0" w:space="0" w:color="auto"/>
              </w:divBdr>
              <w:divsChild>
                <w:div w:id="99302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9284">
      <w:bodyDiv w:val="1"/>
      <w:marLeft w:val="0"/>
      <w:marRight w:val="0"/>
      <w:marTop w:val="0"/>
      <w:marBottom w:val="0"/>
      <w:divBdr>
        <w:top w:val="none" w:sz="0" w:space="0" w:color="auto"/>
        <w:left w:val="none" w:sz="0" w:space="0" w:color="auto"/>
        <w:bottom w:val="none" w:sz="0" w:space="0" w:color="auto"/>
        <w:right w:val="none" w:sz="0" w:space="0" w:color="auto"/>
      </w:divBdr>
      <w:divsChild>
        <w:div w:id="1992636869">
          <w:marLeft w:val="0"/>
          <w:marRight w:val="0"/>
          <w:marTop w:val="0"/>
          <w:marBottom w:val="0"/>
          <w:divBdr>
            <w:top w:val="none" w:sz="0" w:space="0" w:color="auto"/>
            <w:left w:val="none" w:sz="0" w:space="0" w:color="auto"/>
            <w:bottom w:val="none" w:sz="0" w:space="0" w:color="auto"/>
            <w:right w:val="none" w:sz="0" w:space="0" w:color="auto"/>
          </w:divBdr>
          <w:divsChild>
            <w:div w:id="1986008005">
              <w:marLeft w:val="0"/>
              <w:marRight w:val="0"/>
              <w:marTop w:val="0"/>
              <w:marBottom w:val="0"/>
              <w:divBdr>
                <w:top w:val="none" w:sz="0" w:space="0" w:color="auto"/>
                <w:left w:val="none" w:sz="0" w:space="0" w:color="auto"/>
                <w:bottom w:val="none" w:sz="0" w:space="0" w:color="auto"/>
                <w:right w:val="none" w:sz="0" w:space="0" w:color="auto"/>
              </w:divBdr>
            </w:div>
          </w:divsChild>
        </w:div>
        <w:div w:id="2035109302">
          <w:marLeft w:val="0"/>
          <w:marRight w:val="0"/>
          <w:marTop w:val="0"/>
          <w:marBottom w:val="0"/>
          <w:divBdr>
            <w:top w:val="none" w:sz="0" w:space="0" w:color="auto"/>
            <w:left w:val="none" w:sz="0" w:space="0" w:color="auto"/>
            <w:bottom w:val="none" w:sz="0" w:space="0" w:color="auto"/>
            <w:right w:val="none" w:sz="0" w:space="0" w:color="auto"/>
          </w:divBdr>
          <w:divsChild>
            <w:div w:id="544368080">
              <w:marLeft w:val="0"/>
              <w:marRight w:val="0"/>
              <w:marTop w:val="0"/>
              <w:marBottom w:val="0"/>
              <w:divBdr>
                <w:top w:val="none" w:sz="0" w:space="0" w:color="auto"/>
                <w:left w:val="none" w:sz="0" w:space="0" w:color="auto"/>
                <w:bottom w:val="none" w:sz="0" w:space="0" w:color="auto"/>
                <w:right w:val="none" w:sz="0" w:space="0" w:color="auto"/>
              </w:divBdr>
              <w:divsChild>
                <w:div w:id="1223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2696">
      <w:bodyDiv w:val="1"/>
      <w:marLeft w:val="0"/>
      <w:marRight w:val="0"/>
      <w:marTop w:val="0"/>
      <w:marBottom w:val="0"/>
      <w:divBdr>
        <w:top w:val="none" w:sz="0" w:space="0" w:color="auto"/>
        <w:left w:val="none" w:sz="0" w:space="0" w:color="auto"/>
        <w:bottom w:val="none" w:sz="0" w:space="0" w:color="auto"/>
        <w:right w:val="none" w:sz="0" w:space="0" w:color="auto"/>
      </w:divBdr>
      <w:divsChild>
        <w:div w:id="834614143">
          <w:marLeft w:val="0"/>
          <w:marRight w:val="0"/>
          <w:marTop w:val="0"/>
          <w:marBottom w:val="0"/>
          <w:divBdr>
            <w:top w:val="none" w:sz="0" w:space="0" w:color="auto"/>
            <w:left w:val="none" w:sz="0" w:space="0" w:color="auto"/>
            <w:bottom w:val="none" w:sz="0" w:space="0" w:color="auto"/>
            <w:right w:val="none" w:sz="0" w:space="0" w:color="auto"/>
          </w:divBdr>
          <w:divsChild>
            <w:div w:id="453792091">
              <w:marLeft w:val="0"/>
              <w:marRight w:val="0"/>
              <w:marTop w:val="0"/>
              <w:marBottom w:val="0"/>
              <w:divBdr>
                <w:top w:val="none" w:sz="0" w:space="0" w:color="auto"/>
                <w:left w:val="none" w:sz="0" w:space="0" w:color="auto"/>
                <w:bottom w:val="none" w:sz="0" w:space="0" w:color="auto"/>
                <w:right w:val="none" w:sz="0" w:space="0" w:color="auto"/>
              </w:divBdr>
            </w:div>
          </w:divsChild>
        </w:div>
        <w:div w:id="970014250">
          <w:marLeft w:val="0"/>
          <w:marRight w:val="0"/>
          <w:marTop w:val="0"/>
          <w:marBottom w:val="0"/>
          <w:divBdr>
            <w:top w:val="none" w:sz="0" w:space="0" w:color="auto"/>
            <w:left w:val="none" w:sz="0" w:space="0" w:color="auto"/>
            <w:bottom w:val="none" w:sz="0" w:space="0" w:color="auto"/>
            <w:right w:val="none" w:sz="0" w:space="0" w:color="auto"/>
          </w:divBdr>
          <w:divsChild>
            <w:div w:id="451898837">
              <w:marLeft w:val="0"/>
              <w:marRight w:val="0"/>
              <w:marTop w:val="0"/>
              <w:marBottom w:val="0"/>
              <w:divBdr>
                <w:top w:val="none" w:sz="0" w:space="0" w:color="auto"/>
                <w:left w:val="none" w:sz="0" w:space="0" w:color="auto"/>
                <w:bottom w:val="none" w:sz="0" w:space="0" w:color="auto"/>
                <w:right w:val="none" w:sz="0" w:space="0" w:color="auto"/>
              </w:divBdr>
              <w:divsChild>
                <w:div w:id="4115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29284">
      <w:bodyDiv w:val="1"/>
      <w:marLeft w:val="0"/>
      <w:marRight w:val="0"/>
      <w:marTop w:val="0"/>
      <w:marBottom w:val="0"/>
      <w:divBdr>
        <w:top w:val="none" w:sz="0" w:space="0" w:color="auto"/>
        <w:left w:val="none" w:sz="0" w:space="0" w:color="auto"/>
        <w:bottom w:val="none" w:sz="0" w:space="0" w:color="auto"/>
        <w:right w:val="none" w:sz="0" w:space="0" w:color="auto"/>
      </w:divBdr>
      <w:divsChild>
        <w:div w:id="1564490816">
          <w:marLeft w:val="0"/>
          <w:marRight w:val="0"/>
          <w:marTop w:val="0"/>
          <w:marBottom w:val="0"/>
          <w:divBdr>
            <w:top w:val="none" w:sz="0" w:space="0" w:color="auto"/>
            <w:left w:val="none" w:sz="0" w:space="0" w:color="auto"/>
            <w:bottom w:val="none" w:sz="0" w:space="0" w:color="auto"/>
            <w:right w:val="none" w:sz="0" w:space="0" w:color="auto"/>
          </w:divBdr>
          <w:divsChild>
            <w:div w:id="495805833">
              <w:marLeft w:val="0"/>
              <w:marRight w:val="0"/>
              <w:marTop w:val="0"/>
              <w:marBottom w:val="0"/>
              <w:divBdr>
                <w:top w:val="none" w:sz="0" w:space="0" w:color="auto"/>
                <w:left w:val="none" w:sz="0" w:space="0" w:color="auto"/>
                <w:bottom w:val="none" w:sz="0" w:space="0" w:color="auto"/>
                <w:right w:val="none" w:sz="0" w:space="0" w:color="auto"/>
              </w:divBdr>
            </w:div>
          </w:divsChild>
        </w:div>
        <w:div w:id="70155686">
          <w:marLeft w:val="0"/>
          <w:marRight w:val="0"/>
          <w:marTop w:val="0"/>
          <w:marBottom w:val="0"/>
          <w:divBdr>
            <w:top w:val="none" w:sz="0" w:space="0" w:color="auto"/>
            <w:left w:val="none" w:sz="0" w:space="0" w:color="auto"/>
            <w:bottom w:val="none" w:sz="0" w:space="0" w:color="auto"/>
            <w:right w:val="none" w:sz="0" w:space="0" w:color="auto"/>
          </w:divBdr>
          <w:divsChild>
            <w:div w:id="1674530378">
              <w:marLeft w:val="0"/>
              <w:marRight w:val="0"/>
              <w:marTop w:val="0"/>
              <w:marBottom w:val="0"/>
              <w:divBdr>
                <w:top w:val="none" w:sz="0" w:space="0" w:color="auto"/>
                <w:left w:val="none" w:sz="0" w:space="0" w:color="auto"/>
                <w:bottom w:val="none" w:sz="0" w:space="0" w:color="auto"/>
                <w:right w:val="none" w:sz="0" w:space="0" w:color="auto"/>
              </w:divBdr>
              <w:divsChild>
                <w:div w:id="1407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2907">
      <w:bodyDiv w:val="1"/>
      <w:marLeft w:val="0"/>
      <w:marRight w:val="0"/>
      <w:marTop w:val="0"/>
      <w:marBottom w:val="0"/>
      <w:divBdr>
        <w:top w:val="none" w:sz="0" w:space="0" w:color="auto"/>
        <w:left w:val="none" w:sz="0" w:space="0" w:color="auto"/>
        <w:bottom w:val="none" w:sz="0" w:space="0" w:color="auto"/>
        <w:right w:val="none" w:sz="0" w:space="0" w:color="auto"/>
      </w:divBdr>
      <w:divsChild>
        <w:div w:id="2062167122">
          <w:marLeft w:val="0"/>
          <w:marRight w:val="0"/>
          <w:marTop w:val="0"/>
          <w:marBottom w:val="0"/>
          <w:divBdr>
            <w:top w:val="none" w:sz="0" w:space="0" w:color="auto"/>
            <w:left w:val="none" w:sz="0" w:space="0" w:color="auto"/>
            <w:bottom w:val="none" w:sz="0" w:space="0" w:color="auto"/>
            <w:right w:val="none" w:sz="0" w:space="0" w:color="auto"/>
          </w:divBdr>
          <w:divsChild>
            <w:div w:id="107287239">
              <w:marLeft w:val="0"/>
              <w:marRight w:val="0"/>
              <w:marTop w:val="0"/>
              <w:marBottom w:val="0"/>
              <w:divBdr>
                <w:top w:val="none" w:sz="0" w:space="0" w:color="auto"/>
                <w:left w:val="none" w:sz="0" w:space="0" w:color="auto"/>
                <w:bottom w:val="none" w:sz="0" w:space="0" w:color="auto"/>
                <w:right w:val="none" w:sz="0" w:space="0" w:color="auto"/>
              </w:divBdr>
            </w:div>
          </w:divsChild>
        </w:div>
        <w:div w:id="1561211657">
          <w:marLeft w:val="0"/>
          <w:marRight w:val="0"/>
          <w:marTop w:val="0"/>
          <w:marBottom w:val="0"/>
          <w:divBdr>
            <w:top w:val="none" w:sz="0" w:space="0" w:color="auto"/>
            <w:left w:val="none" w:sz="0" w:space="0" w:color="auto"/>
            <w:bottom w:val="none" w:sz="0" w:space="0" w:color="auto"/>
            <w:right w:val="none" w:sz="0" w:space="0" w:color="auto"/>
          </w:divBdr>
          <w:divsChild>
            <w:div w:id="433014741">
              <w:marLeft w:val="0"/>
              <w:marRight w:val="0"/>
              <w:marTop w:val="0"/>
              <w:marBottom w:val="0"/>
              <w:divBdr>
                <w:top w:val="none" w:sz="0" w:space="0" w:color="auto"/>
                <w:left w:val="none" w:sz="0" w:space="0" w:color="auto"/>
                <w:bottom w:val="none" w:sz="0" w:space="0" w:color="auto"/>
                <w:right w:val="none" w:sz="0" w:space="0" w:color="auto"/>
              </w:divBdr>
              <w:divsChild>
                <w:div w:id="14456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73843">
      <w:bodyDiv w:val="1"/>
      <w:marLeft w:val="0"/>
      <w:marRight w:val="0"/>
      <w:marTop w:val="0"/>
      <w:marBottom w:val="0"/>
      <w:divBdr>
        <w:top w:val="none" w:sz="0" w:space="0" w:color="auto"/>
        <w:left w:val="none" w:sz="0" w:space="0" w:color="auto"/>
        <w:bottom w:val="none" w:sz="0" w:space="0" w:color="auto"/>
        <w:right w:val="none" w:sz="0" w:space="0" w:color="auto"/>
      </w:divBdr>
      <w:divsChild>
        <w:div w:id="1897885505">
          <w:marLeft w:val="0"/>
          <w:marRight w:val="0"/>
          <w:marTop w:val="0"/>
          <w:marBottom w:val="0"/>
          <w:divBdr>
            <w:top w:val="none" w:sz="0" w:space="0" w:color="auto"/>
            <w:left w:val="none" w:sz="0" w:space="0" w:color="auto"/>
            <w:bottom w:val="none" w:sz="0" w:space="0" w:color="auto"/>
            <w:right w:val="none" w:sz="0" w:space="0" w:color="auto"/>
          </w:divBdr>
          <w:divsChild>
            <w:div w:id="1437867306">
              <w:marLeft w:val="0"/>
              <w:marRight w:val="0"/>
              <w:marTop w:val="0"/>
              <w:marBottom w:val="0"/>
              <w:divBdr>
                <w:top w:val="none" w:sz="0" w:space="0" w:color="auto"/>
                <w:left w:val="none" w:sz="0" w:space="0" w:color="auto"/>
                <w:bottom w:val="none" w:sz="0" w:space="0" w:color="auto"/>
                <w:right w:val="none" w:sz="0" w:space="0" w:color="auto"/>
              </w:divBdr>
            </w:div>
          </w:divsChild>
        </w:div>
        <w:div w:id="1231618882">
          <w:marLeft w:val="0"/>
          <w:marRight w:val="0"/>
          <w:marTop w:val="0"/>
          <w:marBottom w:val="0"/>
          <w:divBdr>
            <w:top w:val="none" w:sz="0" w:space="0" w:color="auto"/>
            <w:left w:val="none" w:sz="0" w:space="0" w:color="auto"/>
            <w:bottom w:val="none" w:sz="0" w:space="0" w:color="auto"/>
            <w:right w:val="none" w:sz="0" w:space="0" w:color="auto"/>
          </w:divBdr>
          <w:divsChild>
            <w:div w:id="725185419">
              <w:marLeft w:val="0"/>
              <w:marRight w:val="0"/>
              <w:marTop w:val="0"/>
              <w:marBottom w:val="0"/>
              <w:divBdr>
                <w:top w:val="none" w:sz="0" w:space="0" w:color="auto"/>
                <w:left w:val="none" w:sz="0" w:space="0" w:color="auto"/>
                <w:bottom w:val="none" w:sz="0" w:space="0" w:color="auto"/>
                <w:right w:val="none" w:sz="0" w:space="0" w:color="auto"/>
              </w:divBdr>
              <w:divsChild>
                <w:div w:id="12788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t.me/infoTAXbot" TargetMode="External"/><Relationship Id="rId6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8" Type="http://schemas.openxmlformats.org/officeDocument/2006/relationships/hyperlink" Target="https://t.me/infoTAXbot" TargetMode="External"/><Relationship Id="rId7" Type="http://schemas.openxmlformats.org/officeDocument/2006/relationships/hyperlink" Target="https://t.me/infoTAXbot"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me/infoTAXbot"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t.me/infoTAXbot"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7" Type="http://schemas.openxmlformats.org/officeDocument/2006/relationships/hyperlink" Target="https://t.me/infoTAXbot"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t.me/infoTAXbot" TargetMode="External"/><Relationship Id="rId5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8" Type="http://schemas.openxmlformats.org/officeDocument/2006/relationships/hyperlink" Target="https://t.me/infoTAXbot" TargetMode="External"/><Relationship Id="rId66" Type="http://schemas.openxmlformats.org/officeDocument/2006/relationships/hyperlink" Target="https://mof.gov.ua/storage/files/%D0%9D%D0%B0%D0%BA%D0%B0%D0%B7%20238.pdf" TargetMode="External"/><Relationship Id="rId5" Type="http://schemas.openxmlformats.org/officeDocument/2006/relationships/hyperlink" Target="https://t.me/infoTAXbot" TargetMode="External"/><Relationship Id="rId61" Type="http://schemas.openxmlformats.org/officeDocument/2006/relationships/hyperlink" Target="https://t.me/infoTAXbot"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me/infoTAXbot" TargetMode="External"/><Relationship Id="rId22" Type="http://schemas.openxmlformats.org/officeDocument/2006/relationships/hyperlink" Target="https://t.me/infoTAXbot" TargetMode="External"/><Relationship Id="rId27" Type="http://schemas.openxmlformats.org/officeDocument/2006/relationships/hyperlink" Target="https://t.me/infoTAXbot" TargetMode="External"/><Relationship Id="rId30" Type="http://schemas.openxmlformats.org/officeDocument/2006/relationships/hyperlink" Target="https://t.me/infoTAXbot" TargetMode="External"/><Relationship Id="rId35" Type="http://schemas.openxmlformats.org/officeDocument/2006/relationships/hyperlink" Target="https://t.me/infoTAXbot" TargetMode="External"/><Relationship Id="rId43" Type="http://schemas.openxmlformats.org/officeDocument/2006/relationships/hyperlink" Target="https://t.me/infoTAXbot" TargetMode="External"/><Relationship Id="rId48" Type="http://schemas.openxmlformats.org/officeDocument/2006/relationships/hyperlink" Target="https://tax.gov.ua/media-tsentr/novini/466217.html" TargetMode="External"/><Relationship Id="rId56" Type="http://schemas.openxmlformats.org/officeDocument/2006/relationships/hyperlink" Target="https://tax.gov.ua/baneryi/fatca/pitannya-vidpovidi/" TargetMode="External"/><Relationship Id="rId64" Type="http://schemas.openxmlformats.org/officeDocument/2006/relationships/hyperlink" Target="https://t.me/infoTAXbot" TargetMode="External"/><Relationship Id="rId6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1" Type="http://schemas.openxmlformats.org/officeDocument/2006/relationships/hyperlink" Target="https://tax.gov.ua/media-tsentr/novini/466653.htm"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t.me/infoTAXbot"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tax.gov.ua/nove-pro-podatki--novini-/466208.html" TargetMode="External"/><Relationship Id="rId33" Type="http://schemas.openxmlformats.org/officeDocument/2006/relationships/hyperlink" Target="https://t.me/infoTAXbot" TargetMode="External"/><Relationship Id="rId3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9" Type="http://schemas.openxmlformats.org/officeDocument/2006/relationships/hyperlink" Target="https://tax.gov.ua/media-tsentr/novini/466617.html" TargetMode="External"/><Relationship Id="rId6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t.me/infoTAXbot" TargetMode="External"/><Relationship Id="rId41" Type="http://schemas.openxmlformats.org/officeDocument/2006/relationships/hyperlink" Target="https://t.me/infoTAXbot" TargetMode="External"/><Relationship Id="rId54" Type="http://schemas.openxmlformats.org/officeDocument/2006/relationships/hyperlink" Target="https://t.me/infoTAXbot" TargetMode="External"/><Relationship Id="rId62" Type="http://schemas.openxmlformats.org/officeDocument/2006/relationships/hyperlink" Target="https://tax.gov.ua/data/material/000/103/154157/Forms_deklar.htm" TargetMode="External"/><Relationship Id="rId70" Type="http://schemas.openxmlformats.org/officeDocument/2006/relationships/hyperlink" Target="https://t.me/infoTAXbot" TargetMode="External"/><Relationship Id="rId1" Type="http://schemas.openxmlformats.org/officeDocument/2006/relationships/styles" Target="styles.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tax.gov.ua/media-tsentr/novini/466154.html" TargetMode="External"/><Relationship Id="rId3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tax.gov.ua/media-tsentr/novini/465769.html" TargetMode="External"/><Relationship Id="rId31" Type="http://schemas.openxmlformats.org/officeDocument/2006/relationships/hyperlink" Target="https://tax.gov.ua/dovidniki--reestri--perelik/dovidniki-/357729.html"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hyperlink" Target="https://tax.gov.ua/data/material/000/369/466649/InfoList20.pdf" TargetMode="External"/><Relationship Id="rId6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5" Type="http://schemas.openxmlformats.org/officeDocument/2006/relationships/hyperlink" Target="https://mof.gov.ua/uk/decrees_2021-487" TargetMode="External"/><Relationship Id="rId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9" Type="http://schemas.openxmlformats.org/officeDocument/2006/relationships/hyperlink" Target="https://t.me/infoTAXbot" TargetMode="External"/><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t.me/infoTAXbot" TargetMode="External"/><Relationship Id="rId39" Type="http://schemas.openxmlformats.org/officeDocument/2006/relationships/hyperlink" Target="https://t.me/infoTAXbot"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0" Type="http://schemas.openxmlformats.org/officeDocument/2006/relationships/hyperlink" Target="https://t.me/infoTAXbot" TargetMode="External"/><Relationship Id="rId55" Type="http://schemas.openxmlformats.org/officeDocument/2006/relationships/hyperlink" Target="http://www.irs.gov/pub/irs-pdf/p519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57385</Words>
  <Characters>32710</Characters>
  <Application>Microsoft Office Word</Application>
  <DocSecurity>0</DocSecurity>
  <Lines>272</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2021-05-07T10:17:00Z</dcterms:created>
  <dcterms:modified xsi:type="dcterms:W3CDTF">2021-05-07T10:18:00Z</dcterms:modified>
</cp:coreProperties>
</file>