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BC6BA" w14:textId="77777777" w:rsidR="00C90CFF" w:rsidRPr="002F3D62" w:rsidRDefault="00C90CFF" w:rsidP="002F3D62">
      <w:pPr>
        <w:pStyle w:val="1"/>
        <w:shd w:val="clear" w:color="auto" w:fill="FFFFFF"/>
        <w:spacing w:before="0" w:beforeAutospacing="0" w:after="0" w:afterAutospacing="0"/>
        <w:rPr>
          <w:color w:val="333333"/>
          <w:sz w:val="20"/>
          <w:szCs w:val="20"/>
        </w:rPr>
      </w:pPr>
      <w:r w:rsidRPr="002F3D62">
        <w:rPr>
          <w:color w:val="333333"/>
          <w:sz w:val="20"/>
          <w:szCs w:val="20"/>
        </w:rPr>
        <w:t>Інформація для суб’єктів електронного декларування</w:t>
      </w:r>
    </w:p>
    <w:p w14:paraId="113FD14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Національне агентство з питань запобігання корупції (НАЗК) повідомило, що отримати інформацію, необхідну для заповнення Е-декларації можливо з електронних реєстрів за допомогою кваліфікованого електронного підпису, а саме:</w:t>
      </w:r>
    </w:p>
    <w:p w14:paraId="584C202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Державний реєстр речових прав на нерухоме майно (</w:t>
      </w:r>
      <w:hyperlink r:id="rId6" w:history="1">
        <w:r w:rsidRPr="002F3D62">
          <w:rPr>
            <w:rStyle w:val="a4"/>
            <w:color w:val="00518C"/>
            <w:sz w:val="20"/>
            <w:szCs w:val="20"/>
            <w:u w:val="none"/>
          </w:rPr>
          <w:t>https://bit.ly/2zeaaIQ</w:t>
        </w:r>
      </w:hyperlink>
      <w:r w:rsidRPr="002F3D62">
        <w:rPr>
          <w:color w:val="333333"/>
          <w:sz w:val="20"/>
          <w:szCs w:val="20"/>
        </w:rPr>
        <w:t>) – містить інформацію, яку необхідно зазначити у розділах 3 «Об’єкти нерухомості» та 4 «Об’єкти незавершеного будівництва» декларації;</w:t>
      </w:r>
    </w:p>
    <w:p w14:paraId="7B7A5B1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Офіційний електронний портал </w:t>
      </w:r>
      <w:proofErr w:type="spellStart"/>
      <w:r w:rsidRPr="002F3D62">
        <w:rPr>
          <w:color w:val="333333"/>
          <w:sz w:val="20"/>
          <w:szCs w:val="20"/>
        </w:rPr>
        <w:t>Держгеокадастру</w:t>
      </w:r>
      <w:proofErr w:type="spellEnd"/>
      <w:r w:rsidRPr="002F3D62">
        <w:rPr>
          <w:color w:val="333333"/>
          <w:sz w:val="20"/>
          <w:szCs w:val="20"/>
        </w:rPr>
        <w:t xml:space="preserve"> (</w:t>
      </w:r>
      <w:hyperlink r:id="rId7" w:history="1">
        <w:r w:rsidRPr="002F3D62">
          <w:rPr>
            <w:rStyle w:val="a4"/>
            <w:color w:val="00518C"/>
            <w:sz w:val="20"/>
            <w:szCs w:val="20"/>
            <w:u w:val="none"/>
          </w:rPr>
          <w:t>https://e.land.gov.ua/</w:t>
        </w:r>
      </w:hyperlink>
      <w:r w:rsidRPr="002F3D62">
        <w:rPr>
          <w:color w:val="333333"/>
          <w:sz w:val="20"/>
          <w:szCs w:val="20"/>
        </w:rPr>
        <w:t>) – містить відомості про власників та користувачів земельних ділянок, які потрібно зазначати у розділі 3 «Об’єкти нерухомості» та 4 «Об’єкти незавершеного будівництва» декларації;</w:t>
      </w:r>
    </w:p>
    <w:p w14:paraId="2004B8C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Єдиний державний реєстр юридичних осіб, фізичних осіб-підприємців та громадських формувань (</w:t>
      </w:r>
      <w:hyperlink r:id="rId8" w:history="1">
        <w:r w:rsidRPr="002F3D62">
          <w:rPr>
            <w:rStyle w:val="a4"/>
            <w:color w:val="00518C"/>
            <w:sz w:val="20"/>
            <w:szCs w:val="20"/>
            <w:u w:val="none"/>
          </w:rPr>
          <w:t>https://bit.ly/35uO94s</w:t>
        </w:r>
      </w:hyperlink>
      <w:r w:rsidRPr="002F3D62">
        <w:rPr>
          <w:color w:val="333333"/>
          <w:sz w:val="20"/>
          <w:szCs w:val="20"/>
        </w:rPr>
        <w:t xml:space="preserve">) – інформація до розділів 8 «Корпоративні права» та 9 «Юридичні особи, кінцевим </w:t>
      </w:r>
      <w:proofErr w:type="spellStart"/>
      <w:r w:rsidRPr="002F3D62">
        <w:rPr>
          <w:color w:val="333333"/>
          <w:sz w:val="20"/>
          <w:szCs w:val="20"/>
        </w:rPr>
        <w:t>бенефіціарним</w:t>
      </w:r>
      <w:proofErr w:type="spellEnd"/>
      <w:r w:rsidRPr="002F3D62">
        <w:rPr>
          <w:color w:val="333333"/>
          <w:sz w:val="20"/>
          <w:szCs w:val="20"/>
        </w:rPr>
        <w:t xml:space="preserve"> власником (контролером) яких є суб’єкт декларування або члени його сім’ї» декларації;</w:t>
      </w:r>
    </w:p>
    <w:p w14:paraId="7030774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Електронний кабінет водія (</w:t>
      </w:r>
      <w:hyperlink r:id="rId9" w:history="1">
        <w:r w:rsidRPr="002F3D62">
          <w:rPr>
            <w:rStyle w:val="a4"/>
            <w:color w:val="00518C"/>
            <w:sz w:val="20"/>
            <w:szCs w:val="20"/>
            <w:u w:val="none"/>
          </w:rPr>
          <w:t>https://bit.ly/2YyQsSw</w:t>
        </w:r>
      </w:hyperlink>
      <w:r w:rsidRPr="002F3D62">
        <w:rPr>
          <w:color w:val="333333"/>
          <w:sz w:val="20"/>
          <w:szCs w:val="20"/>
        </w:rPr>
        <w:t>) – інформація знадобиться при заповненні розділу 6 «Цінне рухоме майно – транспортні засоби»;</w:t>
      </w:r>
    </w:p>
    <w:p w14:paraId="0E5D2E0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Електронний кабінет на сайті Державної податкової служби України (</w:t>
      </w:r>
      <w:hyperlink r:id="rId10" w:history="1">
        <w:r w:rsidRPr="002F3D62">
          <w:rPr>
            <w:rStyle w:val="a4"/>
            <w:color w:val="00518C"/>
            <w:sz w:val="20"/>
            <w:szCs w:val="20"/>
            <w:u w:val="none"/>
          </w:rPr>
          <w:t>https://cabinet.tax.gov.ua/</w:t>
        </w:r>
      </w:hyperlink>
      <w:r w:rsidRPr="002F3D62">
        <w:rPr>
          <w:color w:val="333333"/>
          <w:sz w:val="20"/>
          <w:szCs w:val="20"/>
        </w:rPr>
        <w:t>) – містить відомості про доходи;</w:t>
      </w:r>
    </w:p>
    <w:p w14:paraId="27BC460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Портал електронних послуг Пенсійного фонду України (</w:t>
      </w:r>
      <w:hyperlink r:id="rId11" w:history="1">
        <w:r w:rsidRPr="002F3D62">
          <w:rPr>
            <w:rStyle w:val="a4"/>
            <w:color w:val="00518C"/>
            <w:sz w:val="20"/>
            <w:szCs w:val="20"/>
            <w:u w:val="none"/>
          </w:rPr>
          <w:t>https://portal.pfu.gov.ua/</w:t>
        </w:r>
      </w:hyperlink>
      <w:r w:rsidRPr="002F3D62">
        <w:rPr>
          <w:color w:val="333333"/>
          <w:sz w:val="20"/>
          <w:szCs w:val="20"/>
        </w:rPr>
        <w:t>) – містить інформацію про нараховану заробітну плату та пенсію;</w:t>
      </w:r>
    </w:p>
    <w:p w14:paraId="7CD7087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w:t>
      </w:r>
      <w:proofErr w:type="spellStart"/>
      <w:r w:rsidRPr="002F3D62">
        <w:rPr>
          <w:color w:val="333333"/>
          <w:sz w:val="20"/>
          <w:szCs w:val="20"/>
        </w:rPr>
        <w:t>Укрпатент</w:t>
      </w:r>
      <w:proofErr w:type="spellEnd"/>
      <w:r w:rsidRPr="002F3D62">
        <w:rPr>
          <w:color w:val="333333"/>
          <w:sz w:val="20"/>
          <w:szCs w:val="20"/>
        </w:rPr>
        <w:t xml:space="preserve"> (</w:t>
      </w:r>
      <w:hyperlink r:id="rId12" w:history="1">
        <w:r w:rsidRPr="002F3D62">
          <w:rPr>
            <w:rStyle w:val="a4"/>
            <w:color w:val="00518C"/>
            <w:sz w:val="20"/>
            <w:szCs w:val="20"/>
            <w:u w:val="none"/>
          </w:rPr>
          <w:t>https://bit.ly/2xxa7Hk</w:t>
        </w:r>
      </w:hyperlink>
      <w:r w:rsidRPr="002F3D62">
        <w:rPr>
          <w:color w:val="333333"/>
          <w:sz w:val="20"/>
          <w:szCs w:val="20"/>
        </w:rPr>
        <w:t>) – інформація щодо зареєстрованих патентів на винаходи, корисних моделей, промислових знаків, яка необхідна для заповнення розділу 10 «Нематеріальні активи».</w:t>
      </w:r>
    </w:p>
    <w:p w14:paraId="606D284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Агентство з розвитку інфраструктури фондового ринку України (</w:t>
      </w:r>
      <w:hyperlink r:id="rId13" w:history="1">
        <w:r w:rsidRPr="002F3D62">
          <w:rPr>
            <w:rStyle w:val="a4"/>
            <w:color w:val="00518C"/>
            <w:sz w:val="20"/>
            <w:szCs w:val="20"/>
            <w:u w:val="none"/>
          </w:rPr>
          <w:t>https://cabinet.smida.gov.ua/</w:t>
        </w:r>
      </w:hyperlink>
      <w:r w:rsidRPr="002F3D62">
        <w:rPr>
          <w:color w:val="333333"/>
          <w:sz w:val="20"/>
          <w:szCs w:val="20"/>
        </w:rPr>
        <w:t>) – інформація про номінальну вартість цінних паперів, яка необхідна для заповнення розділу 7 «Цінні папери».</w:t>
      </w:r>
    </w:p>
    <w:p w14:paraId="56AF24A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b/>
          <w:bCs/>
          <w:color w:val="333333"/>
          <w:sz w:val="20"/>
          <w:szCs w:val="20"/>
        </w:rPr>
        <w:t>Зверніть увагу, що інформація, яка міститься у реєстрах, може бути неповною та періодично оновлюватися.</w:t>
      </w:r>
    </w:p>
    <w:p w14:paraId="181DF3F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Нагадуємо, що кампанія Е-декларування 2021 року триває до 31 березня.</w:t>
      </w:r>
    </w:p>
    <w:p w14:paraId="5025D1C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Отримати роз’яснення щодо заповнення Е-декларації можливо:</w:t>
      </w:r>
    </w:p>
    <w:p w14:paraId="55EE9BB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звернувшись до уповноважених підрозділів/осіб із питань запобігання корупції у вашій установі. Їхні контакти можна знайти за посиланням: </w:t>
      </w:r>
      <w:hyperlink r:id="rId14" w:history="1">
        <w:r w:rsidRPr="002F3D62">
          <w:rPr>
            <w:rStyle w:val="a4"/>
            <w:color w:val="00518C"/>
            <w:sz w:val="20"/>
            <w:szCs w:val="20"/>
            <w:u w:val="none"/>
          </w:rPr>
          <w:t>https://nazk.gov.ua/uk/katalog-upovnovazhenyh/</w:t>
        </w:r>
      </w:hyperlink>
      <w:r w:rsidRPr="002F3D62">
        <w:rPr>
          <w:color w:val="333333"/>
          <w:sz w:val="20"/>
          <w:szCs w:val="20"/>
        </w:rPr>
        <w:t>.</w:t>
      </w:r>
    </w:p>
    <w:p w14:paraId="3DD860B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за телефоном Контакт-центру НАЗК </w:t>
      </w:r>
      <w:r w:rsidRPr="002F3D62">
        <w:rPr>
          <w:rStyle w:val="a5"/>
          <w:rFonts w:eastAsiaTheme="majorEastAsia"/>
          <w:b/>
          <w:bCs/>
          <w:color w:val="333333"/>
          <w:sz w:val="20"/>
          <w:szCs w:val="20"/>
        </w:rPr>
        <w:t>+38(044)200–06–94</w:t>
      </w:r>
      <w:r w:rsidRPr="002F3D62">
        <w:rPr>
          <w:color w:val="333333"/>
          <w:sz w:val="20"/>
          <w:szCs w:val="20"/>
        </w:rPr>
        <w:t>. Консультації надаються в робочі дні з понеділка по п’ятницю з 9:00 до 18:00;</w:t>
      </w:r>
    </w:p>
    <w:p w14:paraId="3103574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у пошуку за ключовим словом у базі знань НАЗК за посиланням: </w:t>
      </w:r>
      <w:hyperlink r:id="rId15" w:history="1">
        <w:r w:rsidRPr="002F3D62">
          <w:rPr>
            <w:rStyle w:val="a4"/>
            <w:color w:val="00518C"/>
            <w:sz w:val="20"/>
            <w:szCs w:val="20"/>
            <w:u w:val="none"/>
          </w:rPr>
          <w:t>https://wiki.nazk.gov.ua/</w:t>
        </w:r>
      </w:hyperlink>
      <w:r w:rsidRPr="002F3D62">
        <w:rPr>
          <w:color w:val="333333"/>
          <w:sz w:val="20"/>
          <w:szCs w:val="20"/>
        </w:rPr>
        <w:t>.</w:t>
      </w:r>
    </w:p>
    <w:p w14:paraId="6836F50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Для отримання технічної допомоги щодо роботи з Реєстром зверніться за </w:t>
      </w:r>
      <w:proofErr w:type="spellStart"/>
      <w:r w:rsidRPr="002F3D62">
        <w:rPr>
          <w:color w:val="333333"/>
          <w:sz w:val="20"/>
          <w:szCs w:val="20"/>
        </w:rPr>
        <w:t>адресою</w:t>
      </w:r>
      <w:proofErr w:type="spellEnd"/>
      <w:r w:rsidRPr="002F3D62">
        <w:rPr>
          <w:color w:val="333333"/>
          <w:sz w:val="20"/>
          <w:szCs w:val="20"/>
        </w:rPr>
        <w:t> </w:t>
      </w:r>
      <w:hyperlink r:id="rId16" w:history="1">
        <w:r w:rsidRPr="002F3D62">
          <w:rPr>
            <w:rStyle w:val="a4"/>
            <w:color w:val="00518C"/>
            <w:sz w:val="20"/>
            <w:szCs w:val="20"/>
            <w:u w:val="none"/>
          </w:rPr>
          <w:t>support@nazk.gov.ua</w:t>
        </w:r>
      </w:hyperlink>
      <w:r w:rsidRPr="002F3D62">
        <w:rPr>
          <w:color w:val="333333"/>
          <w:sz w:val="20"/>
          <w:szCs w:val="20"/>
        </w:rPr>
        <w:t xml:space="preserve"> або заповніть форму </w:t>
      </w:r>
      <w:proofErr w:type="spellStart"/>
      <w:r w:rsidRPr="002F3D62">
        <w:rPr>
          <w:color w:val="333333"/>
          <w:sz w:val="20"/>
          <w:szCs w:val="20"/>
        </w:rPr>
        <w:t>зворотнього</w:t>
      </w:r>
      <w:proofErr w:type="spellEnd"/>
      <w:r w:rsidRPr="002F3D62">
        <w:rPr>
          <w:color w:val="333333"/>
          <w:sz w:val="20"/>
          <w:szCs w:val="20"/>
        </w:rPr>
        <w:t xml:space="preserve"> зв’язку на </w:t>
      </w:r>
      <w:proofErr w:type="spellStart"/>
      <w:r w:rsidR="00700E26">
        <w:fldChar w:fldCharType="begin"/>
      </w:r>
      <w:r w:rsidR="00700E26">
        <w:instrText xml:space="preserve"> HYPERLINK "https://bit.ly/38H1zME." </w:instrText>
      </w:r>
      <w:r w:rsidR="00700E26">
        <w:fldChar w:fldCharType="separate"/>
      </w:r>
      <w:r w:rsidRPr="002F3D62">
        <w:rPr>
          <w:rStyle w:val="a4"/>
          <w:color w:val="00518C"/>
          <w:sz w:val="20"/>
          <w:szCs w:val="20"/>
          <w:u w:val="none"/>
        </w:rPr>
        <w:t>вебсайті</w:t>
      </w:r>
      <w:proofErr w:type="spellEnd"/>
      <w:r w:rsidR="00700E26">
        <w:rPr>
          <w:rStyle w:val="a4"/>
          <w:color w:val="00518C"/>
          <w:sz w:val="20"/>
          <w:szCs w:val="20"/>
          <w:u w:val="none"/>
        </w:rPr>
        <w:fldChar w:fldCharType="end"/>
      </w:r>
      <w:r w:rsidRPr="002F3D62">
        <w:rPr>
          <w:color w:val="333333"/>
          <w:sz w:val="20"/>
          <w:szCs w:val="20"/>
        </w:rPr>
        <w:t>.</w:t>
      </w:r>
    </w:p>
    <w:p w14:paraId="1F6247D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Інформація розміщена на офіційному </w:t>
      </w:r>
      <w:proofErr w:type="spellStart"/>
      <w:r w:rsidRPr="002F3D62">
        <w:rPr>
          <w:color w:val="333333"/>
          <w:sz w:val="20"/>
          <w:szCs w:val="20"/>
        </w:rPr>
        <w:t>вебсайті</w:t>
      </w:r>
      <w:proofErr w:type="spellEnd"/>
      <w:r w:rsidRPr="002F3D62">
        <w:rPr>
          <w:color w:val="333333"/>
          <w:sz w:val="20"/>
          <w:szCs w:val="20"/>
        </w:rPr>
        <w:t xml:space="preserve"> НАЗК за посиланням</w:t>
      </w:r>
    </w:p>
    <w:p w14:paraId="186B9F9C" w14:textId="77777777" w:rsidR="00C90CFF" w:rsidRPr="002F3D62" w:rsidRDefault="00700E26" w:rsidP="002F3D62">
      <w:pPr>
        <w:pStyle w:val="a3"/>
        <w:shd w:val="clear" w:color="auto" w:fill="FFFFFF"/>
        <w:spacing w:before="0" w:beforeAutospacing="0" w:after="0" w:afterAutospacing="0"/>
        <w:jc w:val="both"/>
        <w:rPr>
          <w:color w:val="333333"/>
          <w:sz w:val="20"/>
          <w:szCs w:val="20"/>
        </w:rPr>
      </w:pPr>
      <w:hyperlink r:id="rId17" w:history="1">
        <w:r w:rsidR="00C90CFF" w:rsidRPr="002F3D62">
          <w:rPr>
            <w:rStyle w:val="a4"/>
            <w:b/>
            <w:bCs/>
            <w:color w:val="00518C"/>
            <w:sz w:val="20"/>
            <w:szCs w:val="20"/>
            <w:u w:val="none"/>
          </w:rPr>
          <w:t>https://nazk.gov.ua/uk/novyny/yak-otrymaty-neobhidni-dlya-zapovnennya-deklaratsiyi-dani-onlajn-pid-chas-karantynu/</w:t>
        </w:r>
      </w:hyperlink>
    </w:p>
    <w:p w14:paraId="73D6F19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18" w:tgtFrame="_blank" w:history="1">
        <w:r w:rsidRPr="002F3D62">
          <w:rPr>
            <w:rStyle w:val="a4"/>
            <w:color w:val="00518C"/>
            <w:sz w:val="20"/>
            <w:szCs w:val="20"/>
            <w:u w:val="none"/>
          </w:rPr>
          <w:t>https://t.me/tax_gov_ua</w:t>
        </w:r>
      </w:hyperlink>
    </w:p>
    <w:p w14:paraId="17FF50D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p>
    <w:p w14:paraId="18FF6BDA" w14:textId="590B9233" w:rsidR="00FC3D76" w:rsidRPr="002F3D62" w:rsidRDefault="00757B0D" w:rsidP="002F3D62">
      <w:pPr>
        <w:pStyle w:val="1"/>
        <w:shd w:val="clear" w:color="auto" w:fill="FFFFFF"/>
        <w:spacing w:before="0" w:beforeAutospacing="0" w:after="0" w:afterAutospacing="0"/>
        <w:rPr>
          <w:b w:val="0"/>
          <w:bCs w:val="0"/>
          <w:sz w:val="20"/>
          <w:szCs w:val="20"/>
        </w:rPr>
      </w:pPr>
      <w:r w:rsidRPr="002F3D62">
        <w:rPr>
          <w:b w:val="0"/>
          <w:bCs w:val="0"/>
          <w:sz w:val="20"/>
          <w:szCs w:val="20"/>
        </w:rPr>
        <w:t>Криворізький північний відділ організації роботи ГУ ДПС у Дніпропетровській області</w:t>
      </w:r>
    </w:p>
    <w:p w14:paraId="2BF49781" w14:textId="77777777" w:rsidR="00757B0D" w:rsidRPr="002F3D62" w:rsidRDefault="00757B0D" w:rsidP="002F3D62">
      <w:pPr>
        <w:pStyle w:val="1"/>
        <w:shd w:val="clear" w:color="auto" w:fill="FFFFFF"/>
        <w:spacing w:before="0" w:beforeAutospacing="0" w:after="0" w:afterAutospacing="0"/>
        <w:rPr>
          <w:b w:val="0"/>
          <w:bCs w:val="0"/>
          <w:sz w:val="20"/>
          <w:szCs w:val="20"/>
        </w:rPr>
      </w:pPr>
    </w:p>
    <w:p w14:paraId="025F0EBC"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Реєстрація РРО/ПРРО для ФОП, який надає послуги з використанням Інтернет із власної квартири</w:t>
      </w:r>
    </w:p>
    <w:p w14:paraId="05018B06" w14:textId="08ED96C7" w:rsidR="00C90CFF" w:rsidRPr="002F3D62" w:rsidRDefault="002F3D62" w:rsidP="002F3D62">
      <w:pPr>
        <w:pStyle w:val="a3"/>
        <w:shd w:val="clear" w:color="auto" w:fill="FFFFFF"/>
        <w:spacing w:before="0" w:beforeAutospacing="0" w:after="0" w:afterAutospacing="0"/>
        <w:jc w:val="both"/>
        <w:rPr>
          <w:color w:val="333333"/>
          <w:sz w:val="20"/>
          <w:szCs w:val="20"/>
        </w:rPr>
      </w:pPr>
      <w:r>
        <w:rPr>
          <w:color w:val="333333"/>
          <w:sz w:val="20"/>
          <w:szCs w:val="20"/>
        </w:rPr>
        <w:t>З</w:t>
      </w:r>
      <w:r w:rsidR="00C90CFF" w:rsidRPr="002F3D62">
        <w:rPr>
          <w:color w:val="333333"/>
          <w:sz w:val="20"/>
          <w:szCs w:val="20"/>
        </w:rPr>
        <w:t>вертає</w:t>
      </w:r>
      <w:r w:rsidR="00096BDD">
        <w:rPr>
          <w:color w:val="333333"/>
          <w:sz w:val="20"/>
          <w:szCs w:val="20"/>
        </w:rPr>
        <w:t>мо</w:t>
      </w:r>
      <w:r w:rsidR="00C90CFF" w:rsidRPr="002F3D62">
        <w:rPr>
          <w:color w:val="333333"/>
          <w:sz w:val="20"/>
          <w:szCs w:val="20"/>
        </w:rPr>
        <w:t xml:space="preserve"> увагу, якщо місце проживання фізичної особи – підприємця (ФОП) є місцем, де провадиться підприємницька діяльність, або воно пов’язане із здійсненням підприємницької діяльності, то ФОП відповідно до вимог п. 63.3 ст. 63 Податкового кодексу України має подати повідомлення про об’єкти оподаткування або об’єкти, пов’язані з оподаткуванням, повідомивши про місце проживання як про об’єкт оподаткування, після чого на такий об’єкт може бути зареєстроване реєстратор розрахункових операцій (РРО) та/або програмний РРО (ПРРО).</w:t>
      </w:r>
    </w:p>
    <w:p w14:paraId="273F14D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Нагадуємо, що з 01 січня 2021 року до 01 січня 2022 року РРО та/або ПРРО не застосовуються ФОП, платниками єдиного податку другої – четвертої груп, обсяг доходу яких протягом календарного року не перевищує 220 розмірів мінімальної заробітної плати, встановленої законом на 01 січня податкового (звітного) року   (1 320 000 грн), незалежно від обраного виду діяльності, </w:t>
      </w:r>
      <w:r w:rsidRPr="002F3D62">
        <w:rPr>
          <w:rStyle w:val="a5"/>
          <w:rFonts w:eastAsiaTheme="majorEastAsia"/>
          <w:b/>
          <w:bCs/>
          <w:color w:val="333333"/>
          <w:sz w:val="20"/>
          <w:szCs w:val="20"/>
        </w:rPr>
        <w:t>крім тих, які здійснюють</w:t>
      </w:r>
      <w:r w:rsidRPr="002F3D62">
        <w:rPr>
          <w:color w:val="333333"/>
          <w:sz w:val="20"/>
          <w:szCs w:val="20"/>
        </w:rPr>
        <w:t>:</w:t>
      </w:r>
    </w:p>
    <w:p w14:paraId="3A0F1D4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реалізацію технічно складних побутових товарів, що підлягають гарантійному ремонту;</w:t>
      </w:r>
    </w:p>
    <w:p w14:paraId="70E3D85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реалізацію лікарських засобів, виробів медичного призначення та надання платних послуг у сфері охорони здоров'я;</w:t>
      </w:r>
    </w:p>
    <w:p w14:paraId="6FEFFC8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2F3D62">
        <w:rPr>
          <w:color w:val="333333"/>
          <w:sz w:val="20"/>
          <w:szCs w:val="20"/>
        </w:rPr>
        <w:t>напівдорогоцінного</w:t>
      </w:r>
      <w:proofErr w:type="spellEnd"/>
      <w:r w:rsidRPr="002F3D62">
        <w:rPr>
          <w:color w:val="333333"/>
          <w:sz w:val="20"/>
          <w:szCs w:val="20"/>
        </w:rPr>
        <w:t xml:space="preserve"> каміння.</w:t>
      </w:r>
    </w:p>
    <w:p w14:paraId="64B8201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Для вищезазначених видів діяльності застосування РРО/ПРРО є обов’язковим.</w:t>
      </w:r>
    </w:p>
    <w:p w14:paraId="06B4B44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При цьому, відповідно до ст. 9 Закону України «Про застосування реєстраторів розрахункових операцій у сфері торгівлі, громадського харчування та послуг» від 06 липня 1995 року № 265/95-ВР із змінами та доповненнями передбачено, що РРО/ПРРО не застосовується у разі здійснення розрахунків за надані платні послуги у сфері охорони здоров'я у безготівковій формі (з рахунку на рахунок), через банківські установи, та виключно через сервіси переказу коштів або за допомогою банківських систем дистанційного обслуговування.</w:t>
      </w:r>
    </w:p>
    <w:p w14:paraId="5D73F28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19" w:tgtFrame="_blank" w:history="1">
        <w:r w:rsidRPr="002F3D62">
          <w:rPr>
            <w:rStyle w:val="a4"/>
            <w:color w:val="00518C"/>
            <w:sz w:val="20"/>
            <w:szCs w:val="20"/>
            <w:u w:val="none"/>
          </w:rPr>
          <w:t>https://t.me/tax_gov_ua</w:t>
        </w:r>
      </w:hyperlink>
    </w:p>
    <w:p w14:paraId="442C523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rFonts w:eastAsiaTheme="majorEastAsia"/>
          <w:color w:val="333333"/>
          <w:sz w:val="20"/>
          <w:szCs w:val="20"/>
        </w:rPr>
        <w:t>»</w:t>
      </w:r>
    </w:p>
    <w:p w14:paraId="0B59DDA6" w14:textId="59C1669C" w:rsidR="00FC3D76" w:rsidRPr="002F3D62" w:rsidRDefault="00757B0D"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3516C70F"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Про граничний термін сплати єдиного внеску за себе ФОП - платниками єдиного податку</w:t>
      </w:r>
    </w:p>
    <w:p w14:paraId="22B3239D" w14:textId="0B30D98D" w:rsidR="00C90CFF"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Н</w:t>
      </w:r>
      <w:r w:rsidR="00C90CFF" w:rsidRPr="002F3D62">
        <w:rPr>
          <w:color w:val="333333"/>
          <w:sz w:val="20"/>
          <w:szCs w:val="20"/>
        </w:rPr>
        <w:t>агадує</w:t>
      </w:r>
      <w:r>
        <w:rPr>
          <w:color w:val="333333"/>
          <w:sz w:val="20"/>
          <w:szCs w:val="20"/>
        </w:rPr>
        <w:t>мо</w:t>
      </w:r>
      <w:r w:rsidR="00C90CFF" w:rsidRPr="002F3D62">
        <w:rPr>
          <w:color w:val="333333"/>
          <w:sz w:val="20"/>
          <w:szCs w:val="20"/>
        </w:rPr>
        <w:t>, що платники єдиного внеску на загальнообов’язкове державне соціальне страхування (далі – єдиний внесок), зазначені у п. 4 частини 1 ст. 4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зокрема, ФОП – платники єдиного податку зобов’язані сплачувати єдиного внеску, нарахований за календарний квартал, до 20 числа місяця, що настає за кварталом, за який сплачується єдиний внесок.</w:t>
      </w:r>
    </w:p>
    <w:p w14:paraId="4D6A01F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Норми встановлені абзацом третім частини 8 ст. 9 Закону № 2464.</w:t>
      </w:r>
    </w:p>
    <w:p w14:paraId="76DB63C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Згідно з п. 6 розділу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(у редакції наказу Міністерства фінансів України від 21.12.2020 № 790), у разі якщо останній день строків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w:t>
      </w:r>
    </w:p>
    <w:p w14:paraId="5990E3A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до ст. 530 Цивільного кодексу України від 16 січня 2003 року № 435-IV із змінами та доповненнями якщо у зобов’язанні встановлений строк (термін) його виконання, то воно підлягає виконанню у цей строк (термін).</w:t>
      </w:r>
    </w:p>
    <w:p w14:paraId="267B37D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Отже, граничний термін сплати єдиного внеску за себе ФОП – платниками єдиного внеску – 19 число місяця, що настає за кварталом, за який сплачується єдиний внесок.</w:t>
      </w:r>
    </w:p>
    <w:p w14:paraId="601A24B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якщо останній день строків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w:t>
      </w:r>
    </w:p>
    <w:p w14:paraId="65FEA89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20" w:tgtFrame="_blank" w:history="1">
        <w:r w:rsidRPr="002F3D62">
          <w:rPr>
            <w:rStyle w:val="a4"/>
            <w:color w:val="00518C"/>
            <w:sz w:val="20"/>
            <w:szCs w:val="20"/>
            <w:u w:val="none"/>
          </w:rPr>
          <w:t>https://t.me/tax_gov_ua</w:t>
        </w:r>
      </w:hyperlink>
    </w:p>
    <w:p w14:paraId="7596803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74A6E4DB" w14:textId="048C9953" w:rsidR="00FA3953" w:rsidRPr="002F3D62" w:rsidRDefault="00FA3953" w:rsidP="002F3D62">
      <w:pPr>
        <w:pStyle w:val="a3"/>
        <w:shd w:val="clear" w:color="auto" w:fill="FFFFFF"/>
        <w:spacing w:before="0" w:beforeAutospacing="0" w:after="0" w:afterAutospacing="0"/>
        <w:jc w:val="both"/>
        <w:rPr>
          <w:color w:val="333333"/>
          <w:sz w:val="20"/>
          <w:szCs w:val="20"/>
        </w:rPr>
      </w:pPr>
    </w:p>
    <w:p w14:paraId="73F36E0C" w14:textId="77777777" w:rsidR="00757B0D" w:rsidRPr="00096BDD"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096BD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2F3D62" w:rsidRDefault="00757B0D" w:rsidP="002F3D62">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009EB921"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Закон № 466: хто та в який термін вперше подає контролюючому органу фінансову звітність разом з аудиторським висновком</w:t>
      </w:r>
    </w:p>
    <w:p w14:paraId="3E799897" w14:textId="4CF1F288"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23.05.2020 набрав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F3D62">
        <w:rPr>
          <w:color w:val="333333"/>
          <w:sz w:val="20"/>
          <w:szCs w:val="20"/>
        </w:rPr>
        <w:t>неузгодженостей</w:t>
      </w:r>
      <w:proofErr w:type="spellEnd"/>
      <w:r w:rsidRPr="002F3D62">
        <w:rPr>
          <w:color w:val="333333"/>
          <w:sz w:val="20"/>
          <w:szCs w:val="20"/>
        </w:rPr>
        <w:t xml:space="preserve"> у податковому законодавстві» (далі – Закон № 466), яким </w:t>
      </w:r>
      <w:proofErr w:type="spellStart"/>
      <w:r w:rsidRPr="002F3D62">
        <w:rPr>
          <w:color w:val="333333"/>
          <w:sz w:val="20"/>
          <w:szCs w:val="20"/>
        </w:rPr>
        <w:t>внесено</w:t>
      </w:r>
      <w:proofErr w:type="spellEnd"/>
      <w:r w:rsidRPr="002F3D62">
        <w:rPr>
          <w:color w:val="333333"/>
          <w:sz w:val="20"/>
          <w:szCs w:val="20"/>
        </w:rPr>
        <w:t xml:space="preserve"> зміни, зокрема, до п. 46.2 ст. 46 та п. 49.4 ст. 49 Податкового кодексу України (далі – ПКУ).</w:t>
      </w:r>
    </w:p>
    <w:p w14:paraId="59DFA38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вищезазначеними змінами передбачено, що платники податку на прибуток,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966)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14:paraId="7392827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разом з податковою декларацією за відповідний річний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14:paraId="56A3B6B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річну фінансову звітність разом з аудиторським звітом, яка підлягає оприлюдненню, у строк не пізніше 10 червня року, наступного за звітним. У разі неподання (несвоєчасного подання) річної фінансової звітності разом з аудиторським звітом, яка підлягає оприлюдненню, застосовується відповідальність, передбачена п. 120.1 ст. 120 ПКУ для подання податкових декларацій (розрахунків).</w:t>
      </w:r>
    </w:p>
    <w:p w14:paraId="61A5803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Враховуючи, що вищезазначені зміни до п. 46.2 ст. 46 ПКУ набрали чинності 23.05.2020 і граничний термін подання Податкової декларації з податку на прибуток підприємств (далі – Декларація) та фінансової звітності за звітний період (2019 рік) вже минув, то вперше норма цього пункту щодо обов’язкового подання річної фінансової звітності разом з аудиторським звітом у строк не пізніше 10 червня року, наступного за звітним, застосовується в 2021 році за підсумками 2020 звітного року.</w:t>
      </w:r>
    </w:p>
    <w:p w14:paraId="2533BF5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Тобто 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14:paraId="4D40BA9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разом з податковою декларацією за податковий (звітний) період (2020 рік)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14:paraId="4742CCA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річну фінансову звітність за 2020 рік разом з аудиторським звітом у строк не пізніше 10 червня 2021 року.</w:t>
      </w:r>
    </w:p>
    <w:p w14:paraId="68B128E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якщо показники оприлюдненої разом з аудиторським звітом річної фінансової звітності зазнали змін порівняно з показниками звіту про фінансовий стан (баланс) та звіту про прибутки та збитки та інший сукупний дохід (звіту про фінансові результати), що були подані разом з Декларацією за 2020 рік, та такі зміни вплинули на показники такої річної Декларації, 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уточнюючу Декларацію до річної Декларації за 2020 рік у строк не пізніше 10 червня 2021 року.</w:t>
      </w:r>
    </w:p>
    <w:p w14:paraId="6F7B461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Крім того, звертаємо увагу, що п. 49.4 ст. 49 ПКУ відповідно до внесених Законом № 466 змін передбачає, що 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абзаців першого та другого п. 46.2 ст. 46 ПКУ, подаються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від 05 жовтня 2017 року № 2155-VIII «Про електронні довірчі послуги» зі змінами та доповненнями до контролюючих органів платниками податку на прибуток підприємств та неприбутковими підприємствами, установами, організаціями, які подають податкову звітність в електронній формі.</w:t>
      </w:r>
    </w:p>
    <w:p w14:paraId="673DADB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Відповідні роз’яснення надані листом ДПС від 04.06.2020 № 8939/7/99-00-07-02-01-07.</w:t>
      </w:r>
    </w:p>
    <w:p w14:paraId="443DFD9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21" w:tgtFrame="_blank" w:history="1">
        <w:r w:rsidRPr="002F3D62">
          <w:rPr>
            <w:rStyle w:val="a4"/>
            <w:color w:val="00518C"/>
            <w:sz w:val="20"/>
            <w:szCs w:val="20"/>
            <w:u w:val="none"/>
          </w:rPr>
          <w:t>https://t.me/tax_gov_ua</w:t>
        </w:r>
      </w:hyperlink>
    </w:p>
    <w:p w14:paraId="1936D8A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054029C5"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2F3D62" w:rsidRDefault="00757B0D" w:rsidP="002F3D62">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63C0EB42" w14:textId="77777777" w:rsidR="00C90CFF" w:rsidRPr="00096BDD" w:rsidRDefault="00C90CFF" w:rsidP="002F3D62">
      <w:pPr>
        <w:pStyle w:val="1"/>
        <w:shd w:val="clear" w:color="auto" w:fill="FFFFFF"/>
        <w:spacing w:before="0" w:beforeAutospacing="0" w:after="0" w:afterAutospacing="0"/>
        <w:rPr>
          <w:color w:val="333333"/>
          <w:sz w:val="20"/>
          <w:szCs w:val="20"/>
        </w:rPr>
      </w:pPr>
      <w:bookmarkStart w:id="0" w:name="_Hlk62131322"/>
      <w:r w:rsidRPr="00096BDD">
        <w:rPr>
          <w:color w:val="333333"/>
          <w:sz w:val="20"/>
          <w:szCs w:val="20"/>
        </w:rPr>
        <w:t>Правила встановлення та використання програмних реєстраторів розрахункових операцій</w:t>
      </w:r>
    </w:p>
    <w:p w14:paraId="67D32B54" w14:textId="28CBA3D4" w:rsidR="00C90CFF"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Д</w:t>
      </w:r>
      <w:r w:rsidR="00C90CFF" w:rsidRPr="002F3D62">
        <w:rPr>
          <w:color w:val="333333"/>
          <w:sz w:val="20"/>
          <w:szCs w:val="20"/>
        </w:rPr>
        <w:t>оводи</w:t>
      </w:r>
      <w:r>
        <w:rPr>
          <w:color w:val="333333"/>
          <w:sz w:val="20"/>
          <w:szCs w:val="20"/>
        </w:rPr>
        <w:t>мо</w:t>
      </w:r>
      <w:r w:rsidR="00C90CFF" w:rsidRPr="002F3D62">
        <w:rPr>
          <w:color w:val="333333"/>
          <w:sz w:val="20"/>
          <w:szCs w:val="20"/>
        </w:rPr>
        <w:t xml:space="preserve"> до відома платників, що правові відносини у сфері застосування реєстраторів розрахункових операцій (РРО) та/або програмних РРО (ПРРО) регулюються Законом України «Про застосування реєстраторів розрахункових операцій у сфері торгівлі, громадського харчування та послуг» (далі – Закон).</w:t>
      </w:r>
    </w:p>
    <w:p w14:paraId="2B32207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Дія Закону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w:t>
      </w:r>
    </w:p>
    <w:p w14:paraId="3D134A3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в сфері торгівлі і послуг» (далі – Закон № 128) створено правові підстави для застосування ПРРО.</w:t>
      </w:r>
    </w:p>
    <w:p w14:paraId="2814196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У разі, якщо суб’єкт господарювання підпадає під дію Закону та Податкового кодексу </w:t>
      </w:r>
      <w:proofErr w:type="spellStart"/>
      <w:r w:rsidRPr="002F3D62">
        <w:rPr>
          <w:color w:val="333333"/>
          <w:sz w:val="20"/>
          <w:szCs w:val="20"/>
        </w:rPr>
        <w:t>України,згідно</w:t>
      </w:r>
      <w:proofErr w:type="spellEnd"/>
      <w:r w:rsidRPr="002F3D62">
        <w:rPr>
          <w:color w:val="333333"/>
          <w:sz w:val="20"/>
          <w:szCs w:val="20"/>
        </w:rPr>
        <w:t xml:space="preserve"> з якими настає обов’язок застосовувати РРО та/або ПРРО, суб’єкт господарювання за власним вибором може обрати для проведення розрахунків за товари/послуги РРО/ПРРО.</w:t>
      </w:r>
    </w:p>
    <w:p w14:paraId="261F0E9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На виконання вимог Закону № 128 ДПС з 01.08.2020 розроблено та надано для користування суб’єктам господарювання два безкоштовних програмних рішення (ПРРО) «Програмний реєстратор розрахункових операцій» та фіскальний додаток </w:t>
      </w:r>
      <w:proofErr w:type="spellStart"/>
      <w:r w:rsidRPr="002F3D62">
        <w:rPr>
          <w:color w:val="333333"/>
          <w:sz w:val="20"/>
          <w:szCs w:val="20"/>
        </w:rPr>
        <w:t>пРРОсто</w:t>
      </w:r>
      <w:proofErr w:type="spellEnd"/>
      <w:r w:rsidRPr="002F3D62">
        <w:rPr>
          <w:color w:val="333333"/>
          <w:sz w:val="20"/>
          <w:szCs w:val="20"/>
        </w:rPr>
        <w:t xml:space="preserve">, що призначені для проведення розрахункових операцій та розміщені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за посиланнями: </w:t>
      </w:r>
      <w:hyperlink r:id="rId22" w:history="1">
        <w:r w:rsidRPr="002F3D62">
          <w:rPr>
            <w:rStyle w:val="a4"/>
            <w:color w:val="00518C"/>
            <w:sz w:val="20"/>
            <w:szCs w:val="20"/>
            <w:u w:val="none"/>
          </w:rPr>
          <w:t>https://tax.gov.ua/baneryi/programni-rro/programniy-reestrator-rozrahunkovih-operatsiy/</w:t>
        </w:r>
      </w:hyperlink>
      <w:r w:rsidRPr="002F3D62">
        <w:rPr>
          <w:color w:val="333333"/>
          <w:sz w:val="20"/>
          <w:szCs w:val="20"/>
        </w:rPr>
        <w:t>.</w:t>
      </w:r>
    </w:p>
    <w:p w14:paraId="1080452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створено банер «Програмні РРО» (</w:t>
      </w:r>
      <w:hyperlink r:id="rId23" w:history="1">
        <w:r w:rsidRPr="002F3D62">
          <w:rPr>
            <w:rStyle w:val="a4"/>
            <w:color w:val="00518C"/>
            <w:sz w:val="20"/>
            <w:szCs w:val="20"/>
            <w:u w:val="none"/>
          </w:rPr>
          <w:t>https://tax.gov.ua/baneryi/programni-rro/</w:t>
        </w:r>
      </w:hyperlink>
      <w:r w:rsidRPr="002F3D62">
        <w:rPr>
          <w:color w:val="333333"/>
          <w:sz w:val="20"/>
          <w:szCs w:val="20"/>
        </w:rPr>
        <w:t xml:space="preserve">), який містить актуальну інформацію, пов’язану з ПРРО, включаючи нормативно-правові акти, </w:t>
      </w:r>
      <w:proofErr w:type="spellStart"/>
      <w:r w:rsidRPr="002F3D62">
        <w:rPr>
          <w:color w:val="333333"/>
          <w:sz w:val="20"/>
          <w:szCs w:val="20"/>
        </w:rPr>
        <w:t>відеоуроки</w:t>
      </w:r>
      <w:proofErr w:type="spellEnd"/>
      <w:r w:rsidRPr="002F3D62">
        <w:rPr>
          <w:color w:val="333333"/>
          <w:sz w:val="20"/>
          <w:szCs w:val="20"/>
        </w:rPr>
        <w:t xml:space="preserve"> щодо процедури реєстрації ПРРО, отримання електронних ключів у кваліфікованого надавача електронних довірчих послуг ДПС, інструкції щодо заповнення та подання форм, інформаційні повідомлення щодо оновлення версій безкоштовних програмних рішень, контакти відповідальних осіб ДПС, які надають роз’яснення, пов’язані з роботою ПРРО.</w:t>
      </w:r>
    </w:p>
    <w:p w14:paraId="23E896E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Реєстрація та застосування ПРРО здійснюється у порядку, встановленому Порядком реєстрації, ведення реєстру та застосування програмних реєстраторів розрахункових операцій, розробленому відповідно до статті 7 Закону та затвердженому наказом Міністерства фінансів України від 23.06.2020 № 317 «Про внесення змін до наказу Міністерства фінансів України від 14 червня 2016 року   № 547», зареєстрованим у Міністерстві юстиції України 07.07.2020 за № 635/34918, згідно з яким реєстрація ПРРО та обмін документами між ПРРО та фіскальним сервером контролюючого органу здійснюється виключно на підставі електронних документів з дотриманням вимог законів у сфері електронного документообігу та використання електронних документів.</w:t>
      </w:r>
    </w:p>
    <w:p w14:paraId="2CF29B5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Згідно з пунктом 1 розділу IV Порядку суб’єкти господарювання, які використовують ПРРО для здійснення розрахункових операцій, зобов’язані, зокрема, застосовувати лише переведені у фіскальний режим роботи ПРРО, які зареєстровані у реєстрі програмних реєстраторів розрахункових операцій (далі – Реєстр) і не виключені з нього, з додержанням порядку їх застосування.</w:t>
      </w:r>
    </w:p>
    <w:p w14:paraId="723E875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Згідно з пунктами 1 та 2 розділу ІІ Порядку до Реєстру вносяться дані про ПРРО, а також відомості про суб’єктів господарювання та їхні господарські одиниці, де застосовуються такі ПРРО, дані сертифікатів електронних підписів та/або печаток, що використовуються такими ПРРО.</w:t>
      </w:r>
    </w:p>
    <w:p w14:paraId="63DADE8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Порядок реєстрації ПРРО встановлено розділом ІІ Порядку.</w:t>
      </w:r>
    </w:p>
    <w:p w14:paraId="5E98F89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Реєстрація ПРРО згідно з пунктом 3 розділу ІІ Порядку проводиться на підставі заяви про реєстрацію програмних реєстраторів розрахункових операцій за формою № 1-ПРРО (</w:t>
      </w:r>
      <w:r w:rsidRPr="002F3D62">
        <w:rPr>
          <w:rStyle w:val="a5"/>
          <w:rFonts w:eastAsiaTheme="majorEastAsia"/>
          <w:b/>
          <w:bCs/>
          <w:color w:val="333333"/>
          <w:sz w:val="20"/>
          <w:szCs w:val="20"/>
        </w:rPr>
        <w:t>J/F1316602</w:t>
      </w:r>
      <w:r w:rsidRPr="002F3D62">
        <w:rPr>
          <w:color w:val="333333"/>
          <w:sz w:val="20"/>
          <w:szCs w:val="20"/>
        </w:rPr>
        <w:t>).</w:t>
      </w:r>
    </w:p>
    <w:p w14:paraId="2D851D6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до пункту 5 розділу ІІ Порядку 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програмних реєстраторів розрахункових операцій.</w:t>
      </w:r>
    </w:p>
    <w:p w14:paraId="66C6F2B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Про реєстрацію ПРРО суб’єкту господарювання направляється інформація у другій квитанції із зазначенням присвоєного під час реєстрації фіскального номера ПРРО.</w:t>
      </w:r>
    </w:p>
    <w:p w14:paraId="795ACDB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Суб’єкт господарювання, який зареєстрував ПРРО, подає Повідомлення про надання інформації щодо кваліфікованого сертифіката відкритого ключа за формою J/F1391801 з інформацією про ідентифікатор ключа з сертифікату, який використовується для підпису, щодо того працівника, якому надані повноваження проводити розрахункові операції.</w:t>
      </w:r>
    </w:p>
    <w:p w14:paraId="2B93DBC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Кожен касир засвідчує проведення розрахункових операцій та передачу даних до фіскального сервера власним електронним підписом.</w:t>
      </w:r>
    </w:p>
    <w:p w14:paraId="6262139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ПРРО згідно з пунктом 2 розділу IV Порядку може застосовуватись лише в тій господарській одиниці, дані про яку внесені до Реєстру щодо такого ПРРО.</w:t>
      </w:r>
    </w:p>
    <w:p w14:paraId="6797571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Інформаційна підтримка суб’єктам господарювання, які використовують/мають намір використовувати ПРРО, надається у центрах обслуговування платників, Інформаційно-довідковим департаментом ДПС.</w:t>
      </w:r>
    </w:p>
    <w:p w14:paraId="33F4B3C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Інформацію розміщено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України за посиланням</w:t>
      </w:r>
    </w:p>
    <w:p w14:paraId="4DA2538E" w14:textId="77777777" w:rsidR="00C90CFF" w:rsidRPr="002F3D62" w:rsidRDefault="00700E26" w:rsidP="002F3D62">
      <w:pPr>
        <w:pStyle w:val="a3"/>
        <w:shd w:val="clear" w:color="auto" w:fill="FFFFFF"/>
        <w:spacing w:before="0" w:beforeAutospacing="0" w:after="0" w:afterAutospacing="0"/>
        <w:jc w:val="both"/>
        <w:rPr>
          <w:color w:val="333333"/>
          <w:sz w:val="20"/>
          <w:szCs w:val="20"/>
        </w:rPr>
      </w:pPr>
      <w:hyperlink r:id="rId24" w:history="1">
        <w:r w:rsidR="00C90CFF" w:rsidRPr="002F3D62">
          <w:rPr>
            <w:rStyle w:val="a4"/>
            <w:b/>
            <w:bCs/>
            <w:color w:val="00518C"/>
            <w:sz w:val="20"/>
            <w:szCs w:val="20"/>
            <w:u w:val="none"/>
          </w:rPr>
          <w:t>https://tax.gov.ua/nove-pro-podatki--</w:t>
        </w:r>
        <w:proofErr w:type="spellStart"/>
        <w:r w:rsidR="00C90CFF" w:rsidRPr="002F3D62">
          <w:rPr>
            <w:rStyle w:val="a4"/>
            <w:b/>
            <w:bCs/>
            <w:color w:val="00518C"/>
            <w:sz w:val="20"/>
            <w:szCs w:val="20"/>
            <w:u w:val="none"/>
          </w:rPr>
          <w:t>novini</w:t>
        </w:r>
        <w:proofErr w:type="spellEnd"/>
        <w:r w:rsidR="00C90CFF" w:rsidRPr="002F3D62">
          <w:rPr>
            <w:rStyle w:val="a4"/>
            <w:b/>
            <w:bCs/>
            <w:color w:val="00518C"/>
            <w:sz w:val="20"/>
            <w:szCs w:val="20"/>
            <w:u w:val="none"/>
          </w:rPr>
          <w:t>-/449407.html</w:t>
        </w:r>
      </w:hyperlink>
    </w:p>
    <w:p w14:paraId="676C3C2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25" w:tgtFrame="_blank" w:history="1">
        <w:r w:rsidRPr="002F3D62">
          <w:rPr>
            <w:rStyle w:val="a4"/>
            <w:color w:val="00518C"/>
            <w:sz w:val="20"/>
            <w:szCs w:val="20"/>
            <w:u w:val="none"/>
          </w:rPr>
          <w:t>https://t.me/tax_gov_ua</w:t>
        </w:r>
      </w:hyperlink>
    </w:p>
    <w:p w14:paraId="3E4BE47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p>
    <w:p w14:paraId="1B5BE087"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561FCF63" w14:textId="77777777" w:rsidR="00FA3953" w:rsidRPr="002F3D62" w:rsidRDefault="00FA3953" w:rsidP="002F3D62">
      <w:pPr>
        <w:pStyle w:val="1"/>
        <w:shd w:val="clear" w:color="auto" w:fill="FFFFFF"/>
        <w:spacing w:before="0" w:beforeAutospacing="0" w:after="0" w:afterAutospacing="0"/>
        <w:rPr>
          <w:color w:val="333333"/>
          <w:sz w:val="20"/>
          <w:szCs w:val="20"/>
        </w:rPr>
      </w:pPr>
      <w:r w:rsidRPr="002F3D62">
        <w:rPr>
          <w:color w:val="333333"/>
          <w:sz w:val="20"/>
          <w:szCs w:val="20"/>
        </w:rPr>
        <w:t>До уваги платників єдиного внеску!</w:t>
      </w:r>
    </w:p>
    <w:p w14:paraId="674C9AAE"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ДПС України на офіційному </w:t>
      </w:r>
      <w:proofErr w:type="spellStart"/>
      <w:r w:rsidRPr="002F3D62">
        <w:rPr>
          <w:color w:val="333333"/>
          <w:sz w:val="20"/>
          <w:szCs w:val="20"/>
        </w:rPr>
        <w:t>вебпорталі</w:t>
      </w:r>
      <w:proofErr w:type="spellEnd"/>
      <w:r w:rsidRPr="002F3D62">
        <w:rPr>
          <w:color w:val="333333"/>
          <w:sz w:val="20"/>
          <w:szCs w:val="20"/>
        </w:rPr>
        <w:t xml:space="preserve"> за посиланням </w:t>
      </w:r>
      <w:hyperlink r:id="rId26" w:history="1">
        <w:r w:rsidRPr="002F3D62">
          <w:rPr>
            <w:rStyle w:val="a4"/>
            <w:color w:val="00518C"/>
            <w:sz w:val="20"/>
            <w:szCs w:val="20"/>
            <w:u w:val="none"/>
          </w:rPr>
          <w:t>https://tax.gov.ua/media-tsentr/novini/448839.html</w:t>
        </w:r>
      </w:hyperlink>
      <w:r w:rsidRPr="002F3D62">
        <w:rPr>
          <w:color w:val="333333"/>
          <w:sz w:val="20"/>
          <w:szCs w:val="20"/>
        </w:rPr>
        <w:t> повідомила, що відповідно до абзацу третього частини 8 ст. 9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19 січня 2021 року спливає граничний термін сплати єдиного внеску за IV квартал 2020 року фізичними особами – підприємцями, у тому числі тими, які обрали спрощену систему оподаткування, особами, які провадять незалежну професійну діяльність та членами фермерських господарств єдиного внеску на загальнообов’язкове державне соціальне страхування.</w:t>
      </w:r>
    </w:p>
    <w:p w14:paraId="00D6E0ED"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Законодавством про єдиний внесок визначено єдині умови щодо сплати єдиного внеску зазначеними платниками у розмірі не меншому за розмір мінімального страхового внеску, але не більше максимальної величини бази нарахування єдиного внеску.</w:t>
      </w:r>
    </w:p>
    <w:p w14:paraId="4E7FA429"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Законом України від 14 листопада 2019 року № 294-ІХ «Про Державний бюджет України на 2020 рік» було визначено, що мінімальна заробітна плата з     01 вересня 2020 року становить 5 000,00 грн, відповідно мінімальна сума єдиного внеску на місяць складає 1 100,00 грн, за IV квартал 2020 року – 3 300 гривень.</w:t>
      </w:r>
    </w:p>
    <w:p w14:paraId="11C99E5A"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Водночас, відповідно до пунктів 9</w:t>
      </w:r>
      <w:r w:rsidRPr="002F3D62">
        <w:rPr>
          <w:color w:val="333333"/>
          <w:sz w:val="20"/>
          <w:szCs w:val="20"/>
          <w:vertAlign w:val="superscript"/>
        </w:rPr>
        <w:t>10</w:t>
      </w:r>
      <w:r w:rsidRPr="002F3D62">
        <w:rPr>
          <w:color w:val="333333"/>
          <w:sz w:val="20"/>
          <w:szCs w:val="20"/>
        </w:rPr>
        <w:t> та 9</w:t>
      </w:r>
      <w:r w:rsidRPr="002F3D62">
        <w:rPr>
          <w:color w:val="333333"/>
          <w:sz w:val="20"/>
          <w:szCs w:val="20"/>
          <w:vertAlign w:val="superscript"/>
        </w:rPr>
        <w:t>16</w:t>
      </w:r>
      <w:r w:rsidRPr="002F3D62">
        <w:rPr>
          <w:color w:val="333333"/>
          <w:sz w:val="20"/>
          <w:szCs w:val="20"/>
        </w:rPr>
        <w:t> розділу VIII «Прикінцеві та перехідні положення» Закону № 2464 тимчасово звільняються від нарахування, обчислення та сплати єдиного внеску фізичні особи – підприємці, які обрали спрощену систему оподаткування, і належать до першої групи платників єдиного податку та фізичні особи – підприємці, які перебувають на загальній системі оподаткування в частині сум, що підлягають нарахуванню, обчисленню та сплаті такими особами, зокрема, за періоди з 01 по 31 грудня 2020 року за себе.</w:t>
      </w:r>
    </w:p>
    <w:p w14:paraId="7ECC9F62"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Такі платники можуть прийняти рішення про нарахування, обчислення та сплату єдиного за вказаний період в розмірах та порядку, визначених Законом № 2464.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w:t>
      </w:r>
    </w:p>
    <w:p w14:paraId="0B0B77C1"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27" w:tgtFrame="_blank" w:history="1">
        <w:r w:rsidRPr="002F3D62">
          <w:rPr>
            <w:rStyle w:val="a4"/>
            <w:color w:val="00518C"/>
            <w:sz w:val="20"/>
            <w:szCs w:val="20"/>
            <w:u w:val="none"/>
          </w:rPr>
          <w:t>https://t.me/tax_gov_ua</w:t>
        </w:r>
      </w:hyperlink>
    </w:p>
    <w:p w14:paraId="51FDD20C" w14:textId="77777777" w:rsidR="00FA3953" w:rsidRPr="002F3D62" w:rsidRDefault="00FA3953"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w:instrText>
      </w:r>
      <w:r w:rsidR="00700E26">
        <w:instrText xml:space="preserve">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6D052F27"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2328A0DC"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Реєстр рахунків для сплати єдиного внеску (з 01.01.2021)</w:t>
      </w:r>
    </w:p>
    <w:p w14:paraId="3C6E0A7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Головне управління ДПС у Дніпропетровській області інформує, що з 01.01.2021 вступили в дію нові небюджетні рахунки 3556, відкриті на ім'я територіальних органів Державної податкової служби України для сплати коштів єдиного внеску.</w:t>
      </w:r>
    </w:p>
    <w:p w14:paraId="64945D0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Заповнення платниками поля </w:t>
      </w:r>
      <w:r w:rsidRPr="002F3D62">
        <w:rPr>
          <w:rStyle w:val="a5"/>
          <w:color w:val="333333"/>
          <w:sz w:val="20"/>
          <w:szCs w:val="20"/>
        </w:rPr>
        <w:t>«Призначення платежу»</w:t>
      </w:r>
      <w:r w:rsidRPr="002F3D62">
        <w:rPr>
          <w:color w:val="333333"/>
          <w:sz w:val="20"/>
          <w:szCs w:val="20"/>
        </w:rPr>
        <w:t> розрахункових документів у разі сплати єдиного внеску на загальнообов’язкове державне соціальне страхування</w:t>
      </w:r>
    </w:p>
    <w:p w14:paraId="2AC2DC8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При сплаті єдиного внеску на загальнообов’язкове державне соціальне страхування поле </w:t>
      </w:r>
      <w:r w:rsidRPr="002F3D62">
        <w:rPr>
          <w:rStyle w:val="a5"/>
          <w:color w:val="333333"/>
          <w:sz w:val="20"/>
          <w:szCs w:val="20"/>
        </w:rPr>
        <w:t>«Призначення платежу»</w:t>
      </w:r>
      <w:r w:rsidRPr="002F3D62">
        <w:rPr>
          <w:color w:val="333333"/>
          <w:sz w:val="20"/>
          <w:szCs w:val="20"/>
        </w:rPr>
        <w:t> розрахункового документа заповнюється таким чином:</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
        <w:gridCol w:w="601"/>
        <w:gridCol w:w="1563"/>
        <w:gridCol w:w="2104"/>
        <w:gridCol w:w="360"/>
        <w:gridCol w:w="480"/>
        <w:gridCol w:w="421"/>
      </w:tblGrid>
      <w:tr w:rsidR="00C90CFF" w:rsidRPr="002F3D62" w14:paraId="0F526689" w14:textId="77777777" w:rsidTr="00C90CFF">
        <w:tc>
          <w:tcPr>
            <w:tcW w:w="250" w:type="pct"/>
            <w:tcBorders>
              <w:top w:val="outset" w:sz="6" w:space="0" w:color="auto"/>
              <w:left w:val="outset" w:sz="6" w:space="0" w:color="auto"/>
              <w:bottom w:val="outset" w:sz="6" w:space="0" w:color="auto"/>
              <w:right w:val="outset" w:sz="6" w:space="0" w:color="auto"/>
            </w:tcBorders>
            <w:hideMark/>
          </w:tcPr>
          <w:p w14:paraId="1092AC84"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w:t>
            </w:r>
          </w:p>
        </w:tc>
        <w:tc>
          <w:tcPr>
            <w:tcW w:w="500" w:type="pct"/>
            <w:tcBorders>
              <w:top w:val="outset" w:sz="6" w:space="0" w:color="auto"/>
              <w:left w:val="outset" w:sz="6" w:space="0" w:color="auto"/>
              <w:bottom w:val="outset" w:sz="6" w:space="0" w:color="auto"/>
              <w:right w:val="outset" w:sz="6" w:space="0" w:color="auto"/>
            </w:tcBorders>
            <w:hideMark/>
          </w:tcPr>
          <w:p w14:paraId="65F10164"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;101</w:t>
            </w:r>
          </w:p>
        </w:tc>
        <w:tc>
          <w:tcPr>
            <w:tcW w:w="1300" w:type="pct"/>
            <w:tcBorders>
              <w:top w:val="outset" w:sz="6" w:space="0" w:color="auto"/>
              <w:left w:val="outset" w:sz="6" w:space="0" w:color="auto"/>
              <w:bottom w:val="outset" w:sz="6" w:space="0" w:color="auto"/>
              <w:right w:val="outset" w:sz="6" w:space="0" w:color="auto"/>
            </w:tcBorders>
            <w:hideMark/>
          </w:tcPr>
          <w:p w14:paraId="69CF576E"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 код за ЄДРПОУ</w:t>
            </w:r>
          </w:p>
        </w:tc>
        <w:tc>
          <w:tcPr>
            <w:tcW w:w="1750" w:type="pct"/>
            <w:tcBorders>
              <w:top w:val="outset" w:sz="6" w:space="0" w:color="auto"/>
              <w:left w:val="outset" w:sz="6" w:space="0" w:color="auto"/>
              <w:bottom w:val="outset" w:sz="6" w:space="0" w:color="auto"/>
              <w:right w:val="outset" w:sz="6" w:space="0" w:color="auto"/>
            </w:tcBorders>
            <w:hideMark/>
          </w:tcPr>
          <w:p w14:paraId="525A0BB3"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 сплата єдиного внеску</w:t>
            </w:r>
          </w:p>
        </w:tc>
        <w:tc>
          <w:tcPr>
            <w:tcW w:w="300" w:type="pct"/>
            <w:tcBorders>
              <w:top w:val="outset" w:sz="6" w:space="0" w:color="auto"/>
              <w:left w:val="outset" w:sz="6" w:space="0" w:color="auto"/>
              <w:bottom w:val="outset" w:sz="6" w:space="0" w:color="auto"/>
              <w:right w:val="outset" w:sz="6" w:space="0" w:color="auto"/>
            </w:tcBorders>
            <w:hideMark/>
          </w:tcPr>
          <w:p w14:paraId="637FABB7"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w:t>
            </w:r>
          </w:p>
        </w:tc>
        <w:tc>
          <w:tcPr>
            <w:tcW w:w="400" w:type="pct"/>
            <w:tcBorders>
              <w:top w:val="outset" w:sz="6" w:space="0" w:color="auto"/>
              <w:left w:val="outset" w:sz="6" w:space="0" w:color="auto"/>
              <w:bottom w:val="outset" w:sz="6" w:space="0" w:color="auto"/>
              <w:right w:val="outset" w:sz="6" w:space="0" w:color="auto"/>
            </w:tcBorders>
            <w:hideMark/>
          </w:tcPr>
          <w:p w14:paraId="33EB7594"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w:t>
            </w:r>
          </w:p>
        </w:tc>
        <w:tc>
          <w:tcPr>
            <w:tcW w:w="350" w:type="pct"/>
            <w:tcBorders>
              <w:top w:val="outset" w:sz="6" w:space="0" w:color="auto"/>
              <w:left w:val="outset" w:sz="6" w:space="0" w:color="auto"/>
              <w:bottom w:val="outset" w:sz="6" w:space="0" w:color="auto"/>
              <w:right w:val="outset" w:sz="6" w:space="0" w:color="auto"/>
            </w:tcBorders>
            <w:hideMark/>
          </w:tcPr>
          <w:p w14:paraId="6B0A9065" w14:textId="77777777" w:rsidR="00C90CFF" w:rsidRPr="002F3D62" w:rsidRDefault="00C90CFF" w:rsidP="002F3D62">
            <w:pPr>
              <w:pStyle w:val="a3"/>
              <w:spacing w:before="0" w:beforeAutospacing="0" w:after="0" w:afterAutospacing="0"/>
              <w:rPr>
                <w:color w:val="333333"/>
                <w:sz w:val="20"/>
                <w:szCs w:val="20"/>
              </w:rPr>
            </w:pPr>
            <w:r w:rsidRPr="002F3D62">
              <w:rPr>
                <w:color w:val="333333"/>
                <w:sz w:val="20"/>
                <w:szCs w:val="20"/>
              </w:rPr>
              <w:t>;</w:t>
            </w:r>
          </w:p>
        </w:tc>
      </w:tr>
      <w:tr w:rsidR="00C90CFF" w:rsidRPr="002F3D62" w14:paraId="30B27BA6" w14:textId="77777777" w:rsidTr="00C90CFF">
        <w:tc>
          <w:tcPr>
            <w:tcW w:w="250" w:type="pct"/>
            <w:tcBorders>
              <w:top w:val="outset" w:sz="6" w:space="0" w:color="auto"/>
              <w:left w:val="outset" w:sz="6" w:space="0" w:color="auto"/>
              <w:bottom w:val="outset" w:sz="6" w:space="0" w:color="auto"/>
              <w:right w:val="outset" w:sz="6" w:space="0" w:color="auto"/>
            </w:tcBorders>
            <w:hideMark/>
          </w:tcPr>
          <w:p w14:paraId="6734425A"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1</w:t>
            </w:r>
          </w:p>
        </w:tc>
        <w:tc>
          <w:tcPr>
            <w:tcW w:w="500" w:type="pct"/>
            <w:tcBorders>
              <w:top w:val="outset" w:sz="6" w:space="0" w:color="auto"/>
              <w:left w:val="outset" w:sz="6" w:space="0" w:color="auto"/>
              <w:bottom w:val="outset" w:sz="6" w:space="0" w:color="auto"/>
              <w:right w:val="outset" w:sz="6" w:space="0" w:color="auto"/>
            </w:tcBorders>
            <w:hideMark/>
          </w:tcPr>
          <w:p w14:paraId="5AE25375"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2</w:t>
            </w:r>
          </w:p>
        </w:tc>
        <w:tc>
          <w:tcPr>
            <w:tcW w:w="1300" w:type="pct"/>
            <w:tcBorders>
              <w:top w:val="outset" w:sz="6" w:space="0" w:color="auto"/>
              <w:left w:val="outset" w:sz="6" w:space="0" w:color="auto"/>
              <w:bottom w:val="outset" w:sz="6" w:space="0" w:color="auto"/>
              <w:right w:val="outset" w:sz="6" w:space="0" w:color="auto"/>
            </w:tcBorders>
            <w:hideMark/>
          </w:tcPr>
          <w:p w14:paraId="37A88466"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3</w:t>
            </w:r>
          </w:p>
        </w:tc>
        <w:tc>
          <w:tcPr>
            <w:tcW w:w="1750" w:type="pct"/>
            <w:tcBorders>
              <w:top w:val="outset" w:sz="6" w:space="0" w:color="auto"/>
              <w:left w:val="outset" w:sz="6" w:space="0" w:color="auto"/>
              <w:bottom w:val="outset" w:sz="6" w:space="0" w:color="auto"/>
              <w:right w:val="outset" w:sz="6" w:space="0" w:color="auto"/>
            </w:tcBorders>
            <w:hideMark/>
          </w:tcPr>
          <w:p w14:paraId="56EC0F2D"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4</w:t>
            </w:r>
          </w:p>
        </w:tc>
        <w:tc>
          <w:tcPr>
            <w:tcW w:w="300" w:type="pct"/>
            <w:tcBorders>
              <w:top w:val="outset" w:sz="6" w:space="0" w:color="auto"/>
              <w:left w:val="outset" w:sz="6" w:space="0" w:color="auto"/>
              <w:bottom w:val="outset" w:sz="6" w:space="0" w:color="auto"/>
              <w:right w:val="outset" w:sz="6" w:space="0" w:color="auto"/>
            </w:tcBorders>
            <w:hideMark/>
          </w:tcPr>
          <w:p w14:paraId="390F0E2F"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5</w:t>
            </w:r>
          </w:p>
        </w:tc>
        <w:tc>
          <w:tcPr>
            <w:tcW w:w="400" w:type="pct"/>
            <w:tcBorders>
              <w:top w:val="outset" w:sz="6" w:space="0" w:color="auto"/>
              <w:left w:val="outset" w:sz="6" w:space="0" w:color="auto"/>
              <w:bottom w:val="outset" w:sz="6" w:space="0" w:color="auto"/>
              <w:right w:val="outset" w:sz="6" w:space="0" w:color="auto"/>
            </w:tcBorders>
            <w:hideMark/>
          </w:tcPr>
          <w:p w14:paraId="119FFCF1"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6</w:t>
            </w:r>
          </w:p>
        </w:tc>
        <w:tc>
          <w:tcPr>
            <w:tcW w:w="350" w:type="pct"/>
            <w:tcBorders>
              <w:top w:val="outset" w:sz="6" w:space="0" w:color="auto"/>
              <w:left w:val="outset" w:sz="6" w:space="0" w:color="auto"/>
              <w:bottom w:val="outset" w:sz="6" w:space="0" w:color="auto"/>
              <w:right w:val="outset" w:sz="6" w:space="0" w:color="auto"/>
            </w:tcBorders>
            <w:hideMark/>
          </w:tcPr>
          <w:p w14:paraId="41B75130" w14:textId="77777777" w:rsidR="00C90CFF" w:rsidRPr="002F3D62" w:rsidRDefault="00C90CFF" w:rsidP="002F3D62">
            <w:pPr>
              <w:pStyle w:val="a3"/>
              <w:spacing w:before="0" w:beforeAutospacing="0" w:after="0" w:afterAutospacing="0"/>
              <w:jc w:val="center"/>
              <w:rPr>
                <w:color w:val="333333"/>
                <w:sz w:val="20"/>
                <w:szCs w:val="20"/>
              </w:rPr>
            </w:pPr>
            <w:r w:rsidRPr="002F3D62">
              <w:rPr>
                <w:color w:val="333333"/>
                <w:sz w:val="20"/>
                <w:szCs w:val="20"/>
              </w:rPr>
              <w:t>7</w:t>
            </w:r>
          </w:p>
        </w:tc>
      </w:tr>
    </w:tbl>
    <w:p w14:paraId="4A3E67A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 – службовий код ("*");</w:t>
      </w:r>
    </w:p>
    <w:p w14:paraId="571B04B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2 – код виду сплати ("101" – Сплата суми єдиного внеску);</w:t>
      </w:r>
    </w:p>
    <w:p w14:paraId="4290261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3 – код за ЄДРПОУ  платника, який здійснює сплату;</w:t>
      </w:r>
    </w:p>
    <w:p w14:paraId="2F12ED4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4 – друкується роз'яснювальна інформація про призначення платежу;</w:t>
      </w:r>
    </w:p>
    <w:p w14:paraId="0425358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5 – не заповнюється;</w:t>
      </w:r>
    </w:p>
    <w:p w14:paraId="22833E2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6 – не заповнюється;</w:t>
      </w:r>
    </w:p>
    <w:p w14:paraId="1FF359C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7 – не заповнюється.</w:t>
      </w:r>
    </w:p>
    <w:p w14:paraId="55C7B5F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28" w:tgtFrame="_blank" w:history="1">
        <w:r w:rsidRPr="002F3D62">
          <w:rPr>
            <w:rStyle w:val="a4"/>
            <w:color w:val="00518C"/>
            <w:sz w:val="20"/>
            <w:szCs w:val="20"/>
            <w:u w:val="none"/>
          </w:rPr>
          <w:t>https://t.me/tax_gov_ua</w:t>
        </w:r>
      </w:hyperlink>
    </w:p>
    <w:p w14:paraId="699D28B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w:instrText>
      </w:r>
      <w:r w:rsidR="00700E26">
        <w:instrText xml:space="preserve">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p>
    <w:p w14:paraId="2DA6A3D3"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0951302A"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До уваги суб’єктів господарювання, які здійснюють виробництво лікарських засобів!</w:t>
      </w:r>
    </w:p>
    <w:p w14:paraId="52A762D7" w14:textId="16C1DB73" w:rsidR="00C90CFF"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П</w:t>
      </w:r>
      <w:r w:rsidR="00C90CFF" w:rsidRPr="002F3D62">
        <w:rPr>
          <w:color w:val="333333"/>
          <w:sz w:val="20"/>
          <w:szCs w:val="20"/>
        </w:rPr>
        <w:t>овідомляє</w:t>
      </w:r>
      <w:r>
        <w:rPr>
          <w:color w:val="333333"/>
          <w:sz w:val="20"/>
          <w:szCs w:val="20"/>
        </w:rPr>
        <w:t>мо</w:t>
      </w:r>
      <w:r w:rsidR="00C90CFF" w:rsidRPr="002F3D62">
        <w:rPr>
          <w:color w:val="333333"/>
          <w:sz w:val="20"/>
          <w:szCs w:val="20"/>
        </w:rPr>
        <w:t>, що порядок випуску, обігу та погашення податкових векселів, авальованих банком (податкових розписок), що видаються до отримання з акцизного складу спирту етилового неденатурованого, спирту етилового денатурованого (технічного) та біоетанолу, які використовуються суб’єктами господарювання для виробництва окремих видів продукції затверджений постановою Кабінету Міністрів України від 27 грудня 2010 року № 1257 із змінами і доповненнями (далі – Порядок № 1257).</w:t>
      </w:r>
    </w:p>
    <w:p w14:paraId="7A87B90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Податковий вексель видається, зокрема, підприємствами первинного виноробства та виробниками вермутів, які отримують спирт етиловий з акцизного складу для виробництва виноградних, плодово-ягідних, інших виноматеріалів і сусла та вермутів, та суб’єктами господарювання, які у межах квот отримують з акцизного складу спирт етиловий для виробництва лікарських засобів (у тому числі компонентів крові і вироблених з них препаратів), крім лікарських засобів у вигляді бальзамів та еліксирів, - на строк, що не перевищує 180 календарних днів від дати авалювання векселя банком (п. 5 Порядку № 1257).</w:t>
      </w:r>
    </w:p>
    <w:p w14:paraId="43D33DF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Податковий вексель вважається погашеним у разі документального підтвердження факту цільового використання спирту етилового у перерахунку на 100-відсотковий спирт етиловий для виробництва окремих видів продукції.</w:t>
      </w:r>
    </w:p>
    <w:p w14:paraId="19FC9AD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Для погашення податкового векселя векселедавець подає векселедержателю довідку про цільове використання спирту етилового у перерахунку на 100-відсотковий спирт етиловий у формі електронного документа відповідно до законодавства, затвердженій Мінфіном (п. 11 Порядку № 1257).</w:t>
      </w:r>
    </w:p>
    <w:p w14:paraId="0ACC5AA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Довідка надсилається засобами електронного зв’язку в електронній формі з дотриманням вимог законів щодо електронного документообігу та електронних довірчих послуг.</w:t>
      </w:r>
    </w:p>
    <w:p w14:paraId="5CBFB0B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Форма Довідки про цільове використання спирту етилового затверджена наказом ДПА України 19.04.2011 № 224.</w:t>
      </w:r>
    </w:p>
    <w:p w14:paraId="40EBE8E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Векселедавець, що використовує спирт етиловий для виробництва лікарських засобів, разом з довідкою подає звіт про обсяги виробництва лікарських засобів із використанням спирту етилового, який складається за формою, що затверджується Міністерства охорони здоров’я України (МОЗ) за погодженням з Міністерством фінансів України (п. 11 Порядку № 1257).</w:t>
      </w:r>
    </w:p>
    <w:p w14:paraId="3551A54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до п. 2 наказу Міністерства охорони здоров’я України від 23.03.2011 № 156 «Про затвердження форми Звіту про обсяги виробництва лікарських засобів із використанням спирту етилового» суб’єкти господарювання, які отримують спирт етиловий з акцизного складу для виробництва лікарських засобів (у тому числі компонентів крові та виготовлених з них препаратів), складають Звіт про обсяги виробництва лікарських засобів із використанням спирту етилового (далі – Звіт) у трьох примірниках.</w:t>
      </w:r>
    </w:p>
    <w:p w14:paraId="183E6EB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Звіт погоджується представником Державної податкової служби на податковому посту.</w:t>
      </w:r>
    </w:p>
    <w:p w14:paraId="2E29EE6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Один примірник Звіту подається до Департаменту регуляторної політики у сфері обігу лікарських засобів та продукції в системі охорони здоров’я МОЗ.</w:t>
      </w:r>
    </w:p>
    <w:p w14:paraId="19AB6DF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Суб’єкт господарювання, який отримує спирт по нульовій ставці для виробництва лікарських засобів для погашення податкового векселя по акцизному податку, повинен подати контролюючому органу наступні документи:</w:t>
      </w:r>
    </w:p>
    <w:p w14:paraId="60A644F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довідку про цільове використання спирту етилового (до кожного податкового векселя окрема довідка);</w:t>
      </w:r>
    </w:p>
    <w:p w14:paraId="65B0A65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звіт про обсяги виробництва лікарських засобів із використанням спирту етилового.</w:t>
      </w:r>
    </w:p>
    <w:p w14:paraId="44E99BE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Зазначені документи суб’єкт господарювання – виробник лікарських засобів повинен подати в строк, що не перевищує 180 календарних днів від дати авалювання векселя банком.</w:t>
      </w:r>
    </w:p>
    <w:p w14:paraId="510E363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29" w:tgtFrame="_blank" w:history="1">
        <w:r w:rsidRPr="002F3D62">
          <w:rPr>
            <w:rStyle w:val="a4"/>
            <w:color w:val="00518C"/>
            <w:sz w:val="20"/>
            <w:szCs w:val="20"/>
            <w:u w:val="none"/>
          </w:rPr>
          <w:t>https://t.me/tax_gov_ua</w:t>
        </w:r>
      </w:hyperlink>
    </w:p>
    <w:p w14:paraId="2942EB9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p>
    <w:p w14:paraId="2DEB5001"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1C136F7E"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Використовуєте нелегалізовану працю – штрафи збільшено!</w:t>
      </w:r>
    </w:p>
    <w:p w14:paraId="5D07B838" w14:textId="260C867F"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 України «Про Державний бюджет України на 2021 рік» встановив розмір мінімальної заробітної плати (МЗП) з 01.01.2021 на рівні 6 000 грн., а з 01.12.2021 – 6 500 гривень.</w:t>
      </w:r>
    </w:p>
    <w:p w14:paraId="0C33283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Новий розмір МЗП вплинув на розмір штрафних санкцій за порушення законодавства про працю, передбачених ст. 265 Кодексу законів про працю України (далі – КЗпП).</w:t>
      </w:r>
    </w:p>
    <w:p w14:paraId="219B9B9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відповідно до ст. 265 КЗпП роботодавці у разі порушення законодавства про працю, несуть відповідальність у вигляді штрафу. Порядок накладення таких штрафів затверджено постановою Кабінету Міністрів України від 17 липня 2013 року № 509 «Про затвердження Порядку накладення штрафів за порушення законодавства про працю та зайнятість населення» із змінами.</w:t>
      </w:r>
    </w:p>
    <w:p w14:paraId="69AC5A6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До юридичних та фізичних осіб – підприємців (ФОП), які мають найманих працівників, застосовуються штрафи у разі:</w:t>
      </w:r>
    </w:p>
    <w:p w14:paraId="1415E36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фактичного допуску працівника до роботи без оформлення трудового договору (контракту), оформлення працівника на неповний робочий час у разі фактичного виконання роботи повний робочий час, установлений на підприємстві, та виплати заробітної плати (винагороди) без нарахування та сплати єдиного внеску на загальнообов’язкове державне соціальне страхування та податків – </w:t>
      </w:r>
      <w:r w:rsidRPr="002F3D62">
        <w:rPr>
          <w:rStyle w:val="a6"/>
          <w:color w:val="333333"/>
          <w:sz w:val="20"/>
          <w:szCs w:val="20"/>
        </w:rPr>
        <w:t>у десятикратному розмірі МЗП</w:t>
      </w:r>
      <w:r w:rsidRPr="002F3D62">
        <w:rPr>
          <w:color w:val="333333"/>
          <w:sz w:val="20"/>
          <w:szCs w:val="20"/>
        </w:rPr>
        <w:t>, встановленої законом на момент виявлення порушення, за кожного працівника, щодо якого скоєно порушення, до роботодавців юридичних осіб і ФОП, які є платниками єдиного податку першої – третьої групи застосовується </w:t>
      </w:r>
      <w:r w:rsidRPr="002F3D62">
        <w:rPr>
          <w:rStyle w:val="a6"/>
          <w:color w:val="333333"/>
          <w:sz w:val="20"/>
          <w:szCs w:val="20"/>
        </w:rPr>
        <w:t>попередження</w:t>
      </w:r>
      <w:r w:rsidRPr="002F3D62">
        <w:rPr>
          <w:color w:val="333333"/>
          <w:sz w:val="20"/>
          <w:szCs w:val="20"/>
        </w:rPr>
        <w:t>. Повторне порушення протягом 2-х років з дня виявлення порушення – </w:t>
      </w:r>
      <w:r w:rsidRPr="002F3D62">
        <w:rPr>
          <w:rStyle w:val="a6"/>
          <w:color w:val="333333"/>
          <w:sz w:val="20"/>
          <w:szCs w:val="20"/>
        </w:rPr>
        <w:t>у тридцятикратному розмірі МЗП</w:t>
      </w:r>
      <w:r w:rsidRPr="002F3D62">
        <w:rPr>
          <w:color w:val="333333"/>
          <w:sz w:val="20"/>
          <w:szCs w:val="20"/>
        </w:rPr>
        <w:t>, встановленої законом на момент виявлення порушення, за кожного працівника, щодо якого скоєно порушення.</w:t>
      </w:r>
    </w:p>
    <w:p w14:paraId="26C1140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порушення встановлених строків виплати заробітної плати працівникам, інших виплат, передбачених законодавством про працю, більш як за один місяць, виплата їх не в повному обсязі – у </w:t>
      </w:r>
      <w:r w:rsidRPr="002F3D62">
        <w:rPr>
          <w:rStyle w:val="a6"/>
          <w:color w:val="333333"/>
          <w:sz w:val="20"/>
          <w:szCs w:val="20"/>
        </w:rPr>
        <w:t>трикратному розмірі МЗП</w:t>
      </w:r>
      <w:r w:rsidRPr="002F3D62">
        <w:rPr>
          <w:color w:val="333333"/>
          <w:sz w:val="20"/>
          <w:szCs w:val="20"/>
        </w:rPr>
        <w:t>, встановленої законом на момент виявлення порушення;</w:t>
      </w:r>
    </w:p>
    <w:p w14:paraId="5828FEF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недотримання мінімальних державних гарантій в оплаті праці (наприклад, за не оплату роботи в нічний час, роботу в вихідний або святковий день, понадурочну роботу та інші питання оплати праці) – </w:t>
      </w:r>
      <w:r w:rsidRPr="002F3D62">
        <w:rPr>
          <w:rStyle w:val="a6"/>
          <w:color w:val="333333"/>
          <w:sz w:val="20"/>
          <w:szCs w:val="20"/>
        </w:rPr>
        <w:t>у двократному розмірі МЗП</w:t>
      </w:r>
      <w:r w:rsidRPr="002F3D62">
        <w:rPr>
          <w:color w:val="333333"/>
          <w:sz w:val="20"/>
          <w:szCs w:val="20"/>
        </w:rPr>
        <w:t>, встановленої законом на момент виявлення порушення, за кожного працівника, щодо якого скоєно порушення;</w:t>
      </w:r>
    </w:p>
    <w:p w14:paraId="37CA480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недотримання встановлених законом гарантій та пільг працівникам, які залучаються до виконання обов’язків, передбачених законами України «Про військовий обов’язок і військову службу», «Про альтернативну (невійськову) службу», «Про мобілізаційну підготовку та мобілізацію» – </w:t>
      </w:r>
      <w:r w:rsidRPr="002F3D62">
        <w:rPr>
          <w:rStyle w:val="a6"/>
          <w:color w:val="333333"/>
          <w:sz w:val="20"/>
          <w:szCs w:val="20"/>
        </w:rPr>
        <w:t xml:space="preserve">у </w:t>
      </w:r>
      <w:proofErr w:type="spellStart"/>
      <w:r w:rsidRPr="002F3D62">
        <w:rPr>
          <w:rStyle w:val="a6"/>
          <w:color w:val="333333"/>
          <w:sz w:val="20"/>
          <w:szCs w:val="20"/>
        </w:rPr>
        <w:t>чотирьохкратному</w:t>
      </w:r>
      <w:proofErr w:type="spellEnd"/>
      <w:r w:rsidRPr="002F3D62">
        <w:rPr>
          <w:rStyle w:val="a6"/>
          <w:color w:val="333333"/>
          <w:sz w:val="20"/>
          <w:szCs w:val="20"/>
        </w:rPr>
        <w:t xml:space="preserve"> розмірі МЗП</w:t>
      </w:r>
      <w:r w:rsidRPr="002F3D62">
        <w:rPr>
          <w:color w:val="333333"/>
          <w:sz w:val="20"/>
          <w:szCs w:val="20"/>
        </w:rPr>
        <w:t>, встановленої законом на момент виявлення порушення, за кожного працівника, щодо якого скоєно порушення, а до юридичних осіб та ФОП, які використовують найману працю та є платниками єдиного податку першої – третьої групи – </w:t>
      </w:r>
      <w:r w:rsidRPr="002F3D62">
        <w:rPr>
          <w:rStyle w:val="a6"/>
          <w:color w:val="333333"/>
          <w:sz w:val="20"/>
          <w:szCs w:val="20"/>
        </w:rPr>
        <w:t>попередження;</w:t>
      </w:r>
    </w:p>
    <w:p w14:paraId="663B4AB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недопущення до проведення перевірки з питань додержання законодавства про працю, створення перешкод у її проведенні – </w:t>
      </w:r>
      <w:r w:rsidRPr="002F3D62">
        <w:rPr>
          <w:rStyle w:val="a6"/>
          <w:color w:val="333333"/>
          <w:sz w:val="20"/>
          <w:szCs w:val="20"/>
        </w:rPr>
        <w:t>у трикратному розмірі мінімальної заробітної плати</w:t>
      </w:r>
      <w:r w:rsidRPr="002F3D62">
        <w:rPr>
          <w:color w:val="333333"/>
          <w:sz w:val="20"/>
          <w:szCs w:val="20"/>
        </w:rPr>
        <w:t>, встановленої законом на момент виявлення порушення;</w:t>
      </w:r>
    </w:p>
    <w:p w14:paraId="0BAEB54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порушення інших вимог трудового законодавства, крім передбачених абзацами другим – п’ятим частини другої статті 265 КЗпП України – </w:t>
      </w:r>
      <w:r w:rsidRPr="002F3D62">
        <w:rPr>
          <w:rStyle w:val="a6"/>
          <w:color w:val="333333"/>
          <w:sz w:val="20"/>
          <w:szCs w:val="20"/>
        </w:rPr>
        <w:t>у розмірі МЗП</w:t>
      </w:r>
      <w:r w:rsidRPr="002F3D62">
        <w:rPr>
          <w:color w:val="333333"/>
          <w:sz w:val="20"/>
          <w:szCs w:val="20"/>
        </w:rPr>
        <w:t>, за повторне – </w:t>
      </w:r>
      <w:r w:rsidRPr="002F3D62">
        <w:rPr>
          <w:rStyle w:val="a6"/>
          <w:color w:val="333333"/>
          <w:sz w:val="20"/>
          <w:szCs w:val="20"/>
        </w:rPr>
        <w:t xml:space="preserve">у </w:t>
      </w:r>
      <w:proofErr w:type="spellStart"/>
      <w:r w:rsidRPr="002F3D62">
        <w:rPr>
          <w:rStyle w:val="a6"/>
          <w:color w:val="333333"/>
          <w:sz w:val="20"/>
          <w:szCs w:val="20"/>
        </w:rPr>
        <w:t>ромірі</w:t>
      </w:r>
      <w:proofErr w:type="spellEnd"/>
      <w:r w:rsidRPr="002F3D62">
        <w:rPr>
          <w:rStyle w:val="a6"/>
          <w:color w:val="333333"/>
          <w:sz w:val="20"/>
          <w:szCs w:val="20"/>
        </w:rPr>
        <w:t xml:space="preserve"> </w:t>
      </w:r>
      <w:proofErr w:type="spellStart"/>
      <w:r w:rsidRPr="002F3D62">
        <w:rPr>
          <w:rStyle w:val="a6"/>
          <w:color w:val="333333"/>
          <w:sz w:val="20"/>
          <w:szCs w:val="20"/>
        </w:rPr>
        <w:t>двух</w:t>
      </w:r>
      <w:proofErr w:type="spellEnd"/>
      <w:r w:rsidRPr="002F3D62">
        <w:rPr>
          <w:rStyle w:val="a6"/>
          <w:color w:val="333333"/>
          <w:sz w:val="20"/>
          <w:szCs w:val="20"/>
        </w:rPr>
        <w:t xml:space="preserve"> МЗП</w:t>
      </w:r>
      <w:r w:rsidRPr="002F3D62">
        <w:rPr>
          <w:color w:val="333333"/>
          <w:sz w:val="20"/>
          <w:szCs w:val="20"/>
        </w:rPr>
        <w:t>.</w:t>
      </w:r>
    </w:p>
    <w:p w14:paraId="486C903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30" w:tgtFrame="_blank" w:history="1">
        <w:r w:rsidRPr="002F3D62">
          <w:rPr>
            <w:rStyle w:val="a4"/>
            <w:color w:val="00518C"/>
            <w:sz w:val="20"/>
            <w:szCs w:val="20"/>
            <w:u w:val="none"/>
          </w:rPr>
          <w:t>https://t.me/tax_gov_ua</w:t>
        </w:r>
      </w:hyperlink>
    </w:p>
    <w:p w14:paraId="07E4CB9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p>
    <w:p w14:paraId="61352620"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2562454B" w14:textId="77777777" w:rsidR="00C90CFF" w:rsidRPr="00096BDD" w:rsidRDefault="00C90CFF" w:rsidP="002F3D62">
      <w:pPr>
        <w:pStyle w:val="1"/>
        <w:shd w:val="clear" w:color="auto" w:fill="FFFFFF"/>
        <w:spacing w:before="0" w:beforeAutospacing="0" w:after="0" w:afterAutospacing="0"/>
        <w:rPr>
          <w:color w:val="333333"/>
          <w:sz w:val="20"/>
          <w:szCs w:val="20"/>
        </w:rPr>
      </w:pPr>
      <w:bookmarkStart w:id="1" w:name="_Hlk62131216"/>
      <w:r w:rsidRPr="00096BDD">
        <w:rPr>
          <w:color w:val="333333"/>
          <w:sz w:val="20"/>
          <w:szCs w:val="20"/>
        </w:rPr>
        <w:t>Сеанс телефонного зв’язку «гаряча лінія» на тему «Актуальні питання щодо використання РРО/ПРРО»</w:t>
      </w:r>
    </w:p>
    <w:p w14:paraId="676AD02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Головному управлінні ДПС у Дніпропетровській області відбувся сеанс телефонного зв’язку «гаряча лінія» заступника начальника відділу організації роботи ЦОП та надання адміністративних послуг управління електронних сервісів Головного управління ДПС у Дніпропетровській області Олександра ХАРЧЕНКО на тему «Актуальні питання щодо використання РРО/ПРРО».</w:t>
      </w:r>
    </w:p>
    <w:p w14:paraId="07BFC30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Питання: </w:t>
      </w:r>
      <w:r w:rsidRPr="002F3D62">
        <w:rPr>
          <w:rStyle w:val="a5"/>
          <w:color w:val="333333"/>
          <w:sz w:val="20"/>
          <w:szCs w:val="20"/>
        </w:rPr>
        <w:t>Добрий день! Скажіть, будь ласка,  які новації для фізичних осіб – підприємців передбачено Законом України про відтермінування РРО?</w:t>
      </w:r>
    </w:p>
    <w:p w14:paraId="62A8D39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6"/>
          <w:rFonts w:eastAsiaTheme="majorEastAsia"/>
          <w:color w:val="333333"/>
          <w:sz w:val="20"/>
          <w:szCs w:val="20"/>
        </w:rPr>
        <w:t>Відповідь:</w:t>
      </w:r>
      <w:r w:rsidRPr="002F3D62">
        <w:rPr>
          <w:color w:val="333333"/>
          <w:sz w:val="20"/>
          <w:szCs w:val="20"/>
        </w:rPr>
        <w:t> </w:t>
      </w:r>
      <w:r w:rsidRPr="002F3D62">
        <w:rPr>
          <w:rStyle w:val="a5"/>
          <w:b/>
          <w:bCs/>
          <w:color w:val="333333"/>
          <w:sz w:val="20"/>
          <w:szCs w:val="20"/>
        </w:rPr>
        <w:t>Добрий день!</w:t>
      </w:r>
      <w:r w:rsidRPr="002F3D62">
        <w:rPr>
          <w:color w:val="333333"/>
          <w:sz w:val="20"/>
          <w:szCs w:val="20"/>
        </w:rPr>
        <w:t> 10 грудня 2020 року набрав чинності Закон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прийнятий Верховною Радою 1 грудня 2020 року.</w:t>
      </w:r>
    </w:p>
    <w:p w14:paraId="01CABDC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Законом передбачено застосування РРО/ПРРО фізичними особами - підприємцями передбачено при реалізації: підакцизних товарів; технічно складних побутових приладів, що підлягають гарантійному ремонту; лікарських засобів та виробів медичного призначення; ювелірних виробів та дорогоцінного каміння.</w:t>
      </w:r>
    </w:p>
    <w:p w14:paraId="59DF0DF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Для всіх інших підприємців, які здійснюють продаж товарів в інтернеті, продають текстиль, реалізують запчастини та вживані товари; також для готелів, ресторанів, туристичних агентств та ін. застосування РРО/ПРРО переноситься на один рік, тобто – з 1 січня 2022 року.</w:t>
      </w:r>
    </w:p>
    <w:p w14:paraId="5D2705E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Також, до 1 січня 2022 року відтерміновано обов’язкове застосування РРО/ПРРО для всіх фізичних осіб – підприємців, які є платниками єдиного податку другої-четвертої груп, незалежно від обсягу доходів.</w:t>
      </w:r>
    </w:p>
    <w:p w14:paraId="3D19A17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Для ФОП першої групи застосування РРО не передбачено взагалі.</w:t>
      </w:r>
    </w:p>
    <w:p w14:paraId="1B534CF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А також, вищезазначеним законом передбачена лібералізація штрафних санкцій: скасовано штрафи за невідповідність готівки в касі, за неподання фіскальних звітів ПРРО, за відсутність попереднього програмування товарів у РРО/ПРРО (крім підакцизних з обов’язковим зазначенням коду УКТ ЗЕД), за не створення контрольної стрічки в ПРРО.</w:t>
      </w:r>
    </w:p>
    <w:p w14:paraId="65BB415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Скасовано механізм компенсації покупцям (споживачам) за скаргами щодо</w:t>
      </w:r>
    </w:p>
    <w:p w14:paraId="5BC6A29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порушення встановленого порядку проведення розрахункових операцій частини суми застосованих штрафних санкцій (</w:t>
      </w:r>
      <w:proofErr w:type="spellStart"/>
      <w:r w:rsidRPr="002F3D62">
        <w:rPr>
          <w:color w:val="333333"/>
          <w:sz w:val="20"/>
          <w:szCs w:val="20"/>
        </w:rPr>
        <w:t>кешбек</w:t>
      </w:r>
      <w:proofErr w:type="spellEnd"/>
      <w:r w:rsidRPr="002F3D62">
        <w:rPr>
          <w:color w:val="333333"/>
          <w:sz w:val="20"/>
          <w:szCs w:val="20"/>
        </w:rPr>
        <w:t>).</w:t>
      </w:r>
    </w:p>
    <w:p w14:paraId="6E592C1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Ліміти щодо обсягу доходів для перебування на відповідній групі єдиного податку прив’язані до мінімальної заробітної плати, встановленої законом на 1 січня податкового (звітного) року:</w:t>
      </w:r>
    </w:p>
    <w:p w14:paraId="6DFE2E8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перша група – 167 </w:t>
      </w:r>
      <w:proofErr w:type="spellStart"/>
      <w:r w:rsidRPr="002F3D62">
        <w:rPr>
          <w:color w:val="333333"/>
          <w:sz w:val="20"/>
          <w:szCs w:val="20"/>
        </w:rPr>
        <w:t>мін.з</w:t>
      </w:r>
      <w:proofErr w:type="spellEnd"/>
      <w:r w:rsidRPr="002F3D62">
        <w:rPr>
          <w:color w:val="333333"/>
          <w:sz w:val="20"/>
          <w:szCs w:val="20"/>
        </w:rPr>
        <w:t>/п; (1 002 000 грн станом на 01.01.2021 р)</w:t>
      </w:r>
    </w:p>
    <w:p w14:paraId="4B4BAA5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друга група – 834 </w:t>
      </w:r>
      <w:proofErr w:type="spellStart"/>
      <w:r w:rsidRPr="002F3D62">
        <w:rPr>
          <w:color w:val="333333"/>
          <w:sz w:val="20"/>
          <w:szCs w:val="20"/>
        </w:rPr>
        <w:t>мін.з</w:t>
      </w:r>
      <w:proofErr w:type="spellEnd"/>
      <w:r w:rsidRPr="002F3D62">
        <w:rPr>
          <w:color w:val="333333"/>
          <w:sz w:val="20"/>
          <w:szCs w:val="20"/>
        </w:rPr>
        <w:t>/п; (5 004 000 грн)</w:t>
      </w:r>
    </w:p>
    <w:p w14:paraId="30D389F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третя група – 1167 </w:t>
      </w:r>
      <w:proofErr w:type="spellStart"/>
      <w:r w:rsidRPr="002F3D62">
        <w:rPr>
          <w:color w:val="333333"/>
          <w:sz w:val="20"/>
          <w:szCs w:val="20"/>
        </w:rPr>
        <w:t>мін.з</w:t>
      </w:r>
      <w:proofErr w:type="spellEnd"/>
      <w:r w:rsidRPr="002F3D62">
        <w:rPr>
          <w:color w:val="333333"/>
          <w:sz w:val="20"/>
          <w:szCs w:val="20"/>
        </w:rPr>
        <w:t>/п; (7 002 000 грн)</w:t>
      </w:r>
    </w:p>
    <w:p w14:paraId="3E610DA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При цьому, ліміт використання РРО прив’язано до 220 мінімальних заробітних плат. Станом на 1 січня 2021 року ця сума складає 1 320 000 грн.</w:t>
      </w:r>
    </w:p>
    <w:p w14:paraId="2C5533E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Послуги при розрахунках виключно за допомогою банківських систем дистанційного обслуговування та/або сервісу переказів коштів – надаються без РРО. Ці послуги </w:t>
      </w:r>
      <w:proofErr w:type="spellStart"/>
      <w:r w:rsidRPr="002F3D62">
        <w:rPr>
          <w:color w:val="333333"/>
          <w:sz w:val="20"/>
          <w:szCs w:val="20"/>
        </w:rPr>
        <w:t>фіскалізуватися</w:t>
      </w:r>
      <w:proofErr w:type="spellEnd"/>
      <w:r w:rsidRPr="002F3D62">
        <w:rPr>
          <w:color w:val="333333"/>
          <w:sz w:val="20"/>
          <w:szCs w:val="20"/>
        </w:rPr>
        <w:t xml:space="preserve"> не будуть.</w:t>
      </w:r>
    </w:p>
    <w:p w14:paraId="5BB5114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Питання: </w:t>
      </w:r>
      <w:r w:rsidRPr="002F3D62">
        <w:rPr>
          <w:rStyle w:val="a5"/>
          <w:color w:val="333333"/>
          <w:sz w:val="20"/>
          <w:szCs w:val="20"/>
        </w:rPr>
        <w:t>Вітаю! Скажіть, як можливо передати чек покупцю при використанні програмного реєстратора розрахункових операцій (далі – ПРРО)?</w:t>
      </w:r>
    </w:p>
    <w:p w14:paraId="4C642A3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rStyle w:val="a6"/>
          <w:rFonts w:eastAsiaTheme="majorEastAsia"/>
          <w:color w:val="333333"/>
          <w:sz w:val="20"/>
          <w:szCs w:val="20"/>
        </w:rPr>
        <w:t>Відповідь: Добрий день.</w:t>
      </w:r>
      <w:r w:rsidRPr="002F3D62">
        <w:rPr>
          <w:color w:val="333333"/>
          <w:sz w:val="20"/>
          <w:szCs w:val="20"/>
        </w:rPr>
        <w:t> Суб’єктом господарювання фіскальний чек за оплачені товари (послуги) через ПРРО можливо надіслати покупцю такими способами: електронною поштою (E-</w:t>
      </w:r>
      <w:proofErr w:type="spellStart"/>
      <w:r w:rsidRPr="002F3D62">
        <w:rPr>
          <w:color w:val="333333"/>
          <w:sz w:val="20"/>
          <w:szCs w:val="20"/>
        </w:rPr>
        <w:t>mail</w:t>
      </w:r>
      <w:proofErr w:type="spellEnd"/>
      <w:r w:rsidRPr="002F3D62">
        <w:rPr>
          <w:color w:val="333333"/>
          <w:sz w:val="20"/>
          <w:szCs w:val="20"/>
        </w:rPr>
        <w:t xml:space="preserve">), </w:t>
      </w:r>
      <w:proofErr w:type="spellStart"/>
      <w:r w:rsidRPr="002F3D62">
        <w:rPr>
          <w:color w:val="333333"/>
          <w:sz w:val="20"/>
          <w:szCs w:val="20"/>
        </w:rPr>
        <w:t>Viber</w:t>
      </w:r>
      <w:proofErr w:type="spellEnd"/>
      <w:r w:rsidRPr="002F3D62">
        <w:rPr>
          <w:color w:val="333333"/>
          <w:sz w:val="20"/>
          <w:szCs w:val="20"/>
        </w:rPr>
        <w:t xml:space="preserve">, </w:t>
      </w:r>
      <w:proofErr w:type="spellStart"/>
      <w:r w:rsidRPr="002F3D62">
        <w:rPr>
          <w:color w:val="333333"/>
          <w:sz w:val="20"/>
          <w:szCs w:val="20"/>
        </w:rPr>
        <w:t>Telegram</w:t>
      </w:r>
      <w:proofErr w:type="spellEnd"/>
      <w:r w:rsidRPr="002F3D62">
        <w:rPr>
          <w:color w:val="333333"/>
          <w:sz w:val="20"/>
          <w:szCs w:val="20"/>
        </w:rPr>
        <w:t xml:space="preserve">, </w:t>
      </w:r>
      <w:proofErr w:type="spellStart"/>
      <w:r w:rsidRPr="002F3D62">
        <w:rPr>
          <w:color w:val="333333"/>
          <w:sz w:val="20"/>
          <w:szCs w:val="20"/>
        </w:rPr>
        <w:t>WhatsApp</w:t>
      </w:r>
      <w:proofErr w:type="spellEnd"/>
      <w:r w:rsidRPr="002F3D62">
        <w:rPr>
          <w:color w:val="333333"/>
          <w:sz w:val="20"/>
          <w:szCs w:val="20"/>
        </w:rPr>
        <w:t>, або SMS, при цьому на пристрої повинна бути встановлена відповідна програма.</w:t>
      </w:r>
    </w:p>
    <w:p w14:paraId="39B3F83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Відправлення повідомлення виконується в загальному порядку від імені власника SIM-карти. Про доставку фіскального чеку від продавця надходить SMS повідомлення.</w:t>
      </w:r>
    </w:p>
    <w:p w14:paraId="4845277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Разом з тим, суб’єкт господарювання може пересвідчитись, що покупець отримав фіскальний чек надіславши на наданий покупцем абонентський номер (</w:t>
      </w:r>
      <w:proofErr w:type="spellStart"/>
      <w:r w:rsidRPr="002F3D62">
        <w:rPr>
          <w:color w:val="333333"/>
          <w:sz w:val="20"/>
          <w:szCs w:val="20"/>
        </w:rPr>
        <w:t>Viber</w:t>
      </w:r>
      <w:proofErr w:type="spellEnd"/>
      <w:r w:rsidRPr="002F3D62">
        <w:rPr>
          <w:color w:val="333333"/>
          <w:sz w:val="20"/>
          <w:szCs w:val="20"/>
        </w:rPr>
        <w:t xml:space="preserve">, </w:t>
      </w:r>
      <w:proofErr w:type="spellStart"/>
      <w:r w:rsidRPr="002F3D62">
        <w:rPr>
          <w:color w:val="333333"/>
          <w:sz w:val="20"/>
          <w:szCs w:val="20"/>
        </w:rPr>
        <w:t>Telegram</w:t>
      </w:r>
      <w:proofErr w:type="spellEnd"/>
      <w:r w:rsidRPr="002F3D62">
        <w:rPr>
          <w:color w:val="333333"/>
          <w:sz w:val="20"/>
          <w:szCs w:val="20"/>
        </w:rPr>
        <w:t xml:space="preserve">, </w:t>
      </w:r>
      <w:proofErr w:type="spellStart"/>
      <w:r w:rsidRPr="002F3D62">
        <w:rPr>
          <w:color w:val="333333"/>
          <w:sz w:val="20"/>
          <w:szCs w:val="20"/>
        </w:rPr>
        <w:t>WhatsApp</w:t>
      </w:r>
      <w:proofErr w:type="spellEnd"/>
      <w:r w:rsidRPr="002F3D62">
        <w:rPr>
          <w:color w:val="333333"/>
          <w:sz w:val="20"/>
          <w:szCs w:val="20"/>
        </w:rPr>
        <w:t xml:space="preserve">) та/або адресу його електронної пошти повідомлення із вимогою </w:t>
      </w:r>
      <w:proofErr w:type="spellStart"/>
      <w:r w:rsidRPr="002F3D62">
        <w:rPr>
          <w:color w:val="333333"/>
          <w:sz w:val="20"/>
          <w:szCs w:val="20"/>
        </w:rPr>
        <w:t>зворотнього</w:t>
      </w:r>
      <w:proofErr w:type="spellEnd"/>
      <w:r w:rsidRPr="002F3D62">
        <w:rPr>
          <w:color w:val="333333"/>
          <w:sz w:val="20"/>
          <w:szCs w:val="20"/>
        </w:rPr>
        <w:t xml:space="preserve"> інформування.</w:t>
      </w:r>
    </w:p>
    <w:p w14:paraId="2008253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Питання: </w:t>
      </w:r>
      <w:r w:rsidRPr="002F3D62">
        <w:rPr>
          <w:rStyle w:val="a5"/>
          <w:color w:val="333333"/>
          <w:sz w:val="20"/>
          <w:szCs w:val="20"/>
        </w:rPr>
        <w:t>Добрий день! Скажіть, будь ласка, чи потрібно реєструвати книгу обліку розрахункових операцій (далі – КОРО) на програмний реєстратор розрахункових операцій (далі – ПРРО)?</w:t>
      </w:r>
    </w:p>
    <w:p w14:paraId="7388D47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Відповідь: Добрий день. КОРО потрібно реєструвати та вести у випадках, зазначених у Порядку реєстрації та ведення розрахункових книжок, книг обліку розрахункових операцій, затвердженого </w:t>
      </w:r>
      <w:hyperlink r:id="rId31" w:anchor="pn9" w:tgtFrame="_blank" w:history="1">
        <w:r w:rsidRPr="002F3D62">
          <w:rPr>
            <w:rStyle w:val="a4"/>
            <w:color w:val="00518C"/>
            <w:sz w:val="20"/>
            <w:szCs w:val="20"/>
            <w:u w:val="none"/>
          </w:rPr>
          <w:t>наказом Мінфіну від 14.06.2016 р. №547</w:t>
        </w:r>
      </w:hyperlink>
      <w:r w:rsidRPr="002F3D62">
        <w:rPr>
          <w:color w:val="333333"/>
          <w:sz w:val="20"/>
          <w:szCs w:val="20"/>
        </w:rPr>
        <w:t> (зі змінами, далі – Порядок ведення КОРО).</w:t>
      </w:r>
    </w:p>
    <w:p w14:paraId="634CEF5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згідно з </w:t>
      </w:r>
      <w:hyperlink r:id="rId32" w:anchor="pn34" w:tgtFrame="_blank" w:history="1">
        <w:r w:rsidRPr="002F3D62">
          <w:rPr>
            <w:rStyle w:val="a4"/>
            <w:color w:val="00518C"/>
            <w:sz w:val="20"/>
            <w:szCs w:val="20"/>
            <w:u w:val="none"/>
          </w:rPr>
          <w:t>п. 1 гл.1 р. ІІ Порядку ведення КОРО</w:t>
        </w:r>
      </w:hyperlink>
      <w:r w:rsidRPr="002F3D62">
        <w:rPr>
          <w:color w:val="333333"/>
          <w:sz w:val="20"/>
          <w:szCs w:val="20"/>
        </w:rPr>
        <w:t xml:space="preserve"> суб’єкти господарювання, які здійснюють розрахункові операції в готівковій та/або безготівковій формі (із застосуванням платіжних карток, платіжних </w:t>
      </w:r>
      <w:proofErr w:type="spellStart"/>
      <w:r w:rsidRPr="002F3D62">
        <w:rPr>
          <w:color w:val="333333"/>
          <w:sz w:val="20"/>
          <w:szCs w:val="20"/>
        </w:rPr>
        <w:t>чеків</w:t>
      </w:r>
      <w:proofErr w:type="spellEnd"/>
      <w:r w:rsidRPr="002F3D62">
        <w:rPr>
          <w:color w:val="333333"/>
          <w:sz w:val="20"/>
          <w:szCs w:val="20"/>
        </w:rPr>
        <w:t>, жетонів тощо) при продажу товарів (наданні послуг) зобов’язані зареєструвати КОРО. Ця вимога не розповсюджується на тих суб’єктів господарювання, які прийняли рішення про те, що у випадку виходу з ладу РРО або відключення електроенергії проведення розрахункових операцій не здійснюється до моменту належного підключення резервного РРО або включення електроенергії.</w:t>
      </w:r>
    </w:p>
    <w:p w14:paraId="1986C95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Такі суб’єкти господарювання можуть скасувати реєстрацію КОРО та припинити її застосування (якщо вони використовували КОРО на РРО). У цьому разі вони не зможуть здійснювати розрахункові операції у період відключення електроенергії або виходу з ладу РРО.</w:t>
      </w:r>
    </w:p>
    <w:p w14:paraId="62E6647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Додатково повідомляємо, що відповідно до </w:t>
      </w:r>
      <w:hyperlink r:id="rId33" w:anchor="pn176" w:tgtFrame="_blank" w:history="1">
        <w:r w:rsidRPr="002F3D62">
          <w:rPr>
            <w:rStyle w:val="a4"/>
            <w:color w:val="00518C"/>
            <w:sz w:val="20"/>
            <w:szCs w:val="20"/>
            <w:u w:val="none"/>
          </w:rPr>
          <w:t>п. 2 р. ІІІ</w:t>
        </w:r>
      </w:hyperlink>
      <w:r w:rsidRPr="002F3D62">
        <w:rPr>
          <w:color w:val="333333"/>
          <w:sz w:val="20"/>
          <w:szCs w:val="20"/>
        </w:rPr>
        <w:t>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Мінфіну від 14.06.2016 р. №547. використання КОРО на період відсутності електроенергії або виходу з ладу РРО для проведення розрахункових операцій передбачено лише для класичного РРО.</w:t>
      </w:r>
    </w:p>
    <w:p w14:paraId="3BAA32D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Для ПРРО передбачено інший порядок роботи. А саме, згідно з п. 1 р. V Порядку реєстрації, ведення реєстру та застосування програмних реєстраторів розрахункових операцій, затвердженого </w:t>
      </w:r>
      <w:hyperlink r:id="rId34" w:anchor="pn2" w:tgtFrame="_blank" w:history="1">
        <w:r w:rsidRPr="002F3D62">
          <w:rPr>
            <w:rStyle w:val="a4"/>
            <w:color w:val="00518C"/>
            <w:sz w:val="20"/>
            <w:szCs w:val="20"/>
            <w:u w:val="none"/>
          </w:rPr>
          <w:t xml:space="preserve">наказом </w:t>
        </w:r>
        <w:proofErr w:type="spellStart"/>
        <w:r w:rsidRPr="002F3D62">
          <w:rPr>
            <w:rStyle w:val="a4"/>
            <w:color w:val="00518C"/>
            <w:sz w:val="20"/>
            <w:szCs w:val="20"/>
            <w:u w:val="none"/>
          </w:rPr>
          <w:t>Мінфіна</w:t>
        </w:r>
        <w:proofErr w:type="spellEnd"/>
        <w:r w:rsidRPr="002F3D62">
          <w:rPr>
            <w:rStyle w:val="a4"/>
            <w:color w:val="00518C"/>
            <w:sz w:val="20"/>
            <w:szCs w:val="20"/>
            <w:u w:val="none"/>
          </w:rPr>
          <w:t xml:space="preserve"> від 23.06.2020 р. №317</w:t>
        </w:r>
      </w:hyperlink>
      <w:r w:rsidRPr="002F3D62">
        <w:rPr>
          <w:color w:val="333333"/>
          <w:sz w:val="20"/>
          <w:szCs w:val="20"/>
        </w:rPr>
        <w:t xml:space="preserve"> (далі – Порядок застосування ПРРО) на період відсутності зв’язку між ПРРО та фіскальним сервером проведення розрахункових операцій суб’єктом господарювання здійснюється в режимі </w:t>
      </w:r>
      <w:proofErr w:type="spellStart"/>
      <w:r w:rsidRPr="002F3D62">
        <w:rPr>
          <w:color w:val="333333"/>
          <w:sz w:val="20"/>
          <w:szCs w:val="20"/>
        </w:rPr>
        <w:t>офлайн</w:t>
      </w:r>
      <w:proofErr w:type="spellEnd"/>
      <w:r w:rsidRPr="002F3D62">
        <w:rPr>
          <w:color w:val="333333"/>
          <w:sz w:val="20"/>
          <w:szCs w:val="20"/>
        </w:rPr>
        <w:t xml:space="preserve">,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Відповідно до п. 12 р. V Порядку застосування ПРРО суб’єкт господарювання може прийняти рішення про те, що у разі відсутності зв’язку між ПРРО та фіскальним сервером проведення розрахункових операцій в режимі </w:t>
      </w:r>
      <w:proofErr w:type="spellStart"/>
      <w:r w:rsidRPr="002F3D62">
        <w:rPr>
          <w:color w:val="333333"/>
          <w:sz w:val="20"/>
          <w:szCs w:val="20"/>
        </w:rPr>
        <w:t>офлайн</w:t>
      </w:r>
      <w:proofErr w:type="spellEnd"/>
      <w:r w:rsidRPr="002F3D62">
        <w:rPr>
          <w:color w:val="333333"/>
          <w:sz w:val="20"/>
          <w:szCs w:val="20"/>
        </w:rPr>
        <w:t xml:space="preserve"> не здійснюється до моменту належного встановлення такого зв’язку, про що суб’єкт повідомляє у Заяві під час реєстрації ПРРО або в період його експлуатації.</w:t>
      </w:r>
    </w:p>
    <w:p w14:paraId="0B6CCEE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Також, за п. 13 р. V Порядку застосування ПРРО суб’єкт господарювання на період відсутності зв’язку між ПРРО та фіскальним сервером для проведення розрахункових операцій може використовувати належним чином зареєстрований резервним РРО  із дотриманням порядків реєстрації та застосування РРО, встановлений статтею 7 Закону </w:t>
      </w:r>
      <w:hyperlink r:id="rId35" w:anchor="st3" w:tgtFrame="_blank" w:history="1">
        <w:r w:rsidRPr="002F3D62">
          <w:rPr>
            <w:rStyle w:val="a4"/>
            <w:color w:val="00518C"/>
            <w:sz w:val="20"/>
            <w:szCs w:val="20"/>
            <w:u w:val="none"/>
          </w:rPr>
          <w:t>України «Про застосування реєстраторів розрахункових операцій у сфері торгівлі, громадського харчування та послуг» від 06.07.1995 № 265</w:t>
        </w:r>
      </w:hyperlink>
      <w:r w:rsidRPr="002F3D62">
        <w:rPr>
          <w:color w:val="333333"/>
          <w:sz w:val="20"/>
          <w:szCs w:val="20"/>
        </w:rPr>
        <w:t>  (зі змінами)</w:t>
      </w:r>
    </w:p>
    <w:p w14:paraId="684B20C1"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Таким чином, у разі застосування ПРРО КОРО не використовується на період виходу з ладу ПРРО або відсутності електроенергії чи зв’язку.</w:t>
      </w:r>
    </w:p>
    <w:p w14:paraId="6AABD861"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7C15C823"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44D3DAE5"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15 відкритих даних, які щоденно оновлюються</w:t>
      </w:r>
    </w:p>
    <w:p w14:paraId="134B140C" w14:textId="4990870F"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ДПС здійснює оновлення 41 основного набору даних у формі відкритих даних відповідно до вимог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зі змінами.</w:t>
      </w:r>
    </w:p>
    <w:p w14:paraId="424CD19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На сьогодні запроваджено щоденно (у робочі дні) оновлення 15 наборів даних на Порталі відкритих даних та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w:t>
      </w:r>
    </w:p>
    <w:p w14:paraId="1812A29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 Реєстр платників податку на додану вартість </w:t>
      </w:r>
      <w:hyperlink r:id="rId36" w:history="1">
        <w:r w:rsidRPr="002F3D62">
          <w:rPr>
            <w:rStyle w:val="a4"/>
            <w:color w:val="00518C"/>
            <w:sz w:val="20"/>
            <w:szCs w:val="20"/>
            <w:u w:val="none"/>
          </w:rPr>
          <w:t>https://data.gov.ua/dataset/4c65d66d-1923-4682-980a-9c11ce7ffdfe</w:t>
        </w:r>
      </w:hyperlink>
      <w:r w:rsidRPr="002F3D62">
        <w:rPr>
          <w:color w:val="333333"/>
          <w:sz w:val="20"/>
          <w:szCs w:val="20"/>
        </w:rPr>
        <w:t>;</w:t>
      </w:r>
    </w:p>
    <w:p w14:paraId="1DF569C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2. Інформація про анулювання реєстрації платників податку на додану вартість </w:t>
      </w:r>
      <w:hyperlink r:id="rId37" w:history="1">
        <w:r w:rsidRPr="002F3D62">
          <w:rPr>
            <w:rStyle w:val="a4"/>
            <w:color w:val="00518C"/>
            <w:sz w:val="20"/>
            <w:szCs w:val="20"/>
            <w:u w:val="none"/>
          </w:rPr>
          <w:t>https://data.gov.ua/dataset/46ec7001-f492-4af8-8cae-00ba5e5537ce</w:t>
        </w:r>
      </w:hyperlink>
      <w:r w:rsidRPr="002F3D62">
        <w:rPr>
          <w:color w:val="333333"/>
          <w:sz w:val="20"/>
          <w:szCs w:val="20"/>
        </w:rPr>
        <w:t>;</w:t>
      </w:r>
    </w:p>
    <w:p w14:paraId="6AE7E41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3. Реєстр платників єдиного податку </w:t>
      </w:r>
      <w:hyperlink r:id="rId38" w:history="1">
        <w:r w:rsidRPr="002F3D62">
          <w:rPr>
            <w:rStyle w:val="a4"/>
            <w:color w:val="00518C"/>
            <w:sz w:val="20"/>
            <w:szCs w:val="20"/>
            <w:u w:val="none"/>
          </w:rPr>
          <w:t>https://data.gov.ua/dataset/198185ea-44d6-48f0-877c-44251c413f64</w:t>
        </w:r>
      </w:hyperlink>
      <w:r w:rsidRPr="002F3D62">
        <w:rPr>
          <w:color w:val="333333"/>
          <w:sz w:val="20"/>
          <w:szCs w:val="20"/>
        </w:rPr>
        <w:t>;</w:t>
      </w:r>
    </w:p>
    <w:p w14:paraId="5D26164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4. Реєстр неприбуткових установ та організацій </w:t>
      </w:r>
      <w:hyperlink r:id="rId39" w:history="1">
        <w:r w:rsidRPr="002F3D62">
          <w:rPr>
            <w:rStyle w:val="a4"/>
            <w:color w:val="00518C"/>
            <w:sz w:val="20"/>
            <w:szCs w:val="20"/>
            <w:u w:val="none"/>
          </w:rPr>
          <w:t>https://data.gov.ua/dataset/2888f31a-9a0d-4c77-b570-0895753fa9cb</w:t>
        </w:r>
      </w:hyperlink>
      <w:r w:rsidRPr="002F3D62">
        <w:rPr>
          <w:color w:val="333333"/>
          <w:sz w:val="20"/>
          <w:szCs w:val="20"/>
        </w:rPr>
        <w:t>;</w:t>
      </w:r>
    </w:p>
    <w:p w14:paraId="193280F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5. Реєстр платників акцизного податку з реалізації пального та спирту етилового </w:t>
      </w:r>
      <w:hyperlink r:id="rId40" w:history="1">
        <w:r w:rsidRPr="002F3D62">
          <w:rPr>
            <w:rStyle w:val="a4"/>
            <w:color w:val="00518C"/>
            <w:sz w:val="20"/>
            <w:szCs w:val="20"/>
            <w:u w:val="none"/>
          </w:rPr>
          <w:t>https://data.gov.ua/dataset/08607f4c-b3f1-4b2f-8dbc-cd5866e5e60c</w:t>
        </w:r>
      </w:hyperlink>
      <w:r w:rsidRPr="002F3D62">
        <w:rPr>
          <w:color w:val="333333"/>
          <w:sz w:val="20"/>
          <w:szCs w:val="20"/>
        </w:rPr>
        <w:t>;</w:t>
      </w:r>
    </w:p>
    <w:p w14:paraId="418B046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6. Ліцензійний реєстр виданих ліцензій на оптову торгівлю тютюновими виробами </w:t>
      </w:r>
      <w:hyperlink r:id="rId41" w:history="1">
        <w:r w:rsidRPr="002F3D62">
          <w:rPr>
            <w:rStyle w:val="a4"/>
            <w:color w:val="00518C"/>
            <w:sz w:val="20"/>
            <w:szCs w:val="20"/>
            <w:u w:val="none"/>
          </w:rPr>
          <w:t>https://data.gov.ua/dataset/367b781a-ebd8-4dcb-b133-3d69c1558763</w:t>
        </w:r>
      </w:hyperlink>
      <w:r w:rsidRPr="002F3D62">
        <w:rPr>
          <w:color w:val="333333"/>
          <w:sz w:val="20"/>
          <w:szCs w:val="20"/>
        </w:rPr>
        <w:t>;</w:t>
      </w:r>
    </w:p>
    <w:p w14:paraId="0D35FBB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7. Ліцензійний реєстр виданих ліцензій на оптову торгівлю алкогольними напоями, виключно пивом для виробників пива з обсягом виробництва до 3000 гектолітрів на рік </w:t>
      </w:r>
      <w:hyperlink r:id="rId42" w:history="1">
        <w:r w:rsidRPr="002F3D62">
          <w:rPr>
            <w:rStyle w:val="a4"/>
            <w:color w:val="00518C"/>
            <w:sz w:val="20"/>
            <w:szCs w:val="20"/>
            <w:u w:val="none"/>
          </w:rPr>
          <w:t>https://data.gov.ua/dataset/5c19fe03-fe99-457b-9051-8d280e68172b</w:t>
        </w:r>
      </w:hyperlink>
      <w:r w:rsidRPr="002F3D62">
        <w:rPr>
          <w:color w:val="333333"/>
          <w:sz w:val="20"/>
          <w:szCs w:val="20"/>
        </w:rPr>
        <w:t>;</w:t>
      </w:r>
    </w:p>
    <w:p w14:paraId="6B05F90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8. Ліцензійний реєстр виданих ліцензій на оптову торгівлю алкогольними напоями - сидром та </w:t>
      </w:r>
      <w:proofErr w:type="spellStart"/>
      <w:r w:rsidRPr="002F3D62">
        <w:rPr>
          <w:color w:val="333333"/>
          <w:sz w:val="20"/>
          <w:szCs w:val="20"/>
        </w:rPr>
        <w:t>перрі</w:t>
      </w:r>
      <w:proofErr w:type="spellEnd"/>
      <w:r w:rsidRPr="002F3D62">
        <w:rPr>
          <w:color w:val="333333"/>
          <w:sz w:val="20"/>
          <w:szCs w:val="20"/>
        </w:rPr>
        <w:t xml:space="preserve"> (без додавання спирту) </w:t>
      </w:r>
      <w:hyperlink r:id="rId43" w:history="1">
        <w:r w:rsidRPr="002F3D62">
          <w:rPr>
            <w:rStyle w:val="a4"/>
            <w:color w:val="00518C"/>
            <w:sz w:val="20"/>
            <w:szCs w:val="20"/>
            <w:u w:val="none"/>
          </w:rPr>
          <w:t>https://data.gov.ua/dataset/5dfdb467-1b33-4003-ab79-169367f87576</w:t>
        </w:r>
      </w:hyperlink>
      <w:r w:rsidRPr="002F3D62">
        <w:rPr>
          <w:color w:val="333333"/>
          <w:sz w:val="20"/>
          <w:szCs w:val="20"/>
        </w:rPr>
        <w:t>;</w:t>
      </w:r>
    </w:p>
    <w:p w14:paraId="5F2ED303"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9. Ліцензійний реєстр виданих ліцензій на оптову торгівлю алкогольними напоями, крім сидру та </w:t>
      </w:r>
      <w:proofErr w:type="spellStart"/>
      <w:r w:rsidRPr="002F3D62">
        <w:rPr>
          <w:color w:val="333333"/>
          <w:sz w:val="20"/>
          <w:szCs w:val="20"/>
        </w:rPr>
        <w:t>перрі</w:t>
      </w:r>
      <w:proofErr w:type="spellEnd"/>
      <w:r w:rsidRPr="002F3D62">
        <w:rPr>
          <w:color w:val="333333"/>
          <w:sz w:val="20"/>
          <w:szCs w:val="20"/>
        </w:rPr>
        <w:t xml:space="preserve"> (без додавання спирту) </w:t>
      </w:r>
      <w:hyperlink r:id="rId44" w:history="1">
        <w:r w:rsidRPr="002F3D62">
          <w:rPr>
            <w:rStyle w:val="a4"/>
            <w:color w:val="00518C"/>
            <w:sz w:val="20"/>
            <w:szCs w:val="20"/>
            <w:u w:val="none"/>
          </w:rPr>
          <w:t>https://data.gov.ua/dataset/4c3c066c-5333-4ea7-86f2-e7ee6ea4dbac</w:t>
        </w:r>
      </w:hyperlink>
      <w:r w:rsidRPr="002F3D62">
        <w:rPr>
          <w:color w:val="333333"/>
          <w:sz w:val="20"/>
          <w:szCs w:val="20"/>
        </w:rPr>
        <w:t>;</w:t>
      </w:r>
    </w:p>
    <w:p w14:paraId="2261FBB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10. Ліцензійний реєстр виданих ліцензій на оптову торгівлю спиртом </w:t>
      </w:r>
      <w:hyperlink r:id="rId45" w:history="1">
        <w:r w:rsidRPr="002F3D62">
          <w:rPr>
            <w:rStyle w:val="a4"/>
            <w:color w:val="00518C"/>
            <w:sz w:val="20"/>
            <w:szCs w:val="20"/>
            <w:u w:val="none"/>
          </w:rPr>
          <w:t>https://data.gov.ua/dataset/ac16f415-a60d-408b-b0e5-902d2ebee579</w:t>
        </w:r>
      </w:hyperlink>
      <w:r w:rsidRPr="002F3D62">
        <w:rPr>
          <w:color w:val="333333"/>
          <w:sz w:val="20"/>
          <w:szCs w:val="20"/>
        </w:rPr>
        <w:t>;</w:t>
      </w:r>
    </w:p>
    <w:p w14:paraId="2402B5A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11. Ліцензійний реєстр виданих ліцензій на роздрібну торгівлю алкогольними напоями </w:t>
      </w:r>
      <w:hyperlink r:id="rId46" w:history="1">
        <w:r w:rsidRPr="002F3D62">
          <w:rPr>
            <w:rStyle w:val="a4"/>
            <w:color w:val="00518C"/>
            <w:sz w:val="20"/>
            <w:szCs w:val="20"/>
            <w:u w:val="none"/>
          </w:rPr>
          <w:t>https://data.gov.ua/dataset/e7e5edfd-f7b6-4aaa-a02d-feba084021e7</w:t>
        </w:r>
      </w:hyperlink>
      <w:r w:rsidRPr="002F3D62">
        <w:rPr>
          <w:color w:val="333333"/>
          <w:sz w:val="20"/>
          <w:szCs w:val="20"/>
        </w:rPr>
        <w:t>;</w:t>
      </w:r>
    </w:p>
    <w:p w14:paraId="1700CD5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12. Ліцензійний реєстр виданих ліцензій на роздрібну торгівлю сидром та </w:t>
      </w:r>
      <w:proofErr w:type="spellStart"/>
      <w:r w:rsidRPr="002F3D62">
        <w:rPr>
          <w:color w:val="333333"/>
          <w:sz w:val="20"/>
          <w:szCs w:val="20"/>
        </w:rPr>
        <w:t>перрі</w:t>
      </w:r>
      <w:proofErr w:type="spellEnd"/>
      <w:r w:rsidRPr="002F3D62">
        <w:rPr>
          <w:color w:val="333333"/>
          <w:sz w:val="20"/>
          <w:szCs w:val="20"/>
        </w:rPr>
        <w:t xml:space="preserve"> (без додання спирту) </w:t>
      </w:r>
      <w:hyperlink r:id="rId47" w:history="1">
        <w:r w:rsidRPr="002F3D62">
          <w:rPr>
            <w:rStyle w:val="a4"/>
            <w:color w:val="00518C"/>
            <w:sz w:val="20"/>
            <w:szCs w:val="20"/>
            <w:u w:val="none"/>
          </w:rPr>
          <w:t>https://data.gov.ua/dataset/87ed18a7-c4ef-4ed7-87d1-8cd06ca21db7</w:t>
        </w:r>
      </w:hyperlink>
      <w:r w:rsidRPr="002F3D62">
        <w:rPr>
          <w:color w:val="333333"/>
          <w:sz w:val="20"/>
          <w:szCs w:val="20"/>
        </w:rPr>
        <w:t>;</w:t>
      </w:r>
    </w:p>
    <w:p w14:paraId="14D3845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13. Ліцензійний реєстр виданих ліцензій на роздрібну торгівлю тютюновими виробами </w:t>
      </w:r>
      <w:hyperlink r:id="rId48" w:history="1">
        <w:r w:rsidRPr="002F3D62">
          <w:rPr>
            <w:rStyle w:val="a4"/>
            <w:color w:val="00518C"/>
            <w:sz w:val="20"/>
            <w:szCs w:val="20"/>
            <w:u w:val="none"/>
          </w:rPr>
          <w:t>https://data.gov.ua/dataset/295e8687-056a-4195-bbba-4a538489e728</w:t>
        </w:r>
      </w:hyperlink>
      <w:r w:rsidRPr="002F3D62">
        <w:rPr>
          <w:color w:val="333333"/>
          <w:sz w:val="20"/>
          <w:szCs w:val="20"/>
        </w:rPr>
        <w:t>;</w:t>
      </w:r>
    </w:p>
    <w:p w14:paraId="1188B46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14. Єдиний державний реєстр виробників спирту етилового, коньячного і плодового, спирту етилового ректифікованого виноградного, спирту етилового ректифікованого плодового, спирту-сирцю виноградного, спирту-сирцю плодового, алкогольних напоїв та тютюнових виробів </w:t>
      </w:r>
      <w:hyperlink r:id="rId49" w:history="1">
        <w:r w:rsidRPr="002F3D62">
          <w:rPr>
            <w:rStyle w:val="a4"/>
            <w:color w:val="00518C"/>
            <w:sz w:val="20"/>
            <w:szCs w:val="20"/>
            <w:u w:val="none"/>
          </w:rPr>
          <w:t>https://data.gov.ua/dataset/5cb0cd73-215d-4d52-80fa-b84e59fa6025</w:t>
        </w:r>
      </w:hyperlink>
      <w:r w:rsidRPr="002F3D62">
        <w:rPr>
          <w:color w:val="333333"/>
          <w:sz w:val="20"/>
          <w:szCs w:val="20"/>
        </w:rPr>
        <w:t>;</w:t>
      </w:r>
    </w:p>
    <w:p w14:paraId="447CBE9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15. Реєстр суб’єктів господарювання, які здійснюють оптову торгівлю спиртом коньячним (включаючи дистиляти у вигляді головної і хвостової фракції) і плодовим на підставі ліцензії на виробництво коньяку та алкогольних напоїв за коньячною технологією </w:t>
      </w:r>
      <w:hyperlink r:id="rId50" w:history="1">
        <w:r w:rsidRPr="002F3D62">
          <w:rPr>
            <w:rStyle w:val="a4"/>
            <w:color w:val="00518C"/>
            <w:sz w:val="20"/>
            <w:szCs w:val="20"/>
            <w:u w:val="none"/>
          </w:rPr>
          <w:t>https://data.gov.ua/dataset/d36c0be9-0380-4c85-9dab-8722205f334a</w:t>
        </w:r>
      </w:hyperlink>
      <w:r w:rsidRPr="002F3D62">
        <w:rPr>
          <w:color w:val="333333"/>
          <w:sz w:val="20"/>
          <w:szCs w:val="20"/>
        </w:rPr>
        <w:t>.</w:t>
      </w:r>
    </w:p>
    <w:p w14:paraId="00A94A8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Інформація розміщена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України за посиланням</w:t>
      </w:r>
    </w:p>
    <w:p w14:paraId="799DE1EE" w14:textId="77777777" w:rsidR="00C90CFF" w:rsidRPr="002F3D62" w:rsidRDefault="00700E26" w:rsidP="002F3D62">
      <w:pPr>
        <w:pStyle w:val="a3"/>
        <w:shd w:val="clear" w:color="auto" w:fill="FFFFFF"/>
        <w:spacing w:before="0" w:beforeAutospacing="0" w:after="0" w:afterAutospacing="0"/>
        <w:jc w:val="both"/>
        <w:rPr>
          <w:color w:val="333333"/>
          <w:sz w:val="20"/>
          <w:szCs w:val="20"/>
        </w:rPr>
      </w:pPr>
      <w:hyperlink r:id="rId51" w:history="1">
        <w:r w:rsidR="00C90CFF" w:rsidRPr="002F3D62">
          <w:rPr>
            <w:rStyle w:val="a4"/>
            <w:b/>
            <w:bCs/>
            <w:color w:val="00518C"/>
            <w:sz w:val="20"/>
            <w:szCs w:val="20"/>
          </w:rPr>
          <w:t>https://tax.gov.ua/nove-pro-podatki--</w:t>
        </w:r>
        <w:proofErr w:type="spellStart"/>
        <w:r w:rsidR="00C90CFF" w:rsidRPr="002F3D62">
          <w:rPr>
            <w:rStyle w:val="a4"/>
            <w:b/>
            <w:bCs/>
            <w:color w:val="00518C"/>
            <w:sz w:val="20"/>
            <w:szCs w:val="20"/>
          </w:rPr>
          <w:t>novini</w:t>
        </w:r>
        <w:proofErr w:type="spellEnd"/>
        <w:r w:rsidR="00C90CFF" w:rsidRPr="002F3D62">
          <w:rPr>
            <w:rStyle w:val="a4"/>
            <w:b/>
            <w:bCs/>
            <w:color w:val="00518C"/>
            <w:sz w:val="20"/>
            <w:szCs w:val="20"/>
          </w:rPr>
          <w:t>-/449642.html</w:t>
        </w:r>
      </w:hyperlink>
    </w:p>
    <w:p w14:paraId="348D2C8A"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Pr="002F3D62" w:rsidRDefault="00757B0D" w:rsidP="002F3D62">
      <w:pPr>
        <w:shd w:val="clear" w:color="auto" w:fill="FFFFFF"/>
        <w:spacing w:after="0" w:line="240" w:lineRule="auto"/>
        <w:rPr>
          <w:rFonts w:ascii="Times New Roman" w:hAnsi="Times New Roman" w:cs="Times New Roman"/>
          <w:color w:val="333333"/>
          <w:sz w:val="20"/>
          <w:szCs w:val="20"/>
        </w:rPr>
      </w:pPr>
    </w:p>
    <w:p w14:paraId="393ED320"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До уваги професійних спілок, їх об’єднань та організацій профспілок!</w:t>
      </w:r>
    </w:p>
    <w:p w14:paraId="4E545798" w14:textId="489A2AE2"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ДПС України на офіційному </w:t>
      </w:r>
      <w:proofErr w:type="spellStart"/>
      <w:r w:rsidRPr="002F3D62">
        <w:rPr>
          <w:color w:val="333333"/>
          <w:sz w:val="20"/>
          <w:szCs w:val="20"/>
        </w:rPr>
        <w:t>вебпорталі</w:t>
      </w:r>
      <w:proofErr w:type="spellEnd"/>
      <w:r w:rsidRPr="002F3D62">
        <w:rPr>
          <w:color w:val="333333"/>
          <w:sz w:val="20"/>
          <w:szCs w:val="20"/>
        </w:rPr>
        <w:t xml:space="preserve"> за посиланням </w:t>
      </w:r>
      <w:hyperlink r:id="rId52" w:history="1">
        <w:r w:rsidRPr="002F3D62">
          <w:rPr>
            <w:rStyle w:val="a4"/>
            <w:color w:val="00518C"/>
            <w:sz w:val="20"/>
            <w:szCs w:val="20"/>
            <w:u w:val="none"/>
          </w:rPr>
          <w:t>https://tax.gov.ua/nove-pro-podatki--</w:t>
        </w:r>
        <w:proofErr w:type="spellStart"/>
        <w:r w:rsidRPr="002F3D62">
          <w:rPr>
            <w:rStyle w:val="a4"/>
            <w:color w:val="00518C"/>
            <w:sz w:val="20"/>
            <w:szCs w:val="20"/>
            <w:u w:val="none"/>
          </w:rPr>
          <w:t>novini</w:t>
        </w:r>
        <w:proofErr w:type="spellEnd"/>
        <w:r w:rsidRPr="002F3D62">
          <w:rPr>
            <w:rStyle w:val="a4"/>
            <w:color w:val="00518C"/>
            <w:sz w:val="20"/>
            <w:szCs w:val="20"/>
            <w:u w:val="none"/>
          </w:rPr>
          <w:t>-/449725.html</w:t>
        </w:r>
      </w:hyperlink>
      <w:r w:rsidRPr="002F3D62">
        <w:rPr>
          <w:color w:val="333333"/>
          <w:sz w:val="20"/>
          <w:szCs w:val="20"/>
        </w:rPr>
        <w:t> повідомила.</w:t>
      </w:r>
    </w:p>
    <w:p w14:paraId="14B142CE"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У зв’язку зі змінами, внесеними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F3D62">
        <w:rPr>
          <w:color w:val="333333"/>
          <w:sz w:val="20"/>
          <w:szCs w:val="20"/>
        </w:rPr>
        <w:t>неузгодженостей</w:t>
      </w:r>
      <w:proofErr w:type="spellEnd"/>
      <w:r w:rsidRPr="002F3D62">
        <w:rPr>
          <w:color w:val="333333"/>
          <w:sz w:val="20"/>
          <w:szCs w:val="20"/>
        </w:rPr>
        <w:t xml:space="preserve"> у податковому законодавстві», зокрема до пункту 46.2 статті 46 Податкового кодексу України, вилучено положення щодо подання звіту про використання доходів (прибутків) неприбуткової організації та річної фінансової звітності професійними спілками, їх об’єднаннями та організаціями профспілок тільки у разі порушень пункту 133.4 статті 133 Податкового кодексу України.</w:t>
      </w:r>
    </w:p>
    <w:p w14:paraId="6F5C917B"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Таким чином, професійні спілки, їх об’єднання та організації профспілок – неприбуткові організації, не звільняються від звітування за результатами 2020 року та зобов’язані подати звіт про використання доходів (прибутків) неприбуткової організації та річну фінансову звітність у загальному порядку.</w:t>
      </w:r>
    </w:p>
    <w:p w14:paraId="0CAAE85B"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7EADA6E3" w14:textId="77777777" w:rsidR="00C90CFF" w:rsidRPr="00096BDD" w:rsidRDefault="00C90CFF" w:rsidP="002F3D62">
      <w:pPr>
        <w:pStyle w:val="1"/>
        <w:shd w:val="clear" w:color="auto" w:fill="FFFFFF"/>
        <w:spacing w:before="0" w:beforeAutospacing="0" w:after="0" w:afterAutospacing="0"/>
        <w:rPr>
          <w:color w:val="333333"/>
          <w:sz w:val="20"/>
          <w:szCs w:val="20"/>
        </w:rPr>
      </w:pPr>
      <w:r w:rsidRPr="00096BDD">
        <w:rPr>
          <w:color w:val="333333"/>
          <w:sz w:val="20"/>
          <w:szCs w:val="20"/>
        </w:rPr>
        <w:t xml:space="preserve">Інформаційний лист № 18. Щодо державної підтримки сфери культури, креативних індустрій, туризму, малого та середнього бізнесу у зв'язку з дією обмежувальних заходів, пов'язаних із поширенням </w:t>
      </w:r>
      <w:proofErr w:type="spellStart"/>
      <w:r w:rsidRPr="00096BDD">
        <w:rPr>
          <w:color w:val="333333"/>
          <w:sz w:val="20"/>
          <w:szCs w:val="20"/>
        </w:rPr>
        <w:t>коронавірусної</w:t>
      </w:r>
      <w:proofErr w:type="spellEnd"/>
      <w:r w:rsidRPr="00096BDD">
        <w:rPr>
          <w:color w:val="333333"/>
          <w:sz w:val="20"/>
          <w:szCs w:val="20"/>
        </w:rPr>
        <w:t xml:space="preserve"> хвороби COVID-19</w:t>
      </w:r>
    </w:p>
    <w:p w14:paraId="7ACF0F3F" w14:textId="5D6BF12C"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ДПС України продовжує роз’яснювати положення податкового законодавства за допомогою Інформаційних листів.</w:t>
      </w:r>
    </w:p>
    <w:p w14:paraId="7488D387"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Новий Інформаційний лист № 18 присвячено нормам Закону України від 04 листопада 2020 року № 962-IX «Про внесення змін до Податкового кодексу України щодо державної підтримки культури, туризму та креативних індустрій».</w:t>
      </w:r>
    </w:p>
    <w:p w14:paraId="4027D4C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Цим законом запроваджено податкові преференції для підтримки сфери культури, креативних індустрій, туризму, малого та середнього бізнесу у зв'язку з дією обмежувальних заходів, пов'язаних із поширенням </w:t>
      </w:r>
      <w:proofErr w:type="spellStart"/>
      <w:r w:rsidRPr="002F3D62">
        <w:rPr>
          <w:color w:val="333333"/>
          <w:sz w:val="20"/>
          <w:szCs w:val="20"/>
        </w:rPr>
        <w:t>коронавірусної</w:t>
      </w:r>
      <w:proofErr w:type="spellEnd"/>
      <w:r w:rsidRPr="002F3D62">
        <w:rPr>
          <w:color w:val="333333"/>
          <w:sz w:val="20"/>
          <w:szCs w:val="20"/>
        </w:rPr>
        <w:t xml:space="preserve"> хвороби COVID-19.</w:t>
      </w:r>
    </w:p>
    <w:p w14:paraId="5319F3E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 інформаційному листі ви дізнаєтеся про:</w:t>
      </w:r>
    </w:p>
    <w:p w14:paraId="25AF1EE4"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визначення бюджетного гранту для податкових цілей;</w:t>
      </w:r>
    </w:p>
    <w:p w14:paraId="4A40E43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преференції при оподаткуванні доходів, отриманих платниками податків у вигляді бюджетного гранту;</w:t>
      </w:r>
    </w:p>
    <w:p w14:paraId="36803EEA"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преференції для платників єдиного податку;</w:t>
      </w:r>
    </w:p>
    <w:p w14:paraId="70FA7989"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пільги з ПДВ для суб’єктів господарювання зі сфери культури, креативних індустрій, туризму.</w:t>
      </w:r>
    </w:p>
    <w:p w14:paraId="54157780"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Ознайомитися з інформаційним листом можна тут: </w:t>
      </w:r>
      <w:hyperlink r:id="rId53" w:history="1">
        <w:r w:rsidRPr="002F3D62">
          <w:rPr>
            <w:rStyle w:val="a4"/>
            <w:color w:val="00518C"/>
            <w:sz w:val="20"/>
            <w:szCs w:val="20"/>
            <w:u w:val="none"/>
          </w:rPr>
          <w:t>https://tax.gov.ua/data/material/000/354/449726/InfoList18.pdf</w:t>
        </w:r>
      </w:hyperlink>
    </w:p>
    <w:p w14:paraId="569657B8"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Інформація розміщено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України за посиланням</w:t>
      </w:r>
    </w:p>
    <w:p w14:paraId="60B00F19" w14:textId="77777777" w:rsidR="00C90CFF" w:rsidRPr="002F3D62" w:rsidRDefault="00700E26" w:rsidP="002F3D62">
      <w:pPr>
        <w:pStyle w:val="a3"/>
        <w:shd w:val="clear" w:color="auto" w:fill="FFFFFF"/>
        <w:spacing w:before="0" w:beforeAutospacing="0" w:after="0" w:afterAutospacing="0"/>
        <w:jc w:val="both"/>
        <w:rPr>
          <w:color w:val="333333"/>
          <w:sz w:val="20"/>
          <w:szCs w:val="20"/>
        </w:rPr>
      </w:pPr>
      <w:hyperlink r:id="rId54" w:history="1">
        <w:r w:rsidR="00C90CFF" w:rsidRPr="002F3D62">
          <w:rPr>
            <w:rStyle w:val="a4"/>
            <w:b/>
            <w:bCs/>
            <w:color w:val="00518C"/>
            <w:sz w:val="20"/>
            <w:szCs w:val="20"/>
            <w:u w:val="none"/>
          </w:rPr>
          <w:t>https://tax.gov.ua/media-tsentr/novini/449727.htm</w:t>
        </w:r>
      </w:hyperlink>
    </w:p>
    <w:p w14:paraId="66E48660"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3AB989DC" w14:textId="1110135B" w:rsidR="00C90CFF" w:rsidRPr="00096BDD" w:rsidRDefault="00096BDD" w:rsidP="002F3D62">
      <w:pPr>
        <w:pStyle w:val="1"/>
        <w:shd w:val="clear" w:color="auto" w:fill="FFFFFF"/>
        <w:spacing w:before="0" w:beforeAutospacing="0" w:after="0" w:afterAutospacing="0"/>
        <w:rPr>
          <w:color w:val="333333"/>
          <w:sz w:val="20"/>
          <w:szCs w:val="20"/>
        </w:rPr>
      </w:pPr>
      <w:bookmarkStart w:id="2" w:name="_Hlk62131193"/>
      <w:r w:rsidRPr="00096BDD">
        <w:rPr>
          <w:color w:val="333333"/>
          <w:sz w:val="20"/>
          <w:szCs w:val="20"/>
        </w:rPr>
        <w:t>З</w:t>
      </w:r>
      <w:r w:rsidR="00C90CFF" w:rsidRPr="00096BDD">
        <w:rPr>
          <w:color w:val="333333"/>
          <w:sz w:val="20"/>
          <w:szCs w:val="20"/>
        </w:rPr>
        <w:t>акон України № 1072: 3060 грн – сума податкового боргу, яка списується без подання заяви</w:t>
      </w:r>
    </w:p>
    <w:p w14:paraId="14B7C7BD" w14:textId="30C352E4"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F3D62">
        <w:rPr>
          <w:color w:val="333333"/>
          <w:sz w:val="20"/>
          <w:szCs w:val="20"/>
        </w:rPr>
        <w:t>коронавірусом</w:t>
      </w:r>
      <w:proofErr w:type="spellEnd"/>
      <w:r w:rsidRPr="002F3D62">
        <w:rPr>
          <w:color w:val="333333"/>
          <w:sz w:val="20"/>
          <w:szCs w:val="20"/>
        </w:rPr>
        <w:t xml:space="preserve"> SARS-CoV-2», (далі – Закон № 1072) підрозділ 10 розділу ХХ «Перехідні положення» Податкового кодексу України (далі – ПКУ) доповнено, зокрема новим п. 2</w:t>
      </w:r>
      <w:r w:rsidRPr="002F3D62">
        <w:rPr>
          <w:color w:val="333333"/>
          <w:sz w:val="20"/>
          <w:szCs w:val="20"/>
          <w:vertAlign w:val="superscript"/>
        </w:rPr>
        <w:t>4</w:t>
      </w:r>
      <w:r w:rsidRPr="002F3D62">
        <w:rPr>
          <w:color w:val="333333"/>
          <w:sz w:val="20"/>
          <w:szCs w:val="20"/>
        </w:rPr>
        <w:t>.</w:t>
      </w:r>
    </w:p>
    <w:p w14:paraId="69765E52"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Нормами вищезазначеного пункту встановлено, що 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податками і зборами не перевищує 3060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01 листопада 2020 року та залишився несплаченим/непогашеним станом на дату списання такого боргу.</w:t>
      </w:r>
    </w:p>
    <w:p w14:paraId="7D0D669F"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Таке списання здійснюється без застосування положень ст. 101 ПКУ та виключно за даними, що містяться в інформаційно-телекомунікаційних системах центрального органу виконавчої влади, що реалізує державну податкову політику.</w:t>
      </w:r>
    </w:p>
    <w:p w14:paraId="0626E51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Списані суми підлягають відновленню у разі виявлення обставин, що свідчать про відсутність підстав для списання.</w:t>
      </w:r>
    </w:p>
    <w:p w14:paraId="1D304D0C"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Положення п. 2</w:t>
      </w:r>
      <w:r w:rsidRPr="002F3D62">
        <w:rPr>
          <w:color w:val="333333"/>
          <w:sz w:val="20"/>
          <w:szCs w:val="20"/>
          <w:vertAlign w:val="superscript"/>
        </w:rPr>
        <w:t>4</w:t>
      </w:r>
      <w:r w:rsidRPr="002F3D62">
        <w:rPr>
          <w:color w:val="333333"/>
          <w:sz w:val="20"/>
          <w:szCs w:val="20"/>
        </w:rPr>
        <w:t> підрозділу 10 розділу ХХ ПКУ не застосовується щодо податкового боргу з податків та зборів, які відповідно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вільної митної зони, а також щодо осіб, на яких поширюються судові процедури, визначені Кодексом України з процедур банкрутства.</w:t>
      </w:r>
    </w:p>
    <w:p w14:paraId="61089216"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Нараховані та сплачені або стягнуті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F3D62">
        <w:rPr>
          <w:color w:val="333333"/>
          <w:sz w:val="20"/>
          <w:szCs w:val="20"/>
        </w:rPr>
        <w:t>коронавірусом</w:t>
      </w:r>
      <w:proofErr w:type="spellEnd"/>
      <w:r w:rsidRPr="002F3D62">
        <w:rPr>
          <w:color w:val="333333"/>
          <w:sz w:val="20"/>
          <w:szCs w:val="20"/>
        </w:rPr>
        <w:t xml:space="preserve"> SARS-CoV-2» до дати списання податкового боргу відповідно до цього пункту суми податкового боргу, штрафних санкцій та пені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w:t>
      </w:r>
      <w:proofErr w:type="spellStart"/>
      <w:r w:rsidRPr="002F3D62">
        <w:rPr>
          <w:color w:val="333333"/>
          <w:sz w:val="20"/>
          <w:szCs w:val="20"/>
        </w:rPr>
        <w:t>чеком</w:t>
      </w:r>
      <w:proofErr w:type="spellEnd"/>
      <w:r w:rsidRPr="002F3D62">
        <w:rPr>
          <w:color w:val="333333"/>
          <w:sz w:val="20"/>
          <w:szCs w:val="20"/>
        </w:rPr>
        <w:t xml:space="preserve"> у разі відсутності у платника податків рахунків у банках.</w:t>
      </w:r>
    </w:p>
    <w:p w14:paraId="20D92FD5"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 списані відповідно до п. 2</w:t>
      </w:r>
      <w:r w:rsidRPr="002F3D62">
        <w:rPr>
          <w:color w:val="333333"/>
          <w:sz w:val="20"/>
          <w:szCs w:val="20"/>
          <w:vertAlign w:val="superscript"/>
        </w:rPr>
        <w:t>4</w:t>
      </w:r>
      <w:r w:rsidRPr="002F3D62">
        <w:rPr>
          <w:color w:val="333333"/>
          <w:sz w:val="20"/>
          <w:szCs w:val="20"/>
        </w:rPr>
        <w:t xml:space="preserve"> підрозділу 10 розділу ХХ ПКУ суми не застосовуються штрафні санкції, не нараховується пеня, передбачені ПКУ,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F3D62">
        <w:rPr>
          <w:color w:val="333333"/>
          <w:sz w:val="20"/>
          <w:szCs w:val="20"/>
        </w:rPr>
        <w:t>коронавірусом</w:t>
      </w:r>
      <w:proofErr w:type="spellEnd"/>
      <w:r w:rsidRPr="002F3D62">
        <w:rPr>
          <w:color w:val="333333"/>
          <w:sz w:val="20"/>
          <w:szCs w:val="20"/>
        </w:rPr>
        <w:t xml:space="preserve"> SARS-CoV-2» і до дати списання включно.</w:t>
      </w:r>
    </w:p>
    <w:p w14:paraId="470CD00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Списання податкового боргу згідно з п. 2</w:t>
      </w:r>
      <w:r w:rsidRPr="002F3D62">
        <w:rPr>
          <w:color w:val="333333"/>
          <w:sz w:val="20"/>
          <w:szCs w:val="20"/>
          <w:vertAlign w:val="superscript"/>
        </w:rPr>
        <w:t>4</w:t>
      </w:r>
      <w:r w:rsidRPr="002F3D62">
        <w:rPr>
          <w:color w:val="333333"/>
          <w:sz w:val="20"/>
          <w:szCs w:val="20"/>
        </w:rPr>
        <w:t> підрозділу 10 розділу ХХ ПКУ є підставою для звільнення майна платника податків з-під податкової застави та її виключення з відповідних державних реєстрів.</w:t>
      </w:r>
    </w:p>
    <w:p w14:paraId="51965C1D" w14:textId="77777777" w:rsidR="00C90CFF" w:rsidRPr="002F3D62" w:rsidRDefault="00C90CFF"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 підставі наданої контролюючим органом інформації про списані суми податкового боргу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податкового боргу відповідно до цього пункту, у порядку, визначеному Законом України «Про виконавче провадження».</w:t>
      </w:r>
    </w:p>
    <w:p w14:paraId="5CFDFD4D"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461525AE"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Деклараційна кампанія 2021: граничні строки сплати податкових зобов’язань</w:t>
      </w:r>
    </w:p>
    <w:p w14:paraId="7C071901" w14:textId="5FE503BA"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І</w:t>
      </w:r>
      <w:r w:rsidR="002F3D62" w:rsidRPr="002F3D62">
        <w:rPr>
          <w:color w:val="333333"/>
          <w:sz w:val="20"/>
          <w:szCs w:val="20"/>
        </w:rPr>
        <w:t>нформує</w:t>
      </w:r>
      <w:r>
        <w:rPr>
          <w:color w:val="333333"/>
          <w:sz w:val="20"/>
          <w:szCs w:val="20"/>
        </w:rPr>
        <w:t>мо</w:t>
      </w:r>
      <w:r w:rsidR="002F3D62" w:rsidRPr="002F3D62">
        <w:rPr>
          <w:color w:val="333333"/>
          <w:sz w:val="20"/>
          <w:szCs w:val="20"/>
        </w:rPr>
        <w:t>, що триває Деклараційна кампанія 2021. Фізичні особи, які отримали доходи у 2020 році, відповідно до норм Податкового кодексу України, зобов’язані подати податкову декларацію про майновий стан і доходи (Декларація).</w:t>
      </w:r>
    </w:p>
    <w:p w14:paraId="3757407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Крім того, таким платникам необхідно сплатити податкові зобов’язання, визначені в Декларації, а саме:</w:t>
      </w:r>
    </w:p>
    <w:p w14:paraId="294FD2F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w:t>
      </w:r>
      <w:r w:rsidRPr="002F3D62">
        <w:rPr>
          <w:rStyle w:val="a6"/>
          <w:color w:val="333333"/>
          <w:sz w:val="20"/>
          <w:szCs w:val="20"/>
        </w:rPr>
        <w:t>до 19 лютого 2021 року (включно)</w:t>
      </w:r>
      <w:r w:rsidRPr="002F3D62">
        <w:rPr>
          <w:color w:val="333333"/>
          <w:sz w:val="20"/>
          <w:szCs w:val="20"/>
        </w:rPr>
        <w:t> – фізичними особами – підприємцями </w:t>
      </w:r>
      <w:r w:rsidRPr="002F3D62">
        <w:rPr>
          <w:rStyle w:val="a5"/>
          <w:rFonts w:eastAsiaTheme="majorEastAsia"/>
          <w:color w:val="333333"/>
          <w:sz w:val="20"/>
          <w:szCs w:val="20"/>
        </w:rPr>
        <w:t>(крім осіб, що обрали спрощену систему оподаткування)</w:t>
      </w:r>
      <w:r w:rsidRPr="002F3D62">
        <w:rPr>
          <w:color w:val="333333"/>
          <w:sz w:val="20"/>
          <w:szCs w:val="20"/>
        </w:rPr>
        <w:t>;</w:t>
      </w:r>
    </w:p>
    <w:p w14:paraId="765C419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w:t>
      </w:r>
      <w:r w:rsidRPr="002F3D62">
        <w:rPr>
          <w:rStyle w:val="a6"/>
          <w:color w:val="333333"/>
          <w:sz w:val="20"/>
          <w:szCs w:val="20"/>
        </w:rPr>
        <w:t>протягом 10 календарних днів</w:t>
      </w:r>
      <w:r w:rsidRPr="002F3D62">
        <w:rPr>
          <w:color w:val="333333"/>
          <w:sz w:val="20"/>
          <w:szCs w:val="20"/>
        </w:rPr>
        <w:t>, що настають за останнім днем відповідного граничного строку подання Декларації – фізичними особами, стосовно яких проведено державну реєстрацію припинення підприємницької діяльності фізичної особи </w:t>
      </w:r>
      <w:r w:rsidRPr="002F3D62">
        <w:rPr>
          <w:rStyle w:val="a5"/>
          <w:rFonts w:eastAsiaTheme="majorEastAsia"/>
          <w:color w:val="333333"/>
          <w:sz w:val="20"/>
          <w:szCs w:val="20"/>
        </w:rPr>
        <w:t>(крім осіб, що обрали спрощену систему оподаткування)</w:t>
      </w:r>
      <w:r w:rsidRPr="002F3D62">
        <w:rPr>
          <w:color w:val="333333"/>
          <w:sz w:val="20"/>
          <w:szCs w:val="20"/>
        </w:rPr>
        <w:t>;</w:t>
      </w:r>
    </w:p>
    <w:p w14:paraId="4C4E0A9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w:t>
      </w:r>
      <w:r w:rsidRPr="002F3D62">
        <w:rPr>
          <w:rStyle w:val="a6"/>
          <w:color w:val="333333"/>
          <w:sz w:val="20"/>
          <w:szCs w:val="20"/>
        </w:rPr>
        <w:t>02 серпня 2021 року</w:t>
      </w:r>
      <w:r w:rsidRPr="002F3D62">
        <w:rPr>
          <w:color w:val="333333"/>
          <w:sz w:val="20"/>
          <w:szCs w:val="20"/>
        </w:rPr>
        <w:t> – громадянами та особами, які здійснюють незалежну професійну діяльність.</w:t>
      </w:r>
    </w:p>
    <w:p w14:paraId="68F9F62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Платник податку на доходи фізичних осіб – фізична особа, який зобов’язаний подати Декларацію, визначити та сплатити свої податкові зобов’язання, сплачує за кодами бюджетної класифікації:</w:t>
      </w:r>
    </w:p>
    <w:p w14:paraId="5864730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b/>
          <w:bCs/>
          <w:color w:val="333333"/>
          <w:sz w:val="20"/>
          <w:szCs w:val="20"/>
        </w:rPr>
        <w:t>«11010500»</w:t>
      </w:r>
      <w:r w:rsidRPr="002F3D62">
        <w:rPr>
          <w:color w:val="333333"/>
          <w:sz w:val="20"/>
          <w:szCs w:val="20"/>
        </w:rPr>
        <w:t> – «податок на доходи фізичних осіб, що сплачується фізичними особами за результатами річного декларування»;</w:t>
      </w:r>
    </w:p>
    <w:p w14:paraId="209DDD5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b/>
          <w:bCs/>
          <w:color w:val="333333"/>
          <w:sz w:val="20"/>
          <w:szCs w:val="20"/>
        </w:rPr>
        <w:t>«11011001»</w:t>
      </w:r>
      <w:r w:rsidRPr="002F3D62">
        <w:rPr>
          <w:color w:val="333333"/>
          <w:sz w:val="20"/>
          <w:szCs w:val="20"/>
        </w:rPr>
        <w:t> – «військовий збір, що сплачується за результатами декларування».</w:t>
      </w:r>
    </w:p>
    <w:p w14:paraId="6341078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Інформація про реквізити банківських рахунків для сплати податків відповідно до адміністративно-територіального устрою України оприлюднена на офіційному </w:t>
      </w:r>
      <w:proofErr w:type="spellStart"/>
      <w:r w:rsidRPr="002F3D62">
        <w:rPr>
          <w:color w:val="333333"/>
          <w:sz w:val="20"/>
          <w:szCs w:val="20"/>
        </w:rPr>
        <w:t>вебпорталі</w:t>
      </w:r>
      <w:proofErr w:type="spellEnd"/>
      <w:r w:rsidRPr="002F3D62">
        <w:rPr>
          <w:color w:val="333333"/>
          <w:sz w:val="20"/>
          <w:szCs w:val="20"/>
        </w:rPr>
        <w:t xml:space="preserve"> ДПС у рубриці </w:t>
      </w:r>
      <w:r w:rsidRPr="002F3D62">
        <w:rPr>
          <w:rStyle w:val="a5"/>
          <w:rFonts w:eastAsiaTheme="majorEastAsia"/>
          <w:color w:val="333333"/>
          <w:sz w:val="20"/>
          <w:szCs w:val="20"/>
        </w:rPr>
        <w:t>«Бюджетні рахунки»</w:t>
      </w:r>
      <w:r w:rsidRPr="002F3D62">
        <w:rPr>
          <w:color w:val="333333"/>
          <w:sz w:val="20"/>
          <w:szCs w:val="20"/>
        </w:rPr>
        <w:t> (</w:t>
      </w:r>
      <w:hyperlink r:id="rId55" w:history="1">
        <w:r w:rsidRPr="002F3D62">
          <w:rPr>
            <w:rStyle w:val="a4"/>
            <w:color w:val="00518C"/>
            <w:sz w:val="20"/>
            <w:szCs w:val="20"/>
            <w:u w:val="none"/>
          </w:rPr>
          <w:t>https://tax.gov.ua/byudjetni-rahunki/</w:t>
        </w:r>
      </w:hyperlink>
      <w:r w:rsidRPr="002F3D62">
        <w:rPr>
          <w:color w:val="333333"/>
          <w:sz w:val="20"/>
          <w:szCs w:val="20"/>
        </w:rPr>
        <w:t>).</w:t>
      </w:r>
    </w:p>
    <w:p w14:paraId="7426E836"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25A8208E"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Особливості застосування окремих норм Закону України № 962</w:t>
      </w:r>
    </w:p>
    <w:p w14:paraId="175AEC29" w14:textId="22A9F976"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Повідомляємо</w:t>
      </w:r>
      <w:r w:rsidR="002F3D62" w:rsidRPr="002F3D62">
        <w:rPr>
          <w:color w:val="333333"/>
          <w:sz w:val="20"/>
          <w:szCs w:val="20"/>
        </w:rPr>
        <w:t xml:space="preserve"> щодо особливостей застосування окремих норм Закону України від 04 листопада 2020 року № 962-IX «Про внесення змін до Податкового кодексу України щодо державної підтримки культури, туризму та креативних індустрій» (далі – Закон № 962) доводить до відома платників ПДВ наступне.</w:t>
      </w:r>
    </w:p>
    <w:p w14:paraId="1622A92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Визначено перелік суб’єктів господарювання у сфері готельного бізнесу та переліку послуг, до операцій з постачання яких запроваджується застосування зниженої ставки ПДВ у розмірі 7 відсотків.</w:t>
      </w:r>
    </w:p>
    <w:p w14:paraId="4ABF0E5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Законом № 962 встановлено обмеження щодо кола засобів тимчасового розміщування, оскільки знижена ставка ПДВ у розмірі 7 відсотків може застосовуватися лише готелями і подібними засобами тимчасового розміщування, діяльність яких відноситься до класу 55.10 групи 55 КВЕД ДК 009:2010.</w:t>
      </w:r>
    </w:p>
    <w:p w14:paraId="1E96C22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 операції з постачання послуг з тимчасового розміщування (проживання) в інших об’єктах (засобах) тимчасового розміщення, зокрема, в таких, що перераховані в інших класах групи 55 (55.2, 55.3, 55.9) застосування зниженої ставки ПДВ у розмірі 7 відсотків не поширюється і до таких операцій застосовується основна ставка ПДВ у розмірі 20 відсотків.</w:t>
      </w:r>
    </w:p>
    <w:p w14:paraId="18A421A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Суб’єктам господарювання, які надають послуги з тимчасового розміщування (проживання), з метою визначення правомірності застосування зниженої ставки ПДВ у розмірі 7 відсотків до операцій з постачання таких послуг слід керуватися:</w:t>
      </w:r>
    </w:p>
    <w:p w14:paraId="6BAAB27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Національним класифікатором України «Класифікація видів економічної діяльності ДК 009:2010», затвердженим наказом Держспоживстандарту України від 11.10.2010 № 457 (з урахуванням внесених до нього змін та доповнень) (далі – ДК 009:2010);</w:t>
      </w:r>
    </w:p>
    <w:p w14:paraId="0E8D7A0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Методологічними основами та поясненнями до позиції Класифікації видів економічної діяльності», затвердженими наказом Державного комітету статистики України від 23.12,2011 № 396 (з урахуванням внесених змін та доповнень) (далі – Наказ № 396);</w:t>
      </w:r>
    </w:p>
    <w:p w14:paraId="648FA06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Методологічними положеннями щодо визначення основного виду економічної діяльності підприємства, затвердженими наказом Державного комітету статистики України від 14.12.2006 № 607 (з урахуванням внесених змін та доповнень) (далі – Наказ № 607);</w:t>
      </w:r>
    </w:p>
    <w:p w14:paraId="7508A5C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Законом України від 15 вересня 1995 року № 324/95-ВР «Про туризм» (з урахуванням внесених змін та доповнень) (далі – Закон № 324);</w:t>
      </w:r>
    </w:p>
    <w:p w14:paraId="67CC4C0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Правилами користування готелями й аналогічними засобами розміщення та надання готельних послуг, затвердженими наказом Державної туристичної адміністрації України від 16.03.2004 № 19, зареєстрованим у Міністерстві юстиції України 02.04.2004 за № 413/9012 (з урахуванням внесених змін та доповнень) (далі – Правила № 19).</w:t>
      </w:r>
    </w:p>
    <w:p w14:paraId="238EBF0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ДК 009:2010 відносить до класу 55.10 групи 55 КВЕД діяльність готелів і подібних засобів тимчасового розміщування.</w:t>
      </w:r>
    </w:p>
    <w:p w14:paraId="364358B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Згідно з ДК 009:2010 з урахуванням Методологічних основ № 396 такий клас включає надання місць для переважно короткострокового проживання гостей і відвідувачів зазвичай на добовій або тижневій основі. Ця діяльність включає надання упорядженого житла в гостьових кімнатах або номерах люкс. Послуги включають щоденне прибирання та заміну постільної білизни. Також можливе надання широкого переліку додаткових послуг, таких як забезпечення харчуванням і напоями, паркування, послуги </w:t>
      </w:r>
      <w:proofErr w:type="spellStart"/>
      <w:r w:rsidRPr="002F3D62">
        <w:rPr>
          <w:color w:val="333333"/>
          <w:sz w:val="20"/>
          <w:szCs w:val="20"/>
        </w:rPr>
        <w:t>пралень</w:t>
      </w:r>
      <w:proofErr w:type="spellEnd"/>
      <w:r w:rsidRPr="002F3D62">
        <w:rPr>
          <w:color w:val="333333"/>
          <w:sz w:val="20"/>
          <w:szCs w:val="20"/>
        </w:rPr>
        <w:t>, басейнів і тренажерних залів, місць для відпочинку та розваг, а також конференц-залів і місці для проведення нарад.</w:t>
      </w:r>
    </w:p>
    <w:p w14:paraId="50B04BC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Такий клас включає діяльність з розміщування у: готелях; курортних готелях;</w:t>
      </w:r>
    </w:p>
    <w:p w14:paraId="1657506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готелях класу люкс; мотелях.</w:t>
      </w:r>
    </w:p>
    <w:p w14:paraId="2EB4741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Такий клас не включає надання в оренду будинків, упоряджених або неупоряджених квартир чи апартаментів для постійного проживання зазвичай на місячний або річний термін.</w:t>
      </w:r>
    </w:p>
    <w:p w14:paraId="5BD61C5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Визначення термінів «готель» та «аналогічні засоби розміщення» надано статтею 1 Закону № 324 та Правилами № 19.</w:t>
      </w:r>
    </w:p>
    <w:p w14:paraId="400A708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Згідно з даними визначеннями:</w:t>
      </w:r>
    </w:p>
    <w:p w14:paraId="6B8CB27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готель – це </w:t>
      </w:r>
      <w:r w:rsidRPr="002F3D62">
        <w:rPr>
          <w:rStyle w:val="a6"/>
          <w:color w:val="333333"/>
          <w:sz w:val="20"/>
          <w:szCs w:val="20"/>
        </w:rPr>
        <w:t>підприємство</w:t>
      </w:r>
      <w:r w:rsidRPr="002F3D62">
        <w:rPr>
          <w:color w:val="333333"/>
          <w:sz w:val="20"/>
          <w:szCs w:val="20"/>
        </w:rPr>
        <w:t> будь-якої організаційно-правової форми та форми власності, що складається із шести і більше номерів та надає готельні послуги з тимчасового проживання з обов’язковим обслуговуванням;</w:t>
      </w:r>
    </w:p>
    <w:p w14:paraId="0FA7E9A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аналогічні засоби розміщення – це </w:t>
      </w:r>
      <w:r w:rsidRPr="002F3D62">
        <w:rPr>
          <w:rStyle w:val="a6"/>
          <w:color w:val="333333"/>
          <w:sz w:val="20"/>
          <w:szCs w:val="20"/>
        </w:rPr>
        <w:t>підприємства</w:t>
      </w:r>
      <w:r w:rsidRPr="002F3D62">
        <w:rPr>
          <w:color w:val="333333"/>
          <w:sz w:val="20"/>
          <w:szCs w:val="20"/>
        </w:rPr>
        <w:t> будь-якої організаційно-правової форми власності, що складаються з номерів і надають обмежені готельні послуги, включно з щоденним заправлянням ліжок, прибиванням кімнат та санвузлів.</w:t>
      </w:r>
    </w:p>
    <w:p w14:paraId="37BC9FB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Пунктом 1 статті 62 Господарського кодексу (далі – ГКУ) визначено, що підприємство – самостійний суб'єкт господарювання, створений компетентним органом державної влади або органом місцевого самоврядування, або іншими суб’єктами для задоволення суспільних та особистих потреб шляхом систематичного здійснення виробничої, науково-дослідної, торговельної, іншої господарської діяльності в порядку, передбаченому цим Кодексом та іншими законами. Підприємство є юридичною особою (пункт 4 статті 62 ГКУ).</w:t>
      </w:r>
    </w:p>
    <w:p w14:paraId="5A46F6D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Отже, нормативними актами, які регламентують діяльність суб’єктів, що надають послуги з тимчасового розміщення (проживання), передбачено, що такими суб’єктами є підприємства, тобто, юридичні особи. При цьому не має значення чи такий суб’єкт є окремою юридичною особою, чи структурним підрозділом іншої юридичної особи. Відповідно, до операцій, що надаються фізичними особами – підприємцями, застосування даної норми не передбачено.</w:t>
      </w:r>
    </w:p>
    <w:p w14:paraId="6F791A2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Стосовно переліку послуг, які відносяться до категорії послуг з тимчасового розміщування (проживання), слід враховувати наступне.</w:t>
      </w:r>
    </w:p>
    <w:p w14:paraId="13EE42C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до Закону № 324 та Правил № 19:</w:t>
      </w:r>
    </w:p>
    <w:p w14:paraId="3683E39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готельна послуга – дії (операції) підприємства з розміщення споживача шляхом надання номера (місця) для тимчасового проживання в готелі, а також інша діяльність, пов'язана з розміщенням та тимчасовим проживанням. Готельна послуга складається з основних та додаткових послуг, що надаються споживачу відповідно до категорії готелю;</w:t>
      </w:r>
    </w:p>
    <w:p w14:paraId="7CC007C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основні послуги – обсяг послуг готелю (проживання, харчування тощо), що включається до ціни номера (місця) і надається споживачу згідно з укладеним договором</w:t>
      </w:r>
    </w:p>
    <w:p w14:paraId="6DF64B6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додаткові послуги – обсяг послуг, що не належать до основних послуг готелю, замовляються та сплачуються споживачем додатково за окремим договором.</w:t>
      </w:r>
    </w:p>
    <w:p w14:paraId="2576377B"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58A59417"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При здійсненні розрахунків у безготівковій формі через установи банку, РРО (ПРРО) не застосовуються</w:t>
      </w:r>
    </w:p>
    <w:p w14:paraId="1EF1E6D2" w14:textId="17A46BA7"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Н</w:t>
      </w:r>
      <w:r w:rsidR="002F3D62" w:rsidRPr="002F3D62">
        <w:rPr>
          <w:color w:val="333333"/>
          <w:sz w:val="20"/>
          <w:szCs w:val="20"/>
        </w:rPr>
        <w:t>агадує</w:t>
      </w:r>
      <w:r>
        <w:rPr>
          <w:color w:val="333333"/>
          <w:sz w:val="20"/>
          <w:szCs w:val="20"/>
        </w:rPr>
        <w:t>мо</w:t>
      </w:r>
      <w:r w:rsidR="002F3D62" w:rsidRPr="002F3D62">
        <w:rPr>
          <w:color w:val="333333"/>
          <w:sz w:val="20"/>
          <w:szCs w:val="20"/>
        </w:rPr>
        <w:t xml:space="preserve">,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w:t>
      </w:r>
      <w:proofErr w:type="spellStart"/>
      <w:r w:rsidR="002F3D62" w:rsidRPr="002F3D62">
        <w:rPr>
          <w:color w:val="333333"/>
          <w:sz w:val="20"/>
          <w:szCs w:val="20"/>
        </w:rPr>
        <w:t>чеків</w:t>
      </w:r>
      <w:proofErr w:type="spellEnd"/>
      <w:r w:rsidR="002F3D62" w:rsidRPr="002F3D62">
        <w:rPr>
          <w:color w:val="333333"/>
          <w:sz w:val="20"/>
          <w:szCs w:val="20"/>
        </w:rPr>
        <w:t>,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із застосуванням зареєстрованих у встановленому порядку розрахункових книжок (далі – РК).</w:t>
      </w:r>
    </w:p>
    <w:p w14:paraId="4130D80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Норми встановлені п. 1 ст. 3 Закону № 265.</w:t>
      </w:r>
    </w:p>
    <w:p w14:paraId="09DCB1A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Згідно з п. 1.4 глави 1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із змінами та доповненнями, безготівкові розрахунки – це перерахування певної суми коштів з рахунків платників на рахунки отримувачів коштів, а також перерахування банками за дорученням підприємств і фізичних осіб коштів, унесених ними готівкою в касу банку, на рахунки отримувачів коштів. Ці розрахунки проводяться банком на підставі розрахункових документів на паперових носіях чи в електронному вигляді.</w:t>
      </w:r>
    </w:p>
    <w:p w14:paraId="7297379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до п. 12 ст. 9 Закону № 265 РРО та/або ПРРО та РК не застосовуються якщо в місці отримання товарів (надання послуг) операції з розрахунків у готівковій формі не здійснюються (склади, місця зберігання товарів, оптова торгівля тощо).</w:t>
      </w:r>
    </w:p>
    <w:p w14:paraId="2E3C8E5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Отже, при здійсненні розрахункових операції в готівковій та/або в безготівковій формі (із застосуванням електронних платіжних засобів, платіжних </w:t>
      </w:r>
      <w:proofErr w:type="spellStart"/>
      <w:r w:rsidRPr="002F3D62">
        <w:rPr>
          <w:color w:val="333333"/>
          <w:sz w:val="20"/>
          <w:szCs w:val="20"/>
        </w:rPr>
        <w:t>чеків</w:t>
      </w:r>
      <w:proofErr w:type="spellEnd"/>
      <w:r w:rsidRPr="002F3D62">
        <w:rPr>
          <w:color w:val="333333"/>
          <w:sz w:val="20"/>
          <w:szCs w:val="20"/>
        </w:rPr>
        <w:t>, жетонів тощо) застосування РРО або програмного РРО є обов’язковим.</w:t>
      </w:r>
    </w:p>
    <w:p w14:paraId="642DB4C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При здійсненні розрахунків у безготівковій формі через установи банку РРО або ПРРО не застосовується.</w:t>
      </w:r>
    </w:p>
    <w:p w14:paraId="5605AF30"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7E549752" w14:textId="77777777" w:rsidR="002F3D62" w:rsidRPr="002F3D62" w:rsidRDefault="002F3D62" w:rsidP="002F3D62">
      <w:pPr>
        <w:pStyle w:val="1"/>
        <w:shd w:val="clear" w:color="auto" w:fill="FFFFFF"/>
        <w:spacing w:before="0" w:beforeAutospacing="0" w:after="0" w:afterAutospacing="0"/>
        <w:rPr>
          <w:b w:val="0"/>
          <w:bCs w:val="0"/>
          <w:color w:val="333333"/>
          <w:sz w:val="20"/>
          <w:szCs w:val="20"/>
        </w:rPr>
      </w:pPr>
      <w:r w:rsidRPr="002F3D62">
        <w:rPr>
          <w:b w:val="0"/>
          <w:bCs w:val="0"/>
          <w:color w:val="333333"/>
          <w:sz w:val="20"/>
          <w:szCs w:val="20"/>
        </w:rPr>
        <w:t>Повернення помилково та/або надміру сплачених сум грошового зобов’язання та пені (крім єдиного внеску)</w:t>
      </w:r>
    </w:p>
    <w:p w14:paraId="7EF32F0D" w14:textId="0891D074"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П</w:t>
      </w:r>
      <w:r w:rsidR="002F3D62" w:rsidRPr="002F3D62">
        <w:rPr>
          <w:color w:val="333333"/>
          <w:sz w:val="20"/>
          <w:szCs w:val="20"/>
        </w:rPr>
        <w:t>овідомляє</w:t>
      </w:r>
      <w:r>
        <w:rPr>
          <w:color w:val="333333"/>
          <w:sz w:val="20"/>
          <w:szCs w:val="20"/>
        </w:rPr>
        <w:t>мо</w:t>
      </w:r>
      <w:r w:rsidR="002F3D62" w:rsidRPr="002F3D62">
        <w:rPr>
          <w:color w:val="333333"/>
          <w:sz w:val="20"/>
          <w:szCs w:val="20"/>
        </w:rPr>
        <w:t>, що помилково та/або надміру сплачені суми грошового зобов’язання підлягають поверненню платнику, зокрема, відповідно до ст. 43 Податкового кодексу України (далі – ПКУ), крім випадків наявності у такого платника податкового боргу.</w:t>
      </w:r>
    </w:p>
    <w:p w14:paraId="5261092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Норми визначені з п. 43.1 ст. 43 ПКУ</w:t>
      </w:r>
    </w:p>
    <w:p w14:paraId="6FA8C15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У разі наявності у платника податків податкового боргу, повернення помилково та/або надміру сплаченої суми грошового зобов’язання на поточний рахунок такого платника податків в установі банку або на єдиний рахунок, або шляхом повернення готівковими коштами за </w:t>
      </w:r>
      <w:proofErr w:type="spellStart"/>
      <w:r w:rsidRPr="002F3D62">
        <w:rPr>
          <w:color w:val="333333"/>
          <w:sz w:val="20"/>
          <w:szCs w:val="20"/>
        </w:rPr>
        <w:t>чеком</w:t>
      </w:r>
      <w:proofErr w:type="spellEnd"/>
      <w:r w:rsidRPr="002F3D62">
        <w:rPr>
          <w:color w:val="333333"/>
          <w:sz w:val="20"/>
          <w:szCs w:val="20"/>
        </w:rPr>
        <w:t>, у разі відсутності у платника податків рахунку в банку, проводиться лише після повного погашення такого податкового боргу платником податків (п. 43.2 ст. 43 ПКУ).</w:t>
      </w:r>
    </w:p>
    <w:p w14:paraId="380EB5F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Обов’язковою умовою для здійснення повернення сум грошового зобов’язання та пені є подання платником податків заяви про таке повернення </w:t>
      </w:r>
      <w:r w:rsidRPr="002F3D62">
        <w:rPr>
          <w:rStyle w:val="a5"/>
          <w:color w:val="333333"/>
          <w:sz w:val="20"/>
          <w:szCs w:val="20"/>
        </w:rPr>
        <w:t>(крім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w:t>
      </w:r>
      <w:r w:rsidRPr="002F3D62">
        <w:rPr>
          <w:color w:val="333333"/>
          <w:sz w:val="20"/>
          <w:szCs w:val="20"/>
        </w:rPr>
        <w:t> протягом 1095 днів від дня виникнення помилково та/або надміру сплаченої суми та/або пені (п. 43.3 ст. 43 ПКУ).</w:t>
      </w:r>
    </w:p>
    <w:p w14:paraId="2768CDE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Платник податків подає заяву про повернення помилково та/або надміру сплачених грошових зобов’язань та пені (далі – заява) у довільній формі, в якій зазначає напрям перерахування коштів: на поточний рахунок платника податків в установі банку, на 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w:t>
      </w:r>
      <w:proofErr w:type="spellStart"/>
      <w:r w:rsidRPr="002F3D62">
        <w:rPr>
          <w:color w:val="333333"/>
          <w:sz w:val="20"/>
          <w:szCs w:val="20"/>
        </w:rPr>
        <w:t>чеком</w:t>
      </w:r>
      <w:proofErr w:type="spellEnd"/>
      <w:r w:rsidRPr="002F3D62">
        <w:rPr>
          <w:color w:val="333333"/>
          <w:sz w:val="20"/>
          <w:szCs w:val="20"/>
        </w:rPr>
        <w:t xml:space="preserve"> у разі відсутності у платника податків рахунка в банку (п. 43.4 ст. 43 ПКУ).</w:t>
      </w:r>
    </w:p>
    <w:p w14:paraId="7AAF0D3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повернення надміру сплачених податкових зобов’язань з ПДВ, зарахованих до бюджету з рахунка платника ПДВ в системі електронного адміністрування податку на додану вартість у порядку, визначеному п. 200</w:t>
      </w:r>
      <w:r w:rsidRPr="002F3D62">
        <w:rPr>
          <w:color w:val="333333"/>
          <w:sz w:val="20"/>
          <w:szCs w:val="20"/>
          <w:vertAlign w:val="superscript"/>
        </w:rPr>
        <w:t>1</w:t>
      </w:r>
      <w:r w:rsidRPr="002F3D62">
        <w:rPr>
          <w:color w:val="333333"/>
          <w:sz w:val="20"/>
          <w:szCs w:val="20"/>
        </w:rPr>
        <w:t>.5      ст. 200</w:t>
      </w:r>
      <w:r w:rsidRPr="002F3D62">
        <w:rPr>
          <w:color w:val="333333"/>
          <w:sz w:val="20"/>
          <w:szCs w:val="20"/>
          <w:vertAlign w:val="superscript"/>
        </w:rPr>
        <w:t>1</w:t>
      </w:r>
      <w:r w:rsidRPr="002F3D62">
        <w:rPr>
          <w:color w:val="333333"/>
          <w:sz w:val="20"/>
          <w:szCs w:val="20"/>
        </w:rPr>
        <w:t> ПКУ, такі кошти підлягають поверненню виключно на рахунок платника в системі електронного адміністрування податку на додану вартість, а у разі його відсутності на момент звернення платника податків із заявою на повернення надміру сплачених податкових зобов’язань з ПДВ чи на момент фактичного повернення коштів – шляхом перерахування на поточний рахунок платника податків в установі банку (абзац перший п. 43.4</w:t>
      </w:r>
      <w:r w:rsidRPr="002F3D62">
        <w:rPr>
          <w:color w:val="333333"/>
          <w:sz w:val="20"/>
          <w:szCs w:val="20"/>
          <w:vertAlign w:val="superscript"/>
        </w:rPr>
        <w:t>1</w:t>
      </w:r>
      <w:r w:rsidRPr="002F3D62">
        <w:rPr>
          <w:color w:val="333333"/>
          <w:sz w:val="20"/>
          <w:szCs w:val="20"/>
        </w:rPr>
        <w:t> ст. 43 ПКУ).</w:t>
      </w:r>
    </w:p>
    <w:p w14:paraId="289A3CE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Згідно з п. 43.5 ст. 43 ПКУ контролюючий орган не пізніше ніж за п’ять робочих днів до закінчення </w:t>
      </w:r>
      <w:proofErr w:type="spellStart"/>
      <w:r w:rsidRPr="002F3D62">
        <w:rPr>
          <w:color w:val="333333"/>
          <w:sz w:val="20"/>
          <w:szCs w:val="20"/>
        </w:rPr>
        <w:t>двадцятиденного</w:t>
      </w:r>
      <w:proofErr w:type="spellEnd"/>
      <w:r w:rsidRPr="002F3D62">
        <w:rPr>
          <w:color w:val="333333"/>
          <w:sz w:val="20"/>
          <w:szCs w:val="20"/>
        </w:rPr>
        <w:t xml:space="preserve"> строку з дня подання платником податків заяви готує висновок про повернення належних сум коштів з відповідного бюджету або з єдиного рахунку та подає його для виконання відповідному органові, що здійснює казначейське обслуговування бюджетних коштів.</w:t>
      </w:r>
    </w:p>
    <w:p w14:paraId="401F995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У разі якщо повернення сум податку на доходи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 відповідне повідомлення надсилається контролюючим органом до органу, що здійснює казначейське обслуговування бюджетних коштів, не пізніше ніж за п’ять робочих днів до закінчення </w:t>
      </w:r>
      <w:proofErr w:type="spellStart"/>
      <w:r w:rsidRPr="002F3D62">
        <w:rPr>
          <w:color w:val="333333"/>
          <w:sz w:val="20"/>
          <w:szCs w:val="20"/>
        </w:rPr>
        <w:t>шістдесятиденного</w:t>
      </w:r>
      <w:proofErr w:type="spellEnd"/>
      <w:r w:rsidRPr="002F3D62">
        <w:rPr>
          <w:color w:val="333333"/>
          <w:sz w:val="20"/>
          <w:szCs w:val="20"/>
        </w:rPr>
        <w:t xml:space="preserve"> строку з дня отримання відповідної податкової декларації.</w:t>
      </w:r>
    </w:p>
    <w:p w14:paraId="1749E77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 підставі отриманого висновку орган, що здійснює казначейське обслуговування бюджетних коштів, протягом п’яти робочих днів здійснює повернення помилково та/або надміру сплачених грошових зобов’язань та пені платникам податків у порядку, встановленому центральним органом виконавчої влади, що забезпечує формування та реалізує державну фінансову політику.</w:t>
      </w:r>
    </w:p>
    <w:p w14:paraId="0941595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Контролюючий орган несе відповідальність згідно із законом за несвоєчасність передачі органу, що здійснює казначейське обслуговування бюджетних коштів, для виконання висновку про повернення відповідних сум коштів з відповідного бюджету.</w:t>
      </w:r>
    </w:p>
    <w:p w14:paraId="2B0CE5F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Пунктом 43.6 ст. 43 ПКУ визначено, що повернення помилково та/або надміру сплачених грошових зобов’язань платникам податків здійснюється з бюджету, у який такі кошти були зараховані, або з єдиного рахунку.</w:t>
      </w:r>
    </w:p>
    <w:p w14:paraId="28DE6D7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Пунктом 1 розділу ІІ Порядку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(далі – Порядок № 60), встановлено, що повернення помилково та/або надміру сплачених сум грошових зобов’язань та пені у випадках, передбачених законодавством, здійснюється виключно на підставі заяви платника податку (за винятком повернення надміру утриманих (сплачених) сум податку на доходи фізичних осіб, які розраховуються територіальним органом ДПС на підставі поданої платником податків податкової декларації про майновий стан і доходи за звітний календарний рік шляхом проведення перерахунку за загальним річним оподатковуваним доходом платника податку), поданої до територіального органу ДПС за місцем адміністрування (обліку) помилково та/або надміру сплаченої суми протягом 1095 днів від дня її виникнення.</w:t>
      </w:r>
    </w:p>
    <w:p w14:paraId="781A9EC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Заява може бути подана платником до територіального органу ДПС в електронній формі за допомогою засобів інформаційно-телекомунікаційних систем та з дотриманням вимог законодавства у сферах захисту інформації, електронних довірчих послуг та електронного документообігу.</w:t>
      </w:r>
    </w:p>
    <w:p w14:paraId="3049769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Додатково до заяви платник може подати копію платіжного документа, на виконання якого помилково та/або надміру сплачений платіж перераховано до бюджету (абзац п’ятий п. 2 розділу ІІ Порядку № 60).</w:t>
      </w:r>
    </w:p>
    <w:p w14:paraId="0D57009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зокрема, управління сумами помилково та/або надміру сплачених грошових зобов’язань та пені відповідно до положень ПКУ, в тому числі шляхом подачі заяви про повернення помилково та/або надміру сплачених грошових зобов’язань та/або пені (п. 42 </w:t>
      </w:r>
      <w:r w:rsidRPr="002F3D62">
        <w:rPr>
          <w:color w:val="333333"/>
          <w:sz w:val="20"/>
          <w:szCs w:val="20"/>
          <w:vertAlign w:val="superscript"/>
        </w:rPr>
        <w:t>1</w:t>
      </w:r>
      <w:r w:rsidRPr="002F3D62">
        <w:rPr>
          <w:color w:val="333333"/>
          <w:sz w:val="20"/>
          <w:szCs w:val="20"/>
        </w:rPr>
        <w:t>.2 ст. 42</w:t>
      </w:r>
      <w:r w:rsidRPr="002F3D62">
        <w:rPr>
          <w:color w:val="333333"/>
          <w:sz w:val="20"/>
          <w:szCs w:val="20"/>
          <w:vertAlign w:val="superscript"/>
        </w:rPr>
        <w:t>1</w:t>
      </w:r>
      <w:r w:rsidRPr="002F3D62">
        <w:rPr>
          <w:color w:val="333333"/>
          <w:sz w:val="20"/>
          <w:szCs w:val="20"/>
        </w:rPr>
        <w:t> ПКУ).</w:t>
      </w:r>
    </w:p>
    <w:p w14:paraId="5DBE0E6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Отже, для повернення помилково та/або надміру сплачених сум грошового зобов’язання та пені </w:t>
      </w:r>
      <w:r w:rsidRPr="002F3D62">
        <w:rPr>
          <w:rStyle w:val="a5"/>
          <w:b/>
          <w:bCs/>
          <w:color w:val="333333"/>
          <w:sz w:val="20"/>
          <w:szCs w:val="20"/>
        </w:rPr>
        <w:t>(крім єдиного внеску на загальнообов’язкове державне соціальне страхування)</w:t>
      </w:r>
      <w:r w:rsidRPr="002F3D62">
        <w:rPr>
          <w:color w:val="333333"/>
          <w:sz w:val="20"/>
          <w:szCs w:val="20"/>
        </w:rPr>
        <w:t xml:space="preserve"> платник податків має подати протягом 1095 днів від дня їх виникнення до територіального органу ДПС за місцем адміністрування (обліку) помилково та/або надміру сплаченої суми заяву у довільній формі з зазначенням напряму перерахування коштів: на поточний рахунок платника податків в установі банку; на 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w:t>
      </w:r>
      <w:proofErr w:type="spellStart"/>
      <w:r w:rsidRPr="002F3D62">
        <w:rPr>
          <w:color w:val="333333"/>
          <w:sz w:val="20"/>
          <w:szCs w:val="20"/>
        </w:rPr>
        <w:t>чеком</w:t>
      </w:r>
      <w:proofErr w:type="spellEnd"/>
      <w:r w:rsidRPr="002F3D62">
        <w:rPr>
          <w:color w:val="333333"/>
          <w:sz w:val="20"/>
          <w:szCs w:val="20"/>
        </w:rPr>
        <w:t xml:space="preserve"> у разі відсутності у платника податків рахунка в банку.</w:t>
      </w:r>
    </w:p>
    <w:p w14:paraId="5F3C2B3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При цьому такий платник має можливість подати заяву в електронній формі через приватну частину Електронного кабінету за ідентифікатором форми </w:t>
      </w:r>
      <w:r w:rsidRPr="002F3D62">
        <w:rPr>
          <w:rStyle w:val="a5"/>
          <w:b/>
          <w:bCs/>
          <w:color w:val="333333"/>
          <w:sz w:val="20"/>
          <w:szCs w:val="20"/>
        </w:rPr>
        <w:t>J/F 1302001</w:t>
      </w:r>
      <w:r w:rsidRPr="002F3D62">
        <w:rPr>
          <w:color w:val="333333"/>
          <w:sz w:val="20"/>
          <w:szCs w:val="20"/>
        </w:rPr>
        <w:t> або у довільній формі через меню </w:t>
      </w:r>
      <w:r w:rsidRPr="002F3D62">
        <w:rPr>
          <w:rStyle w:val="a5"/>
          <w:color w:val="333333"/>
          <w:sz w:val="20"/>
          <w:szCs w:val="20"/>
        </w:rPr>
        <w:t>«Листування з ДПС»</w:t>
      </w:r>
      <w:r w:rsidRPr="002F3D62">
        <w:rPr>
          <w:color w:val="333333"/>
          <w:sz w:val="20"/>
          <w:szCs w:val="20"/>
        </w:rPr>
        <w:t> приватної частини Електронного кабінету.</w:t>
      </w:r>
    </w:p>
    <w:p w14:paraId="225298A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w:t>
      </w:r>
    </w:p>
    <w:p w14:paraId="55B5FC1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Вхід до Електронного кабінету здійснюється за </w:t>
      </w:r>
      <w:proofErr w:type="spellStart"/>
      <w:r w:rsidRPr="002F3D62">
        <w:rPr>
          <w:color w:val="333333"/>
          <w:sz w:val="20"/>
          <w:szCs w:val="20"/>
        </w:rPr>
        <w:t>адресою</w:t>
      </w:r>
      <w:proofErr w:type="spellEnd"/>
      <w:r w:rsidRPr="002F3D62">
        <w:rPr>
          <w:color w:val="333333"/>
          <w:sz w:val="20"/>
          <w:szCs w:val="20"/>
        </w:rPr>
        <w:t>: </w:t>
      </w:r>
      <w:hyperlink r:id="rId56" w:history="1">
        <w:r w:rsidRPr="002F3D62">
          <w:rPr>
            <w:rStyle w:val="a4"/>
            <w:color w:val="00518C"/>
            <w:sz w:val="20"/>
            <w:szCs w:val="20"/>
            <w:u w:val="none"/>
          </w:rPr>
          <w:t>http://cabinet.tax.gov.ua</w:t>
        </w:r>
      </w:hyperlink>
      <w:r w:rsidRPr="002F3D62">
        <w:rPr>
          <w:color w:val="333333"/>
          <w:sz w:val="20"/>
          <w:szCs w:val="20"/>
        </w:rPr>
        <w:t xml:space="preserve">, а також через офіційний </w:t>
      </w:r>
      <w:proofErr w:type="spellStart"/>
      <w:r w:rsidRPr="002F3D62">
        <w:rPr>
          <w:color w:val="333333"/>
          <w:sz w:val="20"/>
          <w:szCs w:val="20"/>
        </w:rPr>
        <w:t>вебпортал</w:t>
      </w:r>
      <w:proofErr w:type="spellEnd"/>
      <w:r w:rsidRPr="002F3D62">
        <w:rPr>
          <w:color w:val="333333"/>
          <w:sz w:val="20"/>
          <w:szCs w:val="20"/>
        </w:rPr>
        <w:t xml:space="preserve"> ДПС.</w:t>
      </w:r>
    </w:p>
    <w:p w14:paraId="41946FD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Крім того, заява може бути подана платником податків до територіального органу ДПС засобами програмного забезпечення ІТС </w:t>
      </w:r>
      <w:r w:rsidRPr="002F3D62">
        <w:rPr>
          <w:rStyle w:val="a5"/>
          <w:color w:val="333333"/>
          <w:sz w:val="20"/>
          <w:szCs w:val="20"/>
        </w:rPr>
        <w:t>«Єдине вікно подання електронної звітності»</w:t>
      </w:r>
      <w:r w:rsidRPr="002F3D62">
        <w:rPr>
          <w:color w:val="333333"/>
          <w:sz w:val="20"/>
          <w:szCs w:val="20"/>
        </w:rPr>
        <w:t>.</w:t>
      </w:r>
    </w:p>
    <w:p w14:paraId="452535F9" w14:textId="44928803" w:rsidR="00757B0D" w:rsidRPr="002F3D62" w:rsidRDefault="00757B0D" w:rsidP="00096BDD">
      <w:pPr>
        <w:pStyle w:val="a3"/>
        <w:shd w:val="clear" w:color="auto" w:fill="FFFFFF"/>
        <w:spacing w:before="0" w:beforeAutospacing="0" w:after="0" w:afterAutospacing="0"/>
        <w:rPr>
          <w:color w:val="333333"/>
          <w:kern w:val="36"/>
          <w:sz w:val="20"/>
          <w:szCs w:val="20"/>
        </w:rPr>
      </w:pPr>
      <w:r w:rsidRPr="002F3D62">
        <w:rPr>
          <w:sz w:val="20"/>
          <w:szCs w:val="20"/>
        </w:rPr>
        <w:t>Криворізький північний відділ організації роботи ГУ ДПС у Дніпропетровській області</w:t>
      </w:r>
    </w:p>
    <w:p w14:paraId="6001EE70"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416C50C0"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Сеанс телефонного зв’язку «гаряча лінія» на тему «Декларування громадянами доходів, отриманих у 2020 році»</w:t>
      </w:r>
    </w:p>
    <w:p w14:paraId="29EEBCF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Головному управлінні ДПС у Дніпропетровській області відбувся сеанс телефонного зв’язку «гаряча лінія» заступника начальника управління – начальника відділу адміністрування податків і зборів з фізичних осіб та єдиного внеску управління податкового адміністрування фізичних осіб Головного управління ДПС у Дніпропетровській області Оксани БАБКІНОЇ на тему «Декларування громадянами доходів, отриманих у 2020 році».</w:t>
      </w:r>
    </w:p>
    <w:p w14:paraId="46D3074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Питання:</w:t>
      </w:r>
      <w:r w:rsidRPr="002F3D62">
        <w:rPr>
          <w:color w:val="333333"/>
          <w:sz w:val="20"/>
          <w:szCs w:val="20"/>
        </w:rPr>
        <w:t> Добрий день! Скажіть, будь ласка, </w:t>
      </w:r>
      <w:r w:rsidRPr="002F3D62">
        <w:rPr>
          <w:rStyle w:val="a5"/>
          <w:rFonts w:eastAsiaTheme="majorEastAsia"/>
          <w:b/>
          <w:bCs/>
          <w:color w:val="333333"/>
          <w:sz w:val="20"/>
          <w:szCs w:val="20"/>
        </w:rPr>
        <w:t>чи може чоловік скористатись правом щодо включення до податкової знижки оплати допоміжних репродуктивних технологій, якщо дружина не працює?</w:t>
      </w:r>
    </w:p>
    <w:p w14:paraId="28CBCCB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Відповідь:</w:t>
      </w:r>
      <w:r w:rsidRPr="002F3D62">
        <w:rPr>
          <w:color w:val="333333"/>
          <w:sz w:val="20"/>
          <w:szCs w:val="20"/>
        </w:rPr>
        <w:t> Добрий день! Так, чоловік має право на отримання податкової знижки на суму витрат на оплату допоміжних репродуктивних технологій, наданих дружині, але сплачених чоловіком.</w:t>
      </w:r>
    </w:p>
    <w:p w14:paraId="2D798E1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Питання:</w:t>
      </w:r>
      <w:r w:rsidRPr="002F3D62">
        <w:rPr>
          <w:color w:val="333333"/>
          <w:sz w:val="20"/>
          <w:szCs w:val="20"/>
        </w:rPr>
        <w:t> Добрий день! Підкажіть, будь ласка, </w:t>
      </w:r>
      <w:r w:rsidRPr="002F3D62">
        <w:rPr>
          <w:rStyle w:val="a5"/>
          <w:rFonts w:eastAsiaTheme="majorEastAsia"/>
          <w:b/>
          <w:bCs/>
          <w:color w:val="333333"/>
          <w:sz w:val="20"/>
          <w:szCs w:val="20"/>
        </w:rPr>
        <w:t>які податки необхідно сплатити, якщо протягом 2020 року я продав більше двох автомобілів?</w:t>
      </w:r>
    </w:p>
    <w:p w14:paraId="2B4C69F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Відповідь:</w:t>
      </w:r>
      <w:r w:rsidRPr="002F3D62">
        <w:rPr>
          <w:color w:val="333333"/>
          <w:sz w:val="20"/>
          <w:szCs w:val="20"/>
        </w:rPr>
        <w:t> Добрий день! Дохід, отриманий від продажу протягом звітного року одного з об’єктів рухомого майна у вигляді легкового автомобіля чи мотоцикла, мопеда, не підлягає оподаткуванню податком на доходи з фізичних осіб, другого об’єкта – за ставкою 5 %, а третього і наступних легкових авто – за ставкою 18 %.</w:t>
      </w:r>
    </w:p>
    <w:p w14:paraId="2D88D96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Крім того, з доходу, отриманого від продажу другого та наступних легкового автомобіля чи мотоцикла, мопеда, необхідно сплатити військовий збір за ставкою 1,5 %.  </w:t>
      </w:r>
    </w:p>
    <w:p w14:paraId="76092D9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Питання:</w:t>
      </w:r>
      <w:r w:rsidRPr="002F3D62">
        <w:rPr>
          <w:color w:val="333333"/>
          <w:sz w:val="20"/>
          <w:szCs w:val="20"/>
        </w:rPr>
        <w:t> Вітаю! У мене таке питання. </w:t>
      </w:r>
      <w:r w:rsidRPr="002F3D62">
        <w:rPr>
          <w:rStyle w:val="a5"/>
          <w:rFonts w:eastAsiaTheme="majorEastAsia"/>
          <w:b/>
          <w:bCs/>
          <w:color w:val="333333"/>
          <w:sz w:val="20"/>
          <w:szCs w:val="20"/>
        </w:rPr>
        <w:t>Який документ я повинна надати контролюючому органу, якщо мною отримані іноземні доходи і сплачені податки за межами України?</w:t>
      </w:r>
    </w:p>
    <w:p w14:paraId="5927E12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Відповідь:</w:t>
      </w:r>
      <w:r w:rsidRPr="002F3D62">
        <w:rPr>
          <w:color w:val="333333"/>
          <w:sz w:val="20"/>
          <w:szCs w:val="20"/>
        </w:rPr>
        <w:t> Добрий день! Відповідно до вимог податкового законодавства фізична особа – резидент, яка отримала іноземний дохід та сплатила податки за межами України, для отримання права на зарахування сплачених податків повинна надати довідку від державного органу країни, де отримувався такий дохід (прибуток), уповноваженого справляти такий податок, про суму сплаченого податку та збору, а також про базу та/або об’єкт оподаткування.</w:t>
      </w:r>
    </w:p>
    <w:p w14:paraId="69F4D45A" w14:textId="77777777" w:rsidR="002F3D62" w:rsidRPr="002F3D62" w:rsidRDefault="002F3D62" w:rsidP="002F3D62">
      <w:pPr>
        <w:pStyle w:val="a3"/>
        <w:shd w:val="clear" w:color="auto" w:fill="FFFFFF"/>
        <w:spacing w:before="0" w:beforeAutospacing="0" w:after="0" w:afterAutospacing="0"/>
        <w:rPr>
          <w:color w:val="333333"/>
          <w:sz w:val="20"/>
          <w:szCs w:val="20"/>
        </w:rPr>
      </w:pPr>
      <w:r w:rsidRPr="002F3D62">
        <w:rPr>
          <w:color w:val="333333"/>
          <w:sz w:val="20"/>
          <w:szCs w:val="20"/>
        </w:rPr>
        <w:t>Зазначена довідка підлягає легалізації у відповідній країні або відповідній закордонній дипломатичній установі України.</w:t>
      </w:r>
    </w:p>
    <w:p w14:paraId="56DF811D"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285822C"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1DCE3A4E" w14:textId="77777777" w:rsidR="002F3D62" w:rsidRPr="00096BDD" w:rsidRDefault="002F3D62" w:rsidP="002F3D62">
      <w:pPr>
        <w:pStyle w:val="1"/>
        <w:shd w:val="clear" w:color="auto" w:fill="FFFFFF"/>
        <w:spacing w:before="0" w:beforeAutospacing="0" w:after="0" w:afterAutospacing="0"/>
        <w:rPr>
          <w:color w:val="333333"/>
          <w:sz w:val="20"/>
          <w:szCs w:val="20"/>
        </w:rPr>
      </w:pPr>
      <w:bookmarkStart w:id="3" w:name="_Hlk62130877"/>
      <w:r w:rsidRPr="00096BDD">
        <w:rPr>
          <w:color w:val="333333"/>
          <w:sz w:val="20"/>
          <w:szCs w:val="20"/>
        </w:rPr>
        <w:t>У 2020 році сума задекларованих виторгів зросла на 67 млрд гривень</w:t>
      </w:r>
    </w:p>
    <w:p w14:paraId="035A117E" w14:textId="4478C1AB"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ДПС України на офіційному </w:t>
      </w:r>
      <w:proofErr w:type="spellStart"/>
      <w:r w:rsidRPr="002F3D62">
        <w:rPr>
          <w:color w:val="333333"/>
          <w:sz w:val="20"/>
          <w:szCs w:val="20"/>
        </w:rPr>
        <w:t>вебпорталі</w:t>
      </w:r>
      <w:proofErr w:type="spellEnd"/>
      <w:r w:rsidRPr="002F3D62">
        <w:rPr>
          <w:color w:val="333333"/>
          <w:sz w:val="20"/>
          <w:szCs w:val="20"/>
        </w:rPr>
        <w:t xml:space="preserve"> за посиланням </w:t>
      </w:r>
      <w:hyperlink r:id="rId57" w:history="1">
        <w:r w:rsidRPr="002F3D62">
          <w:rPr>
            <w:rStyle w:val="a4"/>
            <w:color w:val="00518C"/>
            <w:sz w:val="20"/>
            <w:szCs w:val="20"/>
            <w:u w:val="none"/>
          </w:rPr>
          <w:t>https://tax.gov.ua/media-tsentr/novini/449913.html</w:t>
        </w:r>
      </w:hyperlink>
      <w:r w:rsidRPr="002F3D62">
        <w:rPr>
          <w:color w:val="333333"/>
          <w:sz w:val="20"/>
          <w:szCs w:val="20"/>
        </w:rPr>
        <w:t> повідомила наступне.</w:t>
      </w:r>
    </w:p>
    <w:p w14:paraId="315DBB5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2020 році загальна сума задекларованих виторгів зросла на 67 млрд грн, або на 5,6 % порівняно з 2019 роком. Таких результатів, незважаючи на несприятливі умови соціально-економічного розвитку 2020 року, вдалося досягти внаслідок сумлінного обліку розрахункових операцій суб’єктами господарювання та забезпечення дієвого контролю за повнотою здійснення розрахунків з боку ДПС.</w:t>
      </w:r>
    </w:p>
    <w:p w14:paraId="73E96ED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Збільшенню виторгів, проведених через РРО, також сприяла широка роз’яснювальна робота, організована та проведена органами ДПС у 2020 році.</w:t>
      </w:r>
    </w:p>
    <w:p w14:paraId="5D4D432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Так, у 2020 році організовано більше 100 тис. роз’яснювальних заходів щодо впровадження, необхідності та простоти використання реєстраторів розрахункових операцій, зокрема, більше 70 тис. осіб (з них близько 63 тисяч ФОП) безпосередньо взяли участь у спільних 4 475 онлайн та </w:t>
      </w:r>
      <w:proofErr w:type="spellStart"/>
      <w:r w:rsidRPr="002F3D62">
        <w:rPr>
          <w:color w:val="333333"/>
          <w:sz w:val="20"/>
          <w:szCs w:val="20"/>
        </w:rPr>
        <w:t>офлайн</w:t>
      </w:r>
      <w:proofErr w:type="spellEnd"/>
      <w:r w:rsidRPr="002F3D62">
        <w:rPr>
          <w:color w:val="333333"/>
          <w:sz w:val="20"/>
          <w:szCs w:val="20"/>
        </w:rPr>
        <w:t xml:space="preserve"> заходах.</w:t>
      </w:r>
    </w:p>
    <w:p w14:paraId="7817344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58" w:tgtFrame="_blank" w:history="1">
        <w:r w:rsidRPr="002F3D62">
          <w:rPr>
            <w:rStyle w:val="a4"/>
            <w:color w:val="00518C"/>
            <w:sz w:val="20"/>
            <w:szCs w:val="20"/>
            <w:u w:val="none"/>
          </w:rPr>
          <w:t>https://t.me/tax_gov_ua</w:t>
        </w:r>
      </w:hyperlink>
    </w:p>
    <w:p w14:paraId="2D3D1ED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7802CA59"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6771F8D9"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Деклараційна кампанія 2021: за якою формою подається податкова декларація про майновий стан і доходи</w:t>
      </w:r>
    </w:p>
    <w:p w14:paraId="1D5CDCD0" w14:textId="135BB5C0"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П</w:t>
      </w:r>
      <w:r w:rsidR="002F3D62" w:rsidRPr="002F3D62">
        <w:rPr>
          <w:color w:val="333333"/>
          <w:sz w:val="20"/>
          <w:szCs w:val="20"/>
        </w:rPr>
        <w:t>овідомляє</w:t>
      </w:r>
      <w:r>
        <w:rPr>
          <w:color w:val="333333"/>
          <w:sz w:val="20"/>
          <w:szCs w:val="20"/>
        </w:rPr>
        <w:t>мо</w:t>
      </w:r>
      <w:r w:rsidR="002F3D62" w:rsidRPr="002F3D62">
        <w:rPr>
          <w:color w:val="333333"/>
          <w:sz w:val="20"/>
          <w:szCs w:val="20"/>
        </w:rPr>
        <w:t>, що податкова декларація про майновий стан і доходи (Декларація) подається за базовий звітний (податковий) період, що дорівнює календарному року для платників податку на доходи фізичних осіб – до 01 травня року, що настає за звітним, </w:t>
      </w:r>
      <w:r w:rsidR="002F3D62" w:rsidRPr="002F3D62">
        <w:rPr>
          <w:rStyle w:val="a5"/>
          <w:color w:val="333333"/>
          <w:sz w:val="20"/>
          <w:szCs w:val="20"/>
        </w:rPr>
        <w:t>крім випадків, передбачених розділом IV ПКУ</w:t>
      </w:r>
      <w:r w:rsidR="002F3D62" w:rsidRPr="002F3D62">
        <w:rPr>
          <w:color w:val="333333"/>
          <w:sz w:val="20"/>
          <w:szCs w:val="20"/>
        </w:rPr>
        <w:t>.</w:t>
      </w:r>
    </w:p>
    <w:p w14:paraId="0E8FC87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Норми встановлені </w:t>
      </w:r>
      <w:proofErr w:type="spellStart"/>
      <w:r w:rsidRPr="002F3D62">
        <w:rPr>
          <w:color w:val="333333"/>
          <w:sz w:val="20"/>
          <w:szCs w:val="20"/>
        </w:rPr>
        <w:t>п.п</w:t>
      </w:r>
      <w:proofErr w:type="spellEnd"/>
      <w:r w:rsidRPr="002F3D62">
        <w:rPr>
          <w:color w:val="333333"/>
          <w:sz w:val="20"/>
          <w:szCs w:val="20"/>
        </w:rPr>
        <w:t>. 49.18.4 п. 49.18 ст. 49 Податкового кодексу України (далі – ПКУ).</w:t>
      </w:r>
    </w:p>
    <w:p w14:paraId="3D0B54B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Згідно з п. 46.6 ст. 46 ПКУ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w:t>
      </w:r>
    </w:p>
    <w:p w14:paraId="76BD497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w:t>
      </w:r>
    </w:p>
    <w:p w14:paraId="56B75BE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Після внесення змін до нормативно-правових актів з питань оподаткування центральний орган виконавчої влади, що забезпечує формування та реалізує державну фінансову політику, повинен здійснити заходи, пов’язані з оприлюдненням та застосуванням таких змін.</w:t>
      </w:r>
    </w:p>
    <w:p w14:paraId="534D7D7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Відповідно до п. 14, </w:t>
      </w:r>
      <w:proofErr w:type="spellStart"/>
      <w:r w:rsidRPr="002F3D62">
        <w:rPr>
          <w:color w:val="333333"/>
          <w:sz w:val="20"/>
          <w:szCs w:val="20"/>
        </w:rPr>
        <w:t>п.п</w:t>
      </w:r>
      <w:proofErr w:type="spellEnd"/>
      <w:r w:rsidRPr="002F3D62">
        <w:rPr>
          <w:color w:val="333333"/>
          <w:sz w:val="20"/>
          <w:szCs w:val="20"/>
        </w:rPr>
        <w:t xml:space="preserve">. 5 п. 98 розділу I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F3D62">
        <w:rPr>
          <w:color w:val="333333"/>
          <w:sz w:val="20"/>
          <w:szCs w:val="20"/>
        </w:rPr>
        <w:t>неузгодженостей</w:t>
      </w:r>
      <w:proofErr w:type="spellEnd"/>
      <w:r w:rsidRPr="002F3D62">
        <w:rPr>
          <w:color w:val="333333"/>
          <w:sz w:val="20"/>
          <w:szCs w:val="20"/>
        </w:rPr>
        <w:t xml:space="preserve"> у податковому законодавств», абзацу четвертого п. 2 розділу I Закону України від 19 вересня 2019 року № 115-IX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загальнообов’язкове державне соціальне страхування і податку на доходи фізичних осіб», підпунктів 5, 6 розділу I Закону України від 19 вересня 2019 року № 116-IX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наказом Міністерства фінансів України від 17.12.2020 № 783 «Про внесення змін до наказу Міністерства фінансів України від 02 жовтня 2015 року № 859» (далі – наказ № 783), який набрав чинності з 01 січня 2021 року, внесені зміни до наказу Міністерства фінансів України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а саме викладено у новій редакції:</w:t>
      </w:r>
    </w:p>
    <w:p w14:paraId="5ED3222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форму податкової декларації про майновий стан і доходи;</w:t>
      </w:r>
    </w:p>
    <w:p w14:paraId="64D34AC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Інструкцію щодо заповнення податкової декларації про майновий стан і доходи.</w:t>
      </w:r>
    </w:p>
    <w:p w14:paraId="18E7944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Пунктом 4 Наказу № 783 встановлено, що податкова Декларація у редакції Наказу № 783 подається </w:t>
      </w:r>
      <w:r w:rsidRPr="002F3D62">
        <w:rPr>
          <w:rStyle w:val="a6"/>
          <w:rFonts w:eastAsiaTheme="majorEastAsia"/>
          <w:color w:val="333333"/>
          <w:sz w:val="20"/>
          <w:szCs w:val="20"/>
        </w:rPr>
        <w:t>з 01 січня 2022 року</w:t>
      </w:r>
      <w:r w:rsidRPr="002F3D62">
        <w:rPr>
          <w:color w:val="333333"/>
          <w:sz w:val="20"/>
          <w:szCs w:val="20"/>
        </w:rPr>
        <w:t>.</w:t>
      </w:r>
    </w:p>
    <w:p w14:paraId="072F0F5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Отже, фізичні особи подають Декларацію за 2020 рік за формою, встановленою наказом Міністерства фінансів України від 02.10.2015 № 859 в редакції наказу Міністерства фінансів України від 25.04.2019 № 177.</w:t>
      </w:r>
    </w:p>
    <w:p w14:paraId="336BC63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59" w:tgtFrame="_blank" w:history="1">
        <w:r w:rsidRPr="002F3D62">
          <w:rPr>
            <w:rStyle w:val="a4"/>
            <w:color w:val="00518C"/>
            <w:sz w:val="20"/>
            <w:szCs w:val="20"/>
            <w:u w:val="none"/>
          </w:rPr>
          <w:t>https://t.me/tax_gov_ua</w:t>
        </w:r>
      </w:hyperlink>
    </w:p>
    <w:p w14:paraId="489FBE0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38F015E7" w14:textId="77777777" w:rsidR="00757B0D" w:rsidRPr="002F3D62" w:rsidRDefault="00757B0D"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2F3D62" w:rsidRDefault="00757B0D" w:rsidP="002F3D62">
      <w:pPr>
        <w:pStyle w:val="a3"/>
        <w:shd w:val="clear" w:color="auto" w:fill="FFFFFF"/>
        <w:spacing w:before="0" w:beforeAutospacing="0" w:after="0" w:afterAutospacing="0"/>
        <w:jc w:val="both"/>
        <w:rPr>
          <w:color w:val="333333"/>
          <w:sz w:val="20"/>
          <w:szCs w:val="20"/>
        </w:rPr>
      </w:pPr>
    </w:p>
    <w:p w14:paraId="0752CCDF"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Закон України №1072: відстрочення сплати податкового боргу для фізичних осіб в сумі, що не перевищує 6800 грн, діє до 29.12.2021</w:t>
      </w:r>
    </w:p>
    <w:p w14:paraId="656EBC0D" w14:textId="405847F0"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2F3D62">
        <w:rPr>
          <w:color w:val="333333"/>
          <w:sz w:val="20"/>
          <w:szCs w:val="20"/>
        </w:rPr>
        <w:t>коронавірусом</w:t>
      </w:r>
      <w:proofErr w:type="spellEnd"/>
      <w:r w:rsidRPr="002F3D62">
        <w:rPr>
          <w:color w:val="333333"/>
          <w:sz w:val="20"/>
          <w:szCs w:val="20"/>
        </w:rPr>
        <w:t xml:space="preserve"> SARS-CoV-2», (далі – Закон № 1072) підрозділ 10 розділу ХХ «Перехідні положення» Податкового кодексу України (далі – ПКУ) доповнено, зокрема новим пунктом 1</w:t>
      </w:r>
      <w:r w:rsidRPr="002F3D62">
        <w:rPr>
          <w:color w:val="333333"/>
          <w:sz w:val="20"/>
          <w:szCs w:val="20"/>
          <w:vertAlign w:val="superscript"/>
        </w:rPr>
        <w:t>2</w:t>
      </w:r>
      <w:r w:rsidRPr="002F3D62">
        <w:rPr>
          <w:color w:val="333333"/>
          <w:sz w:val="20"/>
          <w:szCs w:val="20"/>
        </w:rPr>
        <w:t xml:space="preserve">, який передбачає відстрочення сплати податкового боргу, який у загальній сумі не перевищує 6 800 грн, для платників податків – фізичних осіб. у тому числі </w:t>
      </w:r>
      <w:proofErr w:type="spellStart"/>
      <w:r w:rsidRPr="002F3D62">
        <w:rPr>
          <w:color w:val="333333"/>
          <w:sz w:val="20"/>
          <w:szCs w:val="20"/>
        </w:rPr>
        <w:t>самозайнятих</w:t>
      </w:r>
      <w:proofErr w:type="spellEnd"/>
      <w:r w:rsidRPr="002F3D62">
        <w:rPr>
          <w:color w:val="333333"/>
          <w:sz w:val="20"/>
          <w:szCs w:val="20"/>
        </w:rPr>
        <w:t xml:space="preserve"> осіб.</w:t>
      </w:r>
    </w:p>
    <w:p w14:paraId="64311A8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Так, податковий борг платників податків – фізичних осіб, у тому числі </w:t>
      </w:r>
      <w:proofErr w:type="spellStart"/>
      <w:r w:rsidRPr="002F3D62">
        <w:rPr>
          <w:color w:val="333333"/>
          <w:sz w:val="20"/>
          <w:szCs w:val="20"/>
        </w:rPr>
        <w:t>самозайнятих</w:t>
      </w:r>
      <w:proofErr w:type="spellEnd"/>
      <w:r w:rsidRPr="002F3D62">
        <w:rPr>
          <w:color w:val="333333"/>
          <w:sz w:val="20"/>
          <w:szCs w:val="20"/>
        </w:rPr>
        <w:t xml:space="preserve"> осіб, може бути відстрочений </w:t>
      </w:r>
      <w:r w:rsidRPr="002F3D62">
        <w:rPr>
          <w:rStyle w:val="a6"/>
          <w:color w:val="333333"/>
          <w:sz w:val="20"/>
          <w:szCs w:val="20"/>
        </w:rPr>
        <w:t>до 29 грудня 2021 року</w:t>
      </w:r>
      <w:r w:rsidRPr="002F3D62">
        <w:rPr>
          <w:color w:val="333333"/>
          <w:sz w:val="20"/>
          <w:szCs w:val="20"/>
        </w:rPr>
        <w:t>.</w:t>
      </w:r>
    </w:p>
    <w:p w14:paraId="4AD2DA9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Відстрочення здійснюється контролюючим органом за місцем обліку платника податків – фізичної особи за його заявою. Відстрочення надається без нарахування процентів за користування таким відстроченням.</w:t>
      </w:r>
    </w:p>
    <w:p w14:paraId="1619E71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погашення повної суми відстроченого податкового боргу не пізніше 29.12.2021, штрафні санкції і пеня на такі сплачені відстрочені суми не застосовуються та не нараховуються, а застосовані (нараховані) – коригуються до нульових показників.</w:t>
      </w:r>
    </w:p>
    <w:p w14:paraId="7AC35BA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непогашення повної суми відстроченого податкового боргу до 29.12.2021 р., а також у разі її погашення після 29.12.2021, штрафні санкції і пеня на відстрочені суми, що залишаться непогашеними, нараховуються у загальному порядку згідно з вимогами ПКУ.</w:t>
      </w:r>
    </w:p>
    <w:p w14:paraId="33A12BD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60" w:tgtFrame="_blank" w:history="1">
        <w:r w:rsidRPr="002F3D62">
          <w:rPr>
            <w:rStyle w:val="a4"/>
            <w:color w:val="00518C"/>
            <w:sz w:val="20"/>
            <w:szCs w:val="20"/>
            <w:u w:val="none"/>
          </w:rPr>
          <w:t>https://t.me/tax_gov_ua</w:t>
        </w:r>
      </w:hyperlink>
    </w:p>
    <w:p w14:paraId="491C3DF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rFonts w:eastAsiaTheme="majorEastAsia"/>
          <w:color w:val="333333"/>
          <w:sz w:val="20"/>
          <w:szCs w:val="20"/>
        </w:rPr>
        <w:t>»</w:t>
      </w:r>
    </w:p>
    <w:p w14:paraId="1BFDA413" w14:textId="77777777" w:rsidR="00A72476" w:rsidRPr="002F3D62" w:rsidRDefault="00A72476"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2F3D62" w:rsidRDefault="00A72476" w:rsidP="002F3D62">
      <w:pPr>
        <w:pStyle w:val="a3"/>
        <w:shd w:val="clear" w:color="auto" w:fill="FFFFFF"/>
        <w:spacing w:before="0" w:beforeAutospacing="0" w:after="0" w:afterAutospacing="0"/>
        <w:jc w:val="both"/>
        <w:rPr>
          <w:color w:val="333333"/>
          <w:sz w:val="20"/>
          <w:szCs w:val="20"/>
        </w:rPr>
      </w:pPr>
    </w:p>
    <w:p w14:paraId="54CCB073"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Закон України № 592: з 01.01.2021 розширено перелік платників, які звільняються від сплати єдиного внеску за себе</w:t>
      </w:r>
    </w:p>
    <w:p w14:paraId="711AF5F2" w14:textId="15CC9D14"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01.01.2021 набрали чинності норми Закону України від 13 травня 2020 року № 592-ІХ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якими </w:t>
      </w:r>
      <w:proofErr w:type="spellStart"/>
      <w:r w:rsidRPr="002F3D62">
        <w:rPr>
          <w:color w:val="333333"/>
          <w:sz w:val="20"/>
          <w:szCs w:val="20"/>
        </w:rPr>
        <w:t>внесено</w:t>
      </w:r>
      <w:proofErr w:type="spellEnd"/>
      <w:r w:rsidRPr="002F3D62">
        <w:rPr>
          <w:color w:val="333333"/>
          <w:sz w:val="20"/>
          <w:szCs w:val="20"/>
        </w:rPr>
        <w:t xml:space="preserve"> зміни до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14:paraId="325A29D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 xml:space="preserve">Так, Законом № 592 з 01.01.2021 розширено перелік платників єдиного внеску на загальнообов'язкове державне соціальне страхування (далі – єдиний внесок), які звільняються від сплати за себе єдиного внеску та види пенсійного забезпечення, які надають право не сплачувати такий внесок. Відповідні зміни </w:t>
      </w:r>
      <w:proofErr w:type="spellStart"/>
      <w:r w:rsidRPr="002F3D62">
        <w:rPr>
          <w:color w:val="333333"/>
          <w:sz w:val="20"/>
          <w:szCs w:val="20"/>
        </w:rPr>
        <w:t>внесено</w:t>
      </w:r>
      <w:proofErr w:type="spellEnd"/>
      <w:r w:rsidRPr="002F3D62">
        <w:rPr>
          <w:color w:val="333333"/>
          <w:sz w:val="20"/>
          <w:szCs w:val="20"/>
        </w:rPr>
        <w:t xml:space="preserve"> до частини 4 ст. 4 Закону № 2464.</w:t>
      </w:r>
    </w:p>
    <w:p w14:paraId="480410B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proofErr w:type="spellStart"/>
      <w:r w:rsidRPr="002F3D62">
        <w:rPr>
          <w:color w:val="333333"/>
          <w:sz w:val="20"/>
          <w:szCs w:val="20"/>
        </w:rPr>
        <w:t>Зокрема,звільняються</w:t>
      </w:r>
      <w:proofErr w:type="spellEnd"/>
      <w:r w:rsidRPr="002F3D62">
        <w:rPr>
          <w:color w:val="333333"/>
          <w:sz w:val="20"/>
          <w:szCs w:val="20"/>
        </w:rPr>
        <w:t xml:space="preserve"> від сплати за себе єдиного внеску фізичні особи – підприємці (ФОП) та особи, які провадять незалежну професійну діяльність, якщо вони отримують пенсію за віком, або за вислугу років, або є особами з інвалідністю, або досягли віку, встановленого ст. 26 Закону України «Про загальнообов'язкове державне пенсійне страхування»,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w:t>
      </w:r>
    </w:p>
    <w:p w14:paraId="5F02471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Крім цього, ст. 4 Закону № 2464 доповнено частинами 5 та 6, згідно з якими звільняються від сплати за себе єдиного внеску:</w:t>
      </w:r>
    </w:p>
    <w:p w14:paraId="756E654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особи, які провадять незалежну професійну діяльність, за умови взяття їх на облік як ФОП та провадження ними одного виду діяльності одночасно як ФОП так і особою, яка провадить незалежну професійну діяльність;</w:t>
      </w:r>
    </w:p>
    <w:p w14:paraId="272FE41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особи, які провадять незалежну професійну діяльність та ФОП, які мають основне місце роботи, за місяці звітного періоду, за які роботодавцем було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734DAF3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Також, для ФОП </w:t>
      </w:r>
      <w:r w:rsidRPr="002F3D62">
        <w:rPr>
          <w:rStyle w:val="a5"/>
          <w:color w:val="333333"/>
          <w:sz w:val="20"/>
          <w:szCs w:val="20"/>
        </w:rPr>
        <w:t>(крім тих, які обрали спрощену систему оподаткування)</w:t>
      </w:r>
      <w:r w:rsidRPr="002F3D62">
        <w:rPr>
          <w:color w:val="333333"/>
          <w:sz w:val="20"/>
          <w:szCs w:val="20"/>
        </w:rPr>
        <w:t xml:space="preserve">, осіб, які провадять незалежну професійну діяльність та членів фермерського господарства скасовується обов'язок сплачувати мінімальний розмір єдиного соціального внеску за місяці, у яких не було отримано доходу (прибутку), відповідні зміни </w:t>
      </w:r>
      <w:proofErr w:type="spellStart"/>
      <w:r w:rsidRPr="002F3D62">
        <w:rPr>
          <w:color w:val="333333"/>
          <w:sz w:val="20"/>
          <w:szCs w:val="20"/>
        </w:rPr>
        <w:t>внесено</w:t>
      </w:r>
      <w:proofErr w:type="spellEnd"/>
      <w:r w:rsidRPr="002F3D62">
        <w:rPr>
          <w:color w:val="333333"/>
          <w:sz w:val="20"/>
          <w:szCs w:val="20"/>
        </w:rPr>
        <w:t xml:space="preserve"> до п. 2 частини 1 ст. 7 Закону № 2464.</w:t>
      </w:r>
    </w:p>
    <w:p w14:paraId="064732D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Тобто, згідно з внесеними змінами, для ФОП, які застосовують загальну систему оподаткування, осіб, які провадять незалежну професійну діяльність та членів фермерського господарства єдиний внесок нараховуватиметься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w:t>
      </w:r>
    </w:p>
    <w:p w14:paraId="7476FB2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138E3A8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Таким чином з 01.01.2021 самостійне визначення бази нарахування єдиного внеску є виключно правом, а не обов’язком для зазначених платників.</w:t>
      </w:r>
    </w:p>
    <w:p w14:paraId="5268E10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61" w:tgtFrame="_blank" w:history="1">
        <w:r w:rsidRPr="002F3D62">
          <w:rPr>
            <w:rStyle w:val="a4"/>
            <w:color w:val="00518C"/>
            <w:sz w:val="20"/>
            <w:szCs w:val="20"/>
            <w:u w:val="none"/>
          </w:rPr>
          <w:t>https://t.me/tax_gov_ua</w:t>
        </w:r>
      </w:hyperlink>
    </w:p>
    <w:p w14:paraId="1C8CBC88"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3581E6B9" w14:textId="77777777" w:rsidR="00A72476" w:rsidRPr="002F3D62" w:rsidRDefault="00A72476" w:rsidP="002F3D62">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2F3D62" w:rsidRDefault="00A72476" w:rsidP="002F3D62">
      <w:pPr>
        <w:pStyle w:val="a3"/>
        <w:shd w:val="clear" w:color="auto" w:fill="FFFFFF"/>
        <w:spacing w:before="0" w:beforeAutospacing="0" w:after="0" w:afterAutospacing="0"/>
        <w:jc w:val="both"/>
        <w:rPr>
          <w:color w:val="333333"/>
          <w:sz w:val="20"/>
          <w:szCs w:val="20"/>
        </w:rPr>
      </w:pPr>
    </w:p>
    <w:p w14:paraId="59EDDBEC"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Платники податку на прибуток уточнюючу декларацію за новою формою подають з 01.04.2021</w:t>
      </w:r>
    </w:p>
    <w:p w14:paraId="3FF2FF0E" w14:textId="65B2C86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01.12.2020 набув чинності наказ Міністерства фінансів України від 29.10.2020 № 649 «Про затвердження Змін до форми Податкової декларації з податку на прибуток підприємств та визнання таким, що втратив чинність, наказу Міністерства фінансів України від 13 червня 2016 року № 544» (далі – Наказ № 649), яким, зокрема, затверджено, зміни до форми Податкової декларації з податку на прибуток підприємств, затвердженої наказом Міністерства фінансів України від 20.10.2015 № 897 (далі – Декларація).</w:t>
      </w:r>
    </w:p>
    <w:p w14:paraId="682FA28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Нормами абзацу другого п. 46.6 ст. 46 Податкового кодексу України (далі –ПКУ) встановлено,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w:t>
      </w:r>
    </w:p>
    <w:p w14:paraId="067A610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Згідно з п. 50.1 ст. 50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ст. 50 ПКУ), він зобов’язаний надіслати уточнюючий розрахунок до такої податкової декларації за формою чинного на час подання уточнюючого розрахунку.</w:t>
      </w:r>
    </w:p>
    <w:p w14:paraId="1FE9BA9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Платник податків має право не подавати такий розрахунок, якщо відповідні уточнені показники зазначаються ним у складі податкової декларації за будь-який наступний податковий період, протягом якого такі помилки були самостійно (у тому числі за результатами електронної перевірки) виявлені.</w:t>
      </w:r>
    </w:p>
    <w:p w14:paraId="64A7F34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Отже, уточнююча Декларація за формою зі змінами, внесеними Наказом № 649, подається починаючи з 01 квітня 2021 року.</w:t>
      </w:r>
    </w:p>
    <w:p w14:paraId="1A2D662E"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62" w:tgtFrame="_blank" w:history="1">
        <w:r w:rsidRPr="002F3D62">
          <w:rPr>
            <w:rStyle w:val="a4"/>
            <w:color w:val="00518C"/>
            <w:sz w:val="20"/>
            <w:szCs w:val="20"/>
            <w:u w:val="none"/>
          </w:rPr>
          <w:t>https://t.me/tax_gov_ua</w:t>
        </w:r>
      </w:hyperlink>
    </w:p>
    <w:p w14:paraId="5AB5B5B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245587F1" w14:textId="5347ED50" w:rsidR="008F710D" w:rsidRPr="002F3D62" w:rsidRDefault="008F710D" w:rsidP="002F3D62">
      <w:pPr>
        <w:shd w:val="clear" w:color="auto" w:fill="FFFFFF"/>
        <w:spacing w:after="0" w:line="240" w:lineRule="auto"/>
        <w:outlineLvl w:val="0"/>
        <w:rPr>
          <w:rFonts w:ascii="Times New Roman" w:eastAsia="Times New Roman" w:hAnsi="Times New Roman" w:cs="Times New Roman"/>
          <w:sz w:val="20"/>
          <w:szCs w:val="20"/>
          <w:lang w:eastAsia="uk-UA"/>
        </w:rPr>
      </w:pPr>
      <w:bookmarkStart w:id="4" w:name="_Hlk62131347"/>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2F3D62" w:rsidRDefault="00247727" w:rsidP="002F3D62">
      <w:pPr>
        <w:shd w:val="clear" w:color="auto" w:fill="FFFFFF"/>
        <w:spacing w:after="0" w:line="240" w:lineRule="auto"/>
        <w:outlineLvl w:val="0"/>
        <w:rPr>
          <w:rFonts w:ascii="Times New Roman" w:eastAsia="Times New Roman" w:hAnsi="Times New Roman" w:cs="Times New Roman"/>
          <w:sz w:val="20"/>
          <w:szCs w:val="20"/>
          <w:lang w:eastAsia="uk-UA"/>
        </w:rPr>
      </w:pPr>
    </w:p>
    <w:p w14:paraId="270181AA"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Особливості формування податкових зобов’язань та податкового кредиту з урахуванням норм Закону України № 962</w:t>
      </w:r>
    </w:p>
    <w:p w14:paraId="21DBE5A1" w14:textId="4FA0CCCB"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З</w:t>
      </w:r>
      <w:r w:rsidR="002F3D62" w:rsidRPr="002F3D62">
        <w:rPr>
          <w:color w:val="333333"/>
          <w:sz w:val="20"/>
          <w:szCs w:val="20"/>
        </w:rPr>
        <w:t>вертає</w:t>
      </w:r>
      <w:r>
        <w:rPr>
          <w:color w:val="333333"/>
          <w:sz w:val="20"/>
          <w:szCs w:val="20"/>
        </w:rPr>
        <w:t>мо</w:t>
      </w:r>
      <w:r w:rsidR="002F3D62" w:rsidRPr="002F3D62">
        <w:rPr>
          <w:color w:val="333333"/>
          <w:sz w:val="20"/>
          <w:szCs w:val="20"/>
        </w:rPr>
        <w:t xml:space="preserve"> увагу, що 01.01.2021 набрали чинності норми України від 04 листопада 2020 року № 962-IX «Про внесення змін до Податкового кодексу України щодо державної підтримки культури, туризму та креативних індустрій» у частині справляння ПДВ.</w:t>
      </w:r>
    </w:p>
    <w:p w14:paraId="0C051AF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правила формування податкових зобов’язань та податкового кредиту з ПДВ платниками, які здійснюють операції, що оподатковуються за заниженою ставкою ПДВ у розмірі 7 % встановлені Податковим кодексом України (далі – ПКУ), а саме:</w:t>
      </w:r>
    </w:p>
    <w:p w14:paraId="3AE96362"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 правила формування податкових зобов’язань з ПДВ визначені розділом V та підрозділом 2 розділу XX ПКУ. Знижена ставка ПДВ у розмірі 7 відсотків застосовується до операцій, дата виникнення податкових зобов’язань за якими припадає на період з 01 січня 2021 року. Правила визначення дати виникнення податкових зобов’язань встановлені ст. 187 розділу V ПКУ;</w:t>
      </w:r>
    </w:p>
    <w:p w14:paraId="269669A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правила формування податкового кредиту також визначені розділом V та підрозділом 2 розділу ПКУ.</w:t>
      </w:r>
    </w:p>
    <w:p w14:paraId="7360680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У зв’язку із запровадженням з 01 січня 2021 року зниженої ставки ПДВ у розмірі 7 % до операцій з надання послуг, перерахованих у абзацах четвертому – сьомому </w:t>
      </w:r>
      <w:proofErr w:type="spellStart"/>
      <w:r w:rsidRPr="002F3D62">
        <w:rPr>
          <w:color w:val="333333"/>
          <w:sz w:val="20"/>
          <w:szCs w:val="20"/>
        </w:rPr>
        <w:t>п.п</w:t>
      </w:r>
      <w:proofErr w:type="spellEnd"/>
      <w:r w:rsidRPr="002F3D62">
        <w:rPr>
          <w:color w:val="333333"/>
          <w:sz w:val="20"/>
          <w:szCs w:val="20"/>
        </w:rPr>
        <w:t>. «в» п. 193.1 ст. 193 розділу V ПКУ, не встановлюється будь-яких обмежень чи обов’язку здійснення коригувань чи перерахунків сум ПДВ, віднесених до податкового кредиту, незалежно від дати здійснення операцій з придбання товарів/послуг та дати їх використання в операціях з надання послуг, що підлягають оподаткуванню за зниженою ставкою ПДВ у розмірі 7 %.</w:t>
      </w:r>
    </w:p>
    <w:p w14:paraId="548413D5"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Таким чином, у разі придбання із сплатою ПДВ за ставкою 20 % товарів/послуг, що використовуються для надання послуг, перерахованих у абзацах четвертому – сьомому </w:t>
      </w:r>
      <w:proofErr w:type="spellStart"/>
      <w:r w:rsidRPr="002F3D62">
        <w:rPr>
          <w:color w:val="333333"/>
          <w:sz w:val="20"/>
          <w:szCs w:val="20"/>
        </w:rPr>
        <w:t>п.п</w:t>
      </w:r>
      <w:proofErr w:type="spellEnd"/>
      <w:r w:rsidRPr="002F3D62">
        <w:rPr>
          <w:color w:val="333333"/>
          <w:sz w:val="20"/>
          <w:szCs w:val="20"/>
        </w:rPr>
        <w:t>. «в» п. 193.1 ст. 193 розділу V ПКУ, суми податкового кредиту формуються за загальновстановленими правилами, виходячи з сум ПДВ, вказаних в податкових накладних, зареєстрованих в Єдиному реєстрі податкових накладних, та/або митних деклараціях, в терміни, визначені ПКУ.</w:t>
      </w:r>
    </w:p>
    <w:p w14:paraId="69F9C83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Платникам податків, які здійснюють одночасне постачання товарів/послуг, які підлягають оподаткуванню ПДВ за ставками 20 %, 7 % та/або 0 %, та які звільняються від оподаткування, слід враховувати, що нарахування сум податкових зобов’язань з ПДВ відповідно до п. 198.5 ст. 198 або п. 199.1 ст. 199 розділу V ПКУ має здійснюватися виходячи із ставки ПДВ, яка застосовувалася при придбанні таких товарів/послуг.</w:t>
      </w:r>
    </w:p>
    <w:p w14:paraId="2E83C1A6"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Так, наприклад, якщо товари/послуги, необоротні активи, придбані з ПДВ за ставкою у розмірі 20 %, призначені або починають використовуватися частково у звільнених від оподаткування ПДВ операціях, а частково в операціях, що підлягають оподаткуванню за зниженою ставкою ПДВ у розмірі 7 %, то у платника ПДВ виникає обов’язок щодо нарахування сум податкових зобов’язань з ПДВ відповідно до п. 199.1 ст. 199 розділу V ПКУ виходячи із ставки ПДВ у розмірі 20 %, оскільки саме за такою ставкою ПДВ постачальник таких товарів/послуг визначав податкові зобов’язання з ПДВ, а покупець здійснював формування податкового кредиту.</w:t>
      </w:r>
    </w:p>
    <w:p w14:paraId="0FA8CFF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Відповідно, якщо товари/послуги, необоротні активи, придбані з ПДВ за зниженою ставкою ПДВ у розмірі 7 %, призначені або починають використовуватися частково у звільнених від оподаткування ПДВ операціях, а частково в операціях, що підлягають оподаткуванню за ставкою у розмірі    20 %, то у платника ПДВ виникає обов’язок щодо нарахування сум податкових зобов’язань з ПДВ відповідно до п. 199.1 ст. 199 розділу V ПКУ виходячи із ставки ПДВ у розмірі 7 %, оскільки саме за такою ставкою ПДВ постачальник таких товарів/послуг визначав податкові зобов’язання з ПДВ, а покупець здійснював формування податкового кредиту.</w:t>
      </w:r>
    </w:p>
    <w:p w14:paraId="5A3E848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Якщо товари/послуги, необоротні активи, придбані з ПДВ за ставкою у розмірі 20 %, призначені або починають використовуватися в операціях, що підлягають оподаткуванню за зниженою ставкою ПДВ у розмірі 7 %, то обов'язку щодо нарахування сум податкових зобов’язань з ПДВ відповідно до п. 198.5 ст. 198 або п. 199.1 ст. 199 розділу V ПКУ у платника ПДВ не виникає.</w:t>
      </w:r>
    </w:p>
    <w:p w14:paraId="2B6F146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63" w:tgtFrame="_blank" w:history="1">
        <w:r w:rsidRPr="002F3D62">
          <w:rPr>
            <w:rStyle w:val="a4"/>
            <w:color w:val="00518C"/>
            <w:sz w:val="20"/>
            <w:szCs w:val="20"/>
            <w:u w:val="none"/>
          </w:rPr>
          <w:t>https://t.me/tax_gov_ua</w:t>
        </w:r>
      </w:hyperlink>
    </w:p>
    <w:p w14:paraId="5F6F43D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54ADE0E7"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2F3D62" w:rsidRDefault="00247727" w:rsidP="002F3D62">
      <w:pPr>
        <w:shd w:val="clear" w:color="auto" w:fill="FFFFFF"/>
        <w:spacing w:after="0" w:line="240" w:lineRule="auto"/>
        <w:outlineLvl w:val="0"/>
        <w:rPr>
          <w:rFonts w:ascii="Times New Roman" w:eastAsia="Times New Roman" w:hAnsi="Times New Roman" w:cs="Times New Roman"/>
          <w:sz w:val="20"/>
          <w:szCs w:val="20"/>
          <w:lang w:eastAsia="uk-UA"/>
        </w:rPr>
      </w:pPr>
    </w:p>
    <w:p w14:paraId="49810839"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До уваги платників екологічному податку!</w:t>
      </w:r>
    </w:p>
    <w:p w14:paraId="118BB64D" w14:textId="08703E93" w:rsidR="002F3D62" w:rsidRPr="002F3D62" w:rsidRDefault="00096BDD" w:rsidP="002F3D62">
      <w:pPr>
        <w:pStyle w:val="a3"/>
        <w:shd w:val="clear" w:color="auto" w:fill="FFFFFF"/>
        <w:spacing w:before="0" w:beforeAutospacing="0" w:after="0" w:afterAutospacing="0"/>
        <w:jc w:val="both"/>
        <w:rPr>
          <w:color w:val="333333"/>
          <w:sz w:val="20"/>
          <w:szCs w:val="20"/>
        </w:rPr>
      </w:pPr>
      <w:r>
        <w:rPr>
          <w:color w:val="333333"/>
          <w:sz w:val="20"/>
          <w:szCs w:val="20"/>
        </w:rPr>
        <w:t>В</w:t>
      </w:r>
      <w:r w:rsidR="002F3D62" w:rsidRPr="002F3D62">
        <w:rPr>
          <w:color w:val="333333"/>
          <w:sz w:val="20"/>
          <w:szCs w:val="20"/>
        </w:rPr>
        <w:t>ідповідно до норм Податкового кодексу України (далі – ПКУ) у разі якщо:</w:t>
      </w:r>
    </w:p>
    <w:p w14:paraId="37DD557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платник екологічного податку має кілька стаціонарних джерел забруднення або спеціально відведених для розміщення відходів місць чи об’єктів в межах кількох населених пунктів (сіл, селищ або міст) або за їх межами (коди згідно з Класифікатором об’єктів адміністративно-територіального устрою України (КОАТУУ) різні), то такий платник податку зобов’язаний подати до відповідного контролюючого органу за місцем розташування стаціонарного джерела забруднення або спеціально відведених для розміщення відходів місць чи об’єктів податкову декларацію щодо кожного стаціонарного джерела забруднення або спеціально відведеного для розміщення відходів місця чи об’єкта окремо (</w:t>
      </w:r>
      <w:proofErr w:type="spellStart"/>
      <w:r w:rsidRPr="002F3D62">
        <w:rPr>
          <w:color w:val="333333"/>
          <w:sz w:val="20"/>
          <w:szCs w:val="20"/>
        </w:rPr>
        <w:t>п.п</w:t>
      </w:r>
      <w:proofErr w:type="spellEnd"/>
      <w:r w:rsidRPr="002F3D62">
        <w:rPr>
          <w:color w:val="333333"/>
          <w:sz w:val="20"/>
          <w:szCs w:val="20"/>
        </w:rPr>
        <w:t>. 250.10.1 п. 250.10 ст. 250 ПКУ);</w:t>
      </w:r>
    </w:p>
    <w:p w14:paraId="412426C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платник екологічного податку має кілька стаціонарних джерел забруднення або спеціально відведених для розміщення відходів місць чи об’єктів в межах одного населеного пункту (села, селища або міста) або за його межами (код згідно з Класифікатором об’єктів адміністративно-територіального устрою України (КОАТУУ) один і той самий), то такий платник податку може подавати до відповідного контролюючого органу одну податкову декларацію податку за такі джерела забруднення (</w:t>
      </w:r>
      <w:proofErr w:type="spellStart"/>
      <w:r w:rsidRPr="002F3D62">
        <w:rPr>
          <w:color w:val="333333"/>
          <w:sz w:val="20"/>
          <w:szCs w:val="20"/>
        </w:rPr>
        <w:t>п.п</w:t>
      </w:r>
      <w:proofErr w:type="spellEnd"/>
      <w:r w:rsidRPr="002F3D62">
        <w:rPr>
          <w:color w:val="333333"/>
          <w:sz w:val="20"/>
          <w:szCs w:val="20"/>
        </w:rPr>
        <w:t>. 250.10.2 п. 250.10 ст. 250 ПКУ);</w:t>
      </w:r>
    </w:p>
    <w:p w14:paraId="22F129E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платник екологічного податку перебуває на податковому обліку в місті з районним поділом, то такий платник може подавати одну податкову декларацію за викиди, скиди усіма своїми джерелами забруднення та/або розміщення відходів, якщо ці джерела та/або спеціально відведені місця для розміщення відходів розташовані на території такого міста (зазначається код згідно з Класифікатором об’єктів адміністративно-територіального устрою України (КОАТУУ), за місцем перебування платника податку на податковому обліку (міської ради) (</w:t>
      </w:r>
      <w:proofErr w:type="spellStart"/>
      <w:r w:rsidRPr="002F3D62">
        <w:rPr>
          <w:color w:val="333333"/>
          <w:sz w:val="20"/>
          <w:szCs w:val="20"/>
        </w:rPr>
        <w:t>п.п</w:t>
      </w:r>
      <w:proofErr w:type="spellEnd"/>
      <w:r w:rsidRPr="002F3D62">
        <w:rPr>
          <w:color w:val="333333"/>
          <w:sz w:val="20"/>
          <w:szCs w:val="20"/>
        </w:rPr>
        <w:t>. 250.10.3 п. 250.10 ст. 250 ПКУ).</w:t>
      </w:r>
    </w:p>
    <w:p w14:paraId="18E1CCA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Якщо місце подання податкових декларацій не збігається з місцем перебування на податковому обліку підприємства, установи, організації, громадянина – суб’єкта підприємницької діяльності, яким в установленому порядку видано дозвіл на викиди забруднюючих речовин в атмосферне повітря стаціонарними джерелами, спеціальне водокористування та розміщення відходів, копії відповідних податкових декларацій подаються протягом 40 календарних днів, що настають за останнім календарним днем податкового (звітного) періоду до контролюючого органу, в якому таке підприємство, установа, організація або громадянин - суб’єкт підприємницької діяльності перебуває на обліку (п. 250.8 ст. 250 ПКУ).</w:t>
      </w:r>
    </w:p>
    <w:p w14:paraId="2973EF1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 xml:space="preserve">Підписуйтесь на </w:t>
      </w:r>
      <w:proofErr w:type="spellStart"/>
      <w:r w:rsidRPr="002F3D62">
        <w:rPr>
          <w:rStyle w:val="a5"/>
          <w:color w:val="333333"/>
          <w:sz w:val="20"/>
          <w:szCs w:val="20"/>
        </w:rPr>
        <w:t>Telegram</w:t>
      </w:r>
      <w:proofErr w:type="spellEnd"/>
      <w:r w:rsidRPr="002F3D62">
        <w:rPr>
          <w:rStyle w:val="a5"/>
          <w:color w:val="333333"/>
          <w:sz w:val="20"/>
          <w:szCs w:val="20"/>
        </w:rPr>
        <w:t>-канал Державної податкової служби України</w:t>
      </w:r>
      <w:r w:rsidRPr="002F3D62">
        <w:rPr>
          <w:color w:val="333333"/>
          <w:sz w:val="20"/>
          <w:szCs w:val="20"/>
        </w:rPr>
        <w:t> </w:t>
      </w:r>
      <w:hyperlink r:id="rId64" w:tgtFrame="_blank" w:history="1">
        <w:r w:rsidRPr="002F3D62">
          <w:rPr>
            <w:rStyle w:val="a4"/>
            <w:color w:val="00518C"/>
            <w:sz w:val="20"/>
            <w:szCs w:val="20"/>
            <w:u w:val="none"/>
          </w:rPr>
          <w:t>https://t.me/tax_gov_ua</w:t>
        </w:r>
      </w:hyperlink>
    </w:p>
    <w:p w14:paraId="5FA729F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color w:val="333333"/>
          <w:sz w:val="20"/>
          <w:szCs w:val="20"/>
        </w:rPr>
        <w:t>»</w:t>
      </w:r>
    </w:p>
    <w:p w14:paraId="12F14796"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2F3D62" w:rsidRDefault="00247727" w:rsidP="002F3D62">
      <w:pPr>
        <w:shd w:val="clear" w:color="auto" w:fill="FFFFFF"/>
        <w:spacing w:after="0" w:line="240" w:lineRule="auto"/>
        <w:outlineLvl w:val="0"/>
        <w:rPr>
          <w:rFonts w:ascii="Times New Roman" w:eastAsia="Times New Roman" w:hAnsi="Times New Roman" w:cs="Times New Roman"/>
          <w:sz w:val="20"/>
          <w:szCs w:val="20"/>
          <w:lang w:eastAsia="uk-UA"/>
        </w:rPr>
      </w:pPr>
    </w:p>
    <w:p w14:paraId="01C3A494"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Звернення громадян - пріоритетний напрямок роботи податківців Дніпропетровської області</w:t>
      </w:r>
    </w:p>
    <w:p w14:paraId="503CBB3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Протягом 2020 року до Головного управління ДПС у Дніпропетровській області надійшло 359 звернень громадян. За відповідний період 2019 року таких звернень надійшло 443.</w:t>
      </w:r>
    </w:p>
    <w:p w14:paraId="44E680E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Колективних звернень надійшло 17, які розглянуті у визначені законодавством терміни.</w:t>
      </w:r>
    </w:p>
    <w:p w14:paraId="59ECBF1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«Тематика письмових звернень в більшості стосувалася наступних питань: контрольно-перевірочної роботи, консультацій з питань податкового законодавства тощо», - відмітила начальник відділу розгляду звернень громадян та доступу до публічної інформації організаційно-розпорядчого управління Головного управління ДПС у Дніпропетровській області Олена Малишева.</w:t>
      </w:r>
    </w:p>
    <w:p w14:paraId="6A6AC72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Першочергова увага приділяється забезпеченню всебічного, кваліфікованого, об’єктивного розгляду звернень, оперативному і своєчасному вирішенню питань.</w:t>
      </w:r>
    </w:p>
    <w:p w14:paraId="1D66935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dp.zvern436@tax.gov.ua, звернення з якої протягом кожного робочого дня приймаються працівниками відповідно до вимог Закону України від 2 жовтня 1996 року № 393/96-ВР «Про звернення громадян» (із змінами).</w:t>
      </w:r>
    </w:p>
    <w:p w14:paraId="2BA53B32"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1A74D46" w14:textId="38A12153"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p>
    <w:p w14:paraId="62492EC8"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Олексій Любченко: Успішність реформування податкової служби визначається обсягами надходжень</w:t>
      </w:r>
    </w:p>
    <w:p w14:paraId="5A47F62B"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Найкращим свідченням успішності реформи податкової служби є показники надходжень до бюджету. Так Голова ДПС Олексій Любченко прокоментував питання щодо прогресу у реформах Державної податкової служби України під час зустрічі з експертами місії Міжнародного валютного фонду.</w:t>
      </w:r>
    </w:p>
    <w:p w14:paraId="15BBB5C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Зустріч відбулася в онлайн режимі за участі головного економіста Департаменту з бюджетних питань МВФ </w:t>
      </w:r>
      <w:proofErr w:type="spellStart"/>
      <w:r w:rsidRPr="002F3D62">
        <w:rPr>
          <w:color w:val="333333"/>
          <w:sz w:val="20"/>
          <w:szCs w:val="20"/>
        </w:rPr>
        <w:t>Енріко</w:t>
      </w:r>
      <w:proofErr w:type="spellEnd"/>
      <w:r w:rsidRPr="002F3D62">
        <w:rPr>
          <w:color w:val="333333"/>
          <w:sz w:val="20"/>
          <w:szCs w:val="20"/>
        </w:rPr>
        <w:t xml:space="preserve"> </w:t>
      </w:r>
      <w:proofErr w:type="spellStart"/>
      <w:r w:rsidRPr="002F3D62">
        <w:rPr>
          <w:color w:val="333333"/>
          <w:sz w:val="20"/>
          <w:szCs w:val="20"/>
        </w:rPr>
        <w:t>Аава</w:t>
      </w:r>
      <w:proofErr w:type="spellEnd"/>
      <w:r w:rsidRPr="002F3D62">
        <w:rPr>
          <w:color w:val="333333"/>
          <w:sz w:val="20"/>
          <w:szCs w:val="20"/>
        </w:rPr>
        <w:t xml:space="preserve">, зовнішніх експертів </w:t>
      </w:r>
      <w:proofErr w:type="spellStart"/>
      <w:r w:rsidRPr="002F3D62">
        <w:rPr>
          <w:color w:val="333333"/>
          <w:sz w:val="20"/>
          <w:szCs w:val="20"/>
        </w:rPr>
        <w:t>Дейва</w:t>
      </w:r>
      <w:proofErr w:type="spellEnd"/>
      <w:r w:rsidRPr="002F3D62">
        <w:rPr>
          <w:color w:val="333333"/>
          <w:sz w:val="20"/>
          <w:szCs w:val="20"/>
        </w:rPr>
        <w:t xml:space="preserve"> </w:t>
      </w:r>
      <w:proofErr w:type="spellStart"/>
      <w:r w:rsidRPr="002F3D62">
        <w:rPr>
          <w:color w:val="333333"/>
          <w:sz w:val="20"/>
          <w:szCs w:val="20"/>
        </w:rPr>
        <w:t>Хартнетта</w:t>
      </w:r>
      <w:proofErr w:type="spellEnd"/>
      <w:r w:rsidRPr="002F3D62">
        <w:rPr>
          <w:color w:val="333333"/>
          <w:sz w:val="20"/>
          <w:szCs w:val="20"/>
        </w:rPr>
        <w:t xml:space="preserve"> та </w:t>
      </w:r>
      <w:proofErr w:type="spellStart"/>
      <w:r w:rsidRPr="002F3D62">
        <w:rPr>
          <w:color w:val="333333"/>
          <w:sz w:val="20"/>
          <w:szCs w:val="20"/>
        </w:rPr>
        <w:t>Тійни</w:t>
      </w:r>
      <w:proofErr w:type="spellEnd"/>
      <w:r w:rsidRPr="002F3D62">
        <w:rPr>
          <w:color w:val="333333"/>
          <w:sz w:val="20"/>
          <w:szCs w:val="20"/>
        </w:rPr>
        <w:t xml:space="preserve"> </w:t>
      </w:r>
      <w:proofErr w:type="spellStart"/>
      <w:r w:rsidRPr="002F3D62">
        <w:rPr>
          <w:color w:val="333333"/>
          <w:sz w:val="20"/>
          <w:szCs w:val="20"/>
        </w:rPr>
        <w:t>Тамм</w:t>
      </w:r>
      <w:proofErr w:type="spellEnd"/>
      <w:r w:rsidRPr="002F3D62">
        <w:rPr>
          <w:color w:val="333333"/>
          <w:sz w:val="20"/>
          <w:szCs w:val="20"/>
        </w:rPr>
        <w:t>.</w:t>
      </w:r>
    </w:p>
    <w:p w14:paraId="5D38505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За словами Олексія Любченка, у січні цього року платежі до бюджету, які контролюються податковою службою, в 1,5 </w:t>
      </w:r>
      <w:proofErr w:type="spellStart"/>
      <w:r w:rsidRPr="002F3D62">
        <w:rPr>
          <w:color w:val="333333"/>
          <w:sz w:val="20"/>
          <w:szCs w:val="20"/>
        </w:rPr>
        <w:t>раза</w:t>
      </w:r>
      <w:proofErr w:type="spellEnd"/>
      <w:r w:rsidRPr="002F3D62">
        <w:rPr>
          <w:color w:val="333333"/>
          <w:sz w:val="20"/>
          <w:szCs w:val="20"/>
        </w:rPr>
        <w:t xml:space="preserve"> перевищуватимуть аналогічний період минулого року. У тому числі  очікується, що сплата ПДВ зросте в 2,4 </w:t>
      </w:r>
      <w:proofErr w:type="spellStart"/>
      <w:r w:rsidRPr="002F3D62">
        <w:rPr>
          <w:color w:val="333333"/>
          <w:sz w:val="20"/>
          <w:szCs w:val="20"/>
        </w:rPr>
        <w:t>раза</w:t>
      </w:r>
      <w:proofErr w:type="spellEnd"/>
      <w:r w:rsidRPr="002F3D62">
        <w:rPr>
          <w:color w:val="333333"/>
          <w:sz w:val="20"/>
          <w:szCs w:val="20"/>
        </w:rPr>
        <w:t xml:space="preserve"> порівняно з січнем 2020 року.</w:t>
      </w:r>
    </w:p>
    <w:p w14:paraId="546E8E9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«Такі показники найкраще свідчать про те, як ми реформуємося і в якому напрямі рухаємося. На сьогодні у рамках створення єдиної юридичної особи ми отримали оптимізовану структуру, в якій </w:t>
      </w:r>
      <w:proofErr w:type="spellStart"/>
      <w:r w:rsidRPr="002F3D62">
        <w:rPr>
          <w:color w:val="333333"/>
          <w:sz w:val="20"/>
          <w:szCs w:val="20"/>
        </w:rPr>
        <w:t>усунено</w:t>
      </w:r>
      <w:proofErr w:type="spellEnd"/>
      <w:r w:rsidRPr="002F3D62">
        <w:rPr>
          <w:color w:val="333333"/>
          <w:sz w:val="20"/>
          <w:szCs w:val="20"/>
        </w:rPr>
        <w:t xml:space="preserve"> дублювання функцій та зайві процеси. Відслідковується чіткий механізм </w:t>
      </w:r>
      <w:proofErr w:type="spellStart"/>
      <w:r w:rsidRPr="002F3D62">
        <w:rPr>
          <w:color w:val="333333"/>
          <w:sz w:val="20"/>
          <w:szCs w:val="20"/>
        </w:rPr>
        <w:t>комплаєнсу</w:t>
      </w:r>
      <w:proofErr w:type="spellEnd"/>
      <w:r w:rsidRPr="002F3D62">
        <w:rPr>
          <w:color w:val="333333"/>
          <w:sz w:val="20"/>
          <w:szCs w:val="20"/>
        </w:rPr>
        <w:t xml:space="preserve"> від реєстрації бізнесу до системи відслідковування ризиків та кінцевого результату – сплати коштів до бюджету», – розповів очільник ДПС.</w:t>
      </w:r>
    </w:p>
    <w:p w14:paraId="30611C2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color w:val="00518C"/>
          <w:sz w:val="20"/>
          <w:szCs w:val="20"/>
          <w:u w:val="none"/>
        </w:rPr>
        <w:t>InfoTAX</w:t>
      </w:r>
      <w:proofErr w:type="spellEnd"/>
      <w:r w:rsidR="00700E26">
        <w:rPr>
          <w:rStyle w:val="a4"/>
          <w:color w:val="00518C"/>
          <w:sz w:val="20"/>
          <w:szCs w:val="20"/>
          <w:u w:val="none"/>
        </w:rPr>
        <w:fldChar w:fldCharType="end"/>
      </w:r>
      <w:r w:rsidRPr="002F3D62">
        <w:rPr>
          <w:color w:val="333333"/>
          <w:sz w:val="20"/>
          <w:szCs w:val="20"/>
        </w:rPr>
        <w:t>»</w:t>
      </w:r>
    </w:p>
    <w:p w14:paraId="7CDCB6D1"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p>
    <w:p w14:paraId="4B6BDF76" w14:textId="77777777" w:rsidR="002F3D62" w:rsidRPr="00096BDD" w:rsidRDefault="002F3D62" w:rsidP="002F3D62">
      <w:pPr>
        <w:pStyle w:val="1"/>
        <w:shd w:val="clear" w:color="auto" w:fill="FFFFFF"/>
        <w:spacing w:before="0" w:beforeAutospacing="0" w:after="0" w:afterAutospacing="0"/>
        <w:rPr>
          <w:color w:val="333333"/>
          <w:sz w:val="20"/>
          <w:szCs w:val="20"/>
        </w:rPr>
      </w:pPr>
      <w:r w:rsidRPr="00096BDD">
        <w:rPr>
          <w:color w:val="333333"/>
          <w:sz w:val="20"/>
          <w:szCs w:val="20"/>
        </w:rPr>
        <w:t>До уваги платників податків!</w:t>
      </w:r>
    </w:p>
    <w:p w14:paraId="38DE7AC6" w14:textId="551D545C"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ДПС України на офіційному </w:t>
      </w:r>
      <w:proofErr w:type="spellStart"/>
      <w:r w:rsidRPr="002F3D62">
        <w:rPr>
          <w:color w:val="333333"/>
          <w:sz w:val="20"/>
          <w:szCs w:val="20"/>
        </w:rPr>
        <w:t>вебпорталі</w:t>
      </w:r>
      <w:proofErr w:type="spellEnd"/>
      <w:r w:rsidRPr="002F3D62">
        <w:rPr>
          <w:color w:val="333333"/>
          <w:sz w:val="20"/>
          <w:szCs w:val="20"/>
        </w:rPr>
        <w:t xml:space="preserve"> за посиланням </w:t>
      </w:r>
      <w:hyperlink r:id="rId65" w:history="1">
        <w:r w:rsidRPr="002F3D62">
          <w:rPr>
            <w:rStyle w:val="a4"/>
            <w:color w:val="00518C"/>
            <w:sz w:val="20"/>
            <w:szCs w:val="20"/>
            <w:u w:val="none"/>
          </w:rPr>
          <w:t>https://tax.gov.ua/media-tsentr/novini/450037.html</w:t>
        </w:r>
      </w:hyperlink>
      <w:r w:rsidRPr="002F3D62">
        <w:rPr>
          <w:color w:val="333333"/>
          <w:sz w:val="20"/>
          <w:szCs w:val="20"/>
        </w:rPr>
        <w:t> повідомила наступне.</w:t>
      </w:r>
    </w:p>
    <w:p w14:paraId="4A18C7B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6"/>
          <w:color w:val="333333"/>
          <w:sz w:val="20"/>
          <w:szCs w:val="20"/>
        </w:rPr>
        <w:t>Щодо встановлення нових мінімальних роздрібних цін на вермути та інші вина виноградні, з доданням рослинних або ароматичних речовин, з урахуванням норм постанови Кабінету Міністрів України від 13 січня 2021 року № 17 «Про внесення змін до постанови Кабінету Міністрів України від 30 жовтня 2008 р. № 957»</w:t>
      </w:r>
    </w:p>
    <w:p w14:paraId="33B34DEA"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Постановою Кабінету Міністрів України від 13 січня 2021 року № 17 «Про внесення змін до постанови Кабінету Міністрів України від 30 жовтня 2008 р. № 957» (далі – Постанова № 17), </w:t>
      </w:r>
      <w:proofErr w:type="spellStart"/>
      <w:r w:rsidRPr="002F3D62">
        <w:rPr>
          <w:color w:val="333333"/>
          <w:sz w:val="20"/>
          <w:szCs w:val="20"/>
        </w:rPr>
        <w:t>внесено</w:t>
      </w:r>
      <w:proofErr w:type="spellEnd"/>
      <w:r w:rsidRPr="002F3D62">
        <w:rPr>
          <w:color w:val="333333"/>
          <w:sz w:val="20"/>
          <w:szCs w:val="20"/>
        </w:rPr>
        <w:t xml:space="preserve"> зміни у додаток до постанови № 957 від 30 жовтня 2008 року «Про встановлення розміру мінімальних оптово-відпускних і роздрібних цін на окремі види алкогольних напоїв».</w:t>
      </w:r>
    </w:p>
    <w:p w14:paraId="00C0E2F4"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Постанова № 17 була офіційно опублікована в газеті «Урядовий кур’єр» № 10 від 16.01.2021 та </w:t>
      </w:r>
      <w:r w:rsidRPr="002F3D62">
        <w:rPr>
          <w:rStyle w:val="a6"/>
          <w:color w:val="333333"/>
          <w:sz w:val="20"/>
          <w:szCs w:val="20"/>
        </w:rPr>
        <w:t>набирає чинності через 10 днів з дня її опублікування, а саме 26 січня 2021 року.</w:t>
      </w:r>
    </w:p>
    <w:p w14:paraId="02CF4F0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Постановою № 17 </w:t>
      </w:r>
      <w:proofErr w:type="spellStart"/>
      <w:r w:rsidRPr="002F3D62">
        <w:rPr>
          <w:color w:val="333333"/>
          <w:sz w:val="20"/>
          <w:szCs w:val="20"/>
        </w:rPr>
        <w:t>внесено</w:t>
      </w:r>
      <w:proofErr w:type="spellEnd"/>
      <w:r w:rsidRPr="002F3D62">
        <w:rPr>
          <w:color w:val="333333"/>
          <w:sz w:val="20"/>
          <w:szCs w:val="20"/>
        </w:rPr>
        <w:t xml:space="preserve"> зміни щодо встановлення розміру мінімальних оптово-відпускних і роздрібних цін на деякі види алкогольних напоїв, зокрема:</w:t>
      </w:r>
    </w:p>
    <w:p w14:paraId="6618B09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на «Вермути та інші вина виноградні натуральні з доданням рослинних або </w:t>
      </w:r>
      <w:proofErr w:type="spellStart"/>
      <w:r w:rsidRPr="002F3D62">
        <w:rPr>
          <w:color w:val="333333"/>
          <w:sz w:val="20"/>
          <w:szCs w:val="20"/>
        </w:rPr>
        <w:t>ароматизувальних</w:t>
      </w:r>
      <w:proofErr w:type="spellEnd"/>
      <w:r w:rsidRPr="002F3D62">
        <w:rPr>
          <w:color w:val="333333"/>
          <w:sz w:val="20"/>
          <w:szCs w:val="20"/>
        </w:rPr>
        <w:t xml:space="preserve"> екстрактів у скляній тарі місткістю 0,7 л, в інший тарі місткістю 1 л» </w:t>
      </w:r>
      <w:r w:rsidRPr="002F3D62">
        <w:rPr>
          <w:rStyle w:val="a6"/>
          <w:color w:val="333333"/>
          <w:sz w:val="20"/>
          <w:szCs w:val="20"/>
        </w:rPr>
        <w:t>за кодами виробів згідно з УКТ ЗЕД 2205 (крім 2205 10 10 00, 2205 90 10 00), встановлена мінімальна роздрібна ціна 49 гривень;</w:t>
      </w:r>
    </w:p>
    <w:p w14:paraId="5C3A7FE7"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xml:space="preserve">▼ на «Вина ігристі та вина газовані, </w:t>
      </w:r>
      <w:proofErr w:type="spellStart"/>
      <w:r w:rsidRPr="002F3D62">
        <w:rPr>
          <w:color w:val="333333"/>
          <w:sz w:val="20"/>
          <w:szCs w:val="20"/>
        </w:rPr>
        <w:t>зброджені</w:t>
      </w:r>
      <w:proofErr w:type="spellEnd"/>
      <w:r w:rsidRPr="002F3D62">
        <w:rPr>
          <w:color w:val="333333"/>
          <w:sz w:val="20"/>
          <w:szCs w:val="20"/>
        </w:rPr>
        <w:t xml:space="preserve"> напої, вина (напої) ароматизовані ігристі (газовані),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міститься у готовому продукті, має повністю ферментне (ендогенне) походження, які розливаються у пляшки, закорковані спеціальними пробками для таких напоїв типу «гриб», що утримуються на місці за допомогою стяжок або застібок, та/або мають надмірний тиск, спричинений наявністю діоксиду вуглецю у розчині на рівні не менше 1 бар при температурі 20° C у скляній тарі місткістю 0,7 л та 0,75 л» </w:t>
      </w:r>
      <w:r w:rsidRPr="002F3D62">
        <w:rPr>
          <w:rStyle w:val="a6"/>
          <w:color w:val="333333"/>
          <w:sz w:val="20"/>
          <w:szCs w:val="20"/>
        </w:rPr>
        <w:t>за кодами виробів згідно з УКТ ЗЕД 2204 10, 2204 21 06 00, 2204 21 07 00, 2204 21 08 00, 2204 21 09 00, 2204 29 10 00, 2205 10 10 00, 2205 90 10 00, 2206 00 39 00, встановлена мінімальна роздрібна ціна 109 гривень.</w:t>
      </w:r>
    </w:p>
    <w:p w14:paraId="4B49AE9D"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З метою запобігання здійснення помилок суб’єктами господарювання при встановленні мінімальних роздрібних цін </w:t>
      </w:r>
      <w:r w:rsidRPr="002F3D62">
        <w:rPr>
          <w:rStyle w:val="a6"/>
          <w:color w:val="333333"/>
          <w:sz w:val="20"/>
          <w:szCs w:val="20"/>
        </w:rPr>
        <w:t>на вермути та інші вина виноградні, з доданням рослинних або ароматичних речовин,</w:t>
      </w:r>
      <w:r w:rsidRPr="002F3D62">
        <w:rPr>
          <w:color w:val="333333"/>
          <w:sz w:val="20"/>
          <w:szCs w:val="20"/>
        </w:rPr>
        <w:t> слід враховувати, що:</w:t>
      </w:r>
    </w:p>
    <w:p w14:paraId="64BC93E0"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на вермути та інші вина виноградні, з доданням рослинних або ароматичних речовин, які </w:t>
      </w:r>
      <w:r w:rsidRPr="002F3D62">
        <w:rPr>
          <w:rStyle w:val="a6"/>
          <w:color w:val="333333"/>
          <w:sz w:val="20"/>
          <w:szCs w:val="20"/>
        </w:rPr>
        <w:t>газовані, за кодами виробів згідно з УКТ ЗЕД 2205 10 10 00, 2205 90 10 00 з фактичною концентрацією спирту 18 об.% або менше, застосовується мінімальна роздрібна ціна 109 грн</w:t>
      </w:r>
      <w:r w:rsidRPr="002F3D62">
        <w:rPr>
          <w:color w:val="333333"/>
          <w:sz w:val="20"/>
          <w:szCs w:val="20"/>
        </w:rPr>
        <w:t>;</w:t>
      </w:r>
    </w:p>
    <w:p w14:paraId="3181E639"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а на вермути та інші вина виноградні, з доданням рослинних або ароматичних речовин, які </w:t>
      </w:r>
      <w:r w:rsidRPr="002F3D62">
        <w:rPr>
          <w:rStyle w:val="a6"/>
          <w:color w:val="333333"/>
          <w:sz w:val="20"/>
          <w:szCs w:val="20"/>
        </w:rPr>
        <w:t>негазовані (тихі), за кодами виробів згідно з УКТ ЗЕД 2205 10 10 00, 2205 90 10 00 з фактичною концентрацією спирту 18 об.% або менше, мінімальна роздрібна ціна не застосовується</w:t>
      </w:r>
      <w:r w:rsidRPr="002F3D62">
        <w:rPr>
          <w:color w:val="333333"/>
          <w:sz w:val="20"/>
          <w:szCs w:val="20"/>
        </w:rPr>
        <w:t>;</w:t>
      </w:r>
    </w:p>
    <w:p w14:paraId="5F69D71F"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t>▼ на вермути та інші вина виноградні, з доданням рослинних або ароматичних речовин, </w:t>
      </w:r>
      <w:r w:rsidRPr="002F3D62">
        <w:rPr>
          <w:rStyle w:val="a6"/>
          <w:color w:val="333333"/>
          <w:sz w:val="20"/>
          <w:szCs w:val="20"/>
        </w:rPr>
        <w:t>за кодами виробів згідно з УКТ ЗЕД 2205 10 90 00, 2205 90 90 00, з фактичною концентрацією спирту більш як 18 об.%, застосовується мінімальна роздрібна ціна 49 гривень</w:t>
      </w:r>
      <w:r w:rsidRPr="002F3D62">
        <w:rPr>
          <w:color w:val="333333"/>
          <w:sz w:val="20"/>
          <w:szCs w:val="20"/>
        </w:rPr>
        <w:t>.</w:t>
      </w:r>
    </w:p>
    <w:p w14:paraId="7A6EA5DC"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color w:val="333333"/>
          <w:sz w:val="20"/>
          <w:szCs w:val="20"/>
        </w:rPr>
        <w:lastRenderedPageBreak/>
        <w:t>При застосуванні мінімальних оптово-відпускних і роздрібних цін на деякі види алкогольних напоїв, зокрема вермути, враховуються норми групи 22 «Алкогольні та безалкогольні напої і оцет» розділу IV «Готові харчові продукти; алкогольні та безалкогольні напої і оцет; тютюн та його замінники» додатку до Закону України «Про Митний тариф України» від 4 червня 2020 року N 674-IX.</w:t>
      </w:r>
    </w:p>
    <w:p w14:paraId="01DDF4D1"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 xml:space="preserve">Підписуйтесь на </w:t>
      </w:r>
      <w:proofErr w:type="spellStart"/>
      <w:r w:rsidRPr="002F3D62">
        <w:rPr>
          <w:rStyle w:val="a5"/>
          <w:rFonts w:eastAsiaTheme="majorEastAsia"/>
          <w:color w:val="333333"/>
          <w:sz w:val="20"/>
          <w:szCs w:val="20"/>
        </w:rPr>
        <w:t>Telegram</w:t>
      </w:r>
      <w:proofErr w:type="spellEnd"/>
      <w:r w:rsidRPr="002F3D62">
        <w:rPr>
          <w:rStyle w:val="a5"/>
          <w:rFonts w:eastAsiaTheme="majorEastAsia"/>
          <w:color w:val="333333"/>
          <w:sz w:val="20"/>
          <w:szCs w:val="20"/>
        </w:rPr>
        <w:t>-канал Державної податкової служби України</w:t>
      </w:r>
      <w:r w:rsidRPr="002F3D62">
        <w:rPr>
          <w:color w:val="333333"/>
          <w:sz w:val="20"/>
          <w:szCs w:val="20"/>
        </w:rPr>
        <w:t> </w:t>
      </w:r>
      <w:hyperlink r:id="rId66" w:tgtFrame="_blank" w:history="1">
        <w:r w:rsidRPr="002F3D62">
          <w:rPr>
            <w:rStyle w:val="a4"/>
            <w:color w:val="00518C"/>
            <w:sz w:val="20"/>
            <w:szCs w:val="20"/>
            <w:u w:val="none"/>
          </w:rPr>
          <w:t>https://t.me/tax_gov_ua</w:t>
        </w:r>
      </w:hyperlink>
    </w:p>
    <w:p w14:paraId="3B05AE33" w14:textId="77777777" w:rsidR="002F3D62" w:rsidRPr="002F3D62" w:rsidRDefault="002F3D62" w:rsidP="002F3D62">
      <w:pPr>
        <w:pStyle w:val="a3"/>
        <w:shd w:val="clear" w:color="auto" w:fill="FFFFFF"/>
        <w:spacing w:before="0" w:beforeAutospacing="0" w:after="0" w:afterAutospacing="0"/>
        <w:jc w:val="both"/>
        <w:rPr>
          <w:color w:val="333333"/>
          <w:sz w:val="20"/>
          <w:szCs w:val="20"/>
        </w:rPr>
      </w:pPr>
      <w:r w:rsidRPr="002F3D62">
        <w:rPr>
          <w:rStyle w:val="a5"/>
          <w:rFonts w:eastAsiaTheme="majorEastAsia"/>
          <w:color w:val="333333"/>
          <w:sz w:val="20"/>
          <w:szCs w:val="20"/>
        </w:rPr>
        <w:t>Спілкуйся з Податковою службою дистанційно за допомогою сервісу «</w:t>
      </w:r>
      <w:proofErr w:type="spellStart"/>
      <w:r w:rsidR="00700E26">
        <w:fldChar w:fldCharType="begin"/>
      </w:r>
      <w:r w:rsidR="00700E26">
        <w:instrText xml:space="preserve"> HYPERLINK "https://t.me/infoTAXbot" \t "_blank" </w:instrText>
      </w:r>
      <w:r w:rsidR="00700E26">
        <w:fldChar w:fldCharType="separate"/>
      </w:r>
      <w:r w:rsidRPr="002F3D62">
        <w:rPr>
          <w:rStyle w:val="a4"/>
          <w:i/>
          <w:iCs/>
          <w:color w:val="00518C"/>
          <w:sz w:val="20"/>
          <w:szCs w:val="20"/>
          <w:u w:val="none"/>
        </w:rPr>
        <w:t>InfoTAX</w:t>
      </w:r>
      <w:proofErr w:type="spellEnd"/>
      <w:r w:rsidR="00700E26">
        <w:rPr>
          <w:rStyle w:val="a4"/>
          <w:i/>
          <w:iCs/>
          <w:color w:val="00518C"/>
          <w:sz w:val="20"/>
          <w:szCs w:val="20"/>
          <w:u w:val="none"/>
        </w:rPr>
        <w:fldChar w:fldCharType="end"/>
      </w:r>
      <w:r w:rsidRPr="002F3D62">
        <w:rPr>
          <w:rStyle w:val="a5"/>
          <w:rFonts w:eastAsiaTheme="majorEastAsia"/>
          <w:color w:val="333333"/>
          <w:sz w:val="20"/>
          <w:szCs w:val="20"/>
        </w:rPr>
        <w:t>»</w:t>
      </w:r>
    </w:p>
    <w:p w14:paraId="72ED6007"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r w:rsidRPr="002F3D62">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886DEA" w14:textId="77777777" w:rsidR="00190022" w:rsidRPr="002F3D62" w:rsidRDefault="00190022" w:rsidP="002F3D62">
      <w:pPr>
        <w:pStyle w:val="a3"/>
        <w:shd w:val="clear" w:color="auto" w:fill="FFFFFF"/>
        <w:spacing w:before="0" w:beforeAutospacing="0" w:after="0" w:afterAutospacing="0"/>
        <w:jc w:val="both"/>
        <w:rPr>
          <w:color w:val="333333"/>
          <w:sz w:val="20"/>
          <w:szCs w:val="20"/>
        </w:rPr>
      </w:pPr>
    </w:p>
    <w:p w14:paraId="0A023CEB" w14:textId="77777777" w:rsidR="00190022" w:rsidRPr="002F3D62" w:rsidRDefault="00190022" w:rsidP="002F3D62">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5775CD9C" w14:textId="004CE519" w:rsidR="008F710D" w:rsidRPr="002F3D62" w:rsidRDefault="008F710D" w:rsidP="002F3D62">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Pr="002F3D62" w:rsidRDefault="008F710D" w:rsidP="002F3D62">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Pr="002F3D62" w:rsidRDefault="008F710D" w:rsidP="002F3D62">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Pr="002F3D62" w:rsidRDefault="008F710D" w:rsidP="002F3D62">
      <w:pPr>
        <w:spacing w:after="0" w:line="240" w:lineRule="auto"/>
        <w:outlineLvl w:val="0"/>
        <w:rPr>
          <w:rFonts w:ascii="Times New Roman" w:eastAsia="Times New Roman" w:hAnsi="Times New Roman" w:cs="Times New Roman"/>
          <w:sz w:val="20"/>
          <w:szCs w:val="20"/>
          <w:lang w:eastAsia="uk-UA"/>
        </w:rPr>
      </w:pPr>
    </w:p>
    <w:sectPr w:rsidR="008F710D" w:rsidRPr="002F3D62"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96BDD"/>
    <w:rsid w:val="00124AA4"/>
    <w:rsid w:val="00161DDF"/>
    <w:rsid w:val="00190022"/>
    <w:rsid w:val="001E2DBC"/>
    <w:rsid w:val="00247727"/>
    <w:rsid w:val="0025780F"/>
    <w:rsid w:val="002856FF"/>
    <w:rsid w:val="002F3D62"/>
    <w:rsid w:val="004C64C9"/>
    <w:rsid w:val="00610802"/>
    <w:rsid w:val="006142F7"/>
    <w:rsid w:val="006D1B80"/>
    <w:rsid w:val="00700E26"/>
    <w:rsid w:val="00757B0D"/>
    <w:rsid w:val="00772FC4"/>
    <w:rsid w:val="008F710D"/>
    <w:rsid w:val="009710E2"/>
    <w:rsid w:val="00A72476"/>
    <w:rsid w:val="00AE06B3"/>
    <w:rsid w:val="00B346C2"/>
    <w:rsid w:val="00BB06D1"/>
    <w:rsid w:val="00C46CC3"/>
    <w:rsid w:val="00C77A8A"/>
    <w:rsid w:val="00C81833"/>
    <w:rsid w:val="00C90CFF"/>
    <w:rsid w:val="00CD0F7A"/>
    <w:rsid w:val="00ED110F"/>
    <w:rsid w:val="00FA3953"/>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x.gov.ua/media-tsentr/novini/448839.html"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docs.dtkt.ua/doc/z0635-20" TargetMode="External"/><Relationship Id="rId42" Type="http://schemas.openxmlformats.org/officeDocument/2006/relationships/hyperlink" Target="https://data.gov.ua/dataset/5c19fe03-fe99-457b-9051-8d280e68172b" TargetMode="External"/><Relationship Id="rId47" Type="http://schemas.openxmlformats.org/officeDocument/2006/relationships/hyperlink" Target="https://data.gov.ua/dataset/87ed18a7-c4ef-4ed7-87d1-8cd06ca21db7" TargetMode="External"/><Relationship Id="rId50" Type="http://schemas.openxmlformats.org/officeDocument/2006/relationships/hyperlink" Target="https://data.gov.ua/dataset/d36c0be9-0380-4c85-9dab-8722205f334a" TargetMode="External"/><Relationship Id="rId55" Type="http://schemas.openxmlformats.org/officeDocument/2006/relationships/hyperlink" Target="https://tax.gov.ua/byudjetni-rahunki/" TargetMode="External"/><Relationship Id="rId6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8" Type="http://schemas.openxmlformats.org/officeDocument/2006/relationships/theme" Target="theme/theme1.xml"/><Relationship Id="rId7" Type="http://schemas.openxmlformats.org/officeDocument/2006/relationships/hyperlink" Target="https://e.land.gov.ua/" TargetMode="External"/><Relationship Id="rId2" Type="http://schemas.openxmlformats.org/officeDocument/2006/relationships/numbering" Target="numbering.xml"/><Relationship Id="rId16" Type="http://schemas.openxmlformats.org/officeDocument/2006/relationships/hyperlink" Target="mailto:support@nazk.gov.u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portal.pfu.gov.ua%2F%3Ffbclid%3DIwAR1m0BtXwJJDopG8hoUcjQZQL3fyQsLdnPYCrWQdEYtM5iGUbwnVVmt58FA&amp;h=AT010t6WYJ2V6j8U4EQKUbXf4G47f5Lg9YPOPIXOxJu7uTnuyKw2twlRVo3zV7U_WvTGr0PlYFtB94AWfWf2HabwiAL4SGiPctlSztBKhuKS7vJUYZxFk3BRY7hXUoJLwT7SkIaV8g" TargetMode="External"/><Relationship Id="rId24" Type="http://schemas.openxmlformats.org/officeDocument/2006/relationships/hyperlink" Target="https://tax.gov.ua/nove-pro-podatki--novini-/449407.html" TargetMode="External"/><Relationship Id="rId32" Type="http://schemas.openxmlformats.org/officeDocument/2006/relationships/hyperlink" Target="https://docs.dtkt.ua/doc/z0920-16" TargetMode="External"/><Relationship Id="rId37" Type="http://schemas.openxmlformats.org/officeDocument/2006/relationships/hyperlink" Target="https://data.gov.ua/dataset/46ec7001-f492-4af8-8cae-00ba5e5537ce" TargetMode="External"/><Relationship Id="rId40" Type="http://schemas.openxmlformats.org/officeDocument/2006/relationships/hyperlink" Target="https://data.gov.ua/dataset/08607f4c-b3f1-4b2f-8dbc-cd5866e5e60c" TargetMode="External"/><Relationship Id="rId45" Type="http://schemas.openxmlformats.org/officeDocument/2006/relationships/hyperlink" Target="https://data.gov.ua/dataset/ac16f415-a60d-408b-b0e5-902d2ebee579" TargetMode="External"/><Relationship Id="rId53" Type="http://schemas.openxmlformats.org/officeDocument/2006/relationships/hyperlink" Target="https://tax.gov.ua/data/material/000/354/449726/InfoList18.pdf" TargetMode="External"/><Relationship Id="rId5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6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nazk.gov.ua/uk/katalog-upovnovazhenyh/" TargetMode="External"/><Relationship Id="rId22" Type="http://schemas.openxmlformats.org/officeDocument/2006/relationships/hyperlink" Target="https://tax.gov.ua/baneryi/programni-rro/programniy-reestrator-rozrahunkovih-operatsiy/"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docs.dtkt.ua/doc/265/95-%D0%92%D0%A0" TargetMode="External"/><Relationship Id="rId43" Type="http://schemas.openxmlformats.org/officeDocument/2006/relationships/hyperlink" Target="https://data.gov.ua/dataset/5dfdb467-1b33-4003-ab79-169367f87576" TargetMode="External"/><Relationship Id="rId48" Type="http://schemas.openxmlformats.org/officeDocument/2006/relationships/hyperlink" Target="https://data.gov.ua/dataset/295e8687-056a-4195-bbba-4a538489e728" TargetMode="External"/><Relationship Id="rId56" Type="http://schemas.openxmlformats.org/officeDocument/2006/relationships/hyperlink" Target="http://cabinet.tax.gov.ua/" TargetMode="External"/><Relationship Id="rId6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bit.ly%2F35uO94s%3Ffbclid%3DIwAR0G6SGAZRtRDuuWJ5dNoeOj3ZYSKnKxunt2SHzJjcupF01jEtqKNwdr1CI&amp;h=AT1tSuMulgJH6Y6xgNMNS9i8h8vrAqaK-21AeKQNUTUMXBdHaaA0BOgzl7o5yrpU0ysJw_6uUyqJNbZMX_-aq3Vyp1ZSrTax9JP1pVo-S_UayECxtg3YUMuvGmad0vtRcJE7ABlJhA" TargetMode="External"/><Relationship Id="rId51" Type="http://schemas.openxmlformats.org/officeDocument/2006/relationships/hyperlink" Target="https://tax.gov.ua/nove-pro-podatki--novini-/449642.html" TargetMode="External"/><Relationship Id="rId3" Type="http://schemas.openxmlformats.org/officeDocument/2006/relationships/styles" Target="styles.xml"/><Relationship Id="rId12" Type="http://schemas.openxmlformats.org/officeDocument/2006/relationships/hyperlink" Target="https://l.facebook.com/l.php?u=https%3A%2F%2Fbit.ly%2F2xxa7Hk%3Ffbclid%3DIwAR3Llf2n5KgXNOrFtGKJWgBCe22Qm43NRSAiYrOK21x9AammgVoRJQ0nR9I&amp;h=AT3JL7WS2PbxEx6RsxssWar1qERd2moCamVwFaQhQNtuODecu37l4IPIFfmKAm_peJmAh8y7RCRtzYYOJOby1CgN-tZWJpYZ4vWXUvBuhiV1pS7Zf8Ti4PNTT1pY4VHQJN9J0z2McRurAasv20QdiXc" TargetMode="External"/><Relationship Id="rId17" Type="http://schemas.openxmlformats.org/officeDocument/2006/relationships/hyperlink" Target="https://nazk.gov.ua/uk/novyny/yak-otrymaty-neobhidni-dlya-zapovnennya-deklaratsiyi-dani-onlajn-pid-chas-karantynu/"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docs.dtkt.ua/doc/z0919-16?page=2" TargetMode="External"/><Relationship Id="rId38" Type="http://schemas.openxmlformats.org/officeDocument/2006/relationships/hyperlink" Target="https://data.gov.ua/dataset/198185ea-44d6-48f0-877c-44251c413f64" TargetMode="External"/><Relationship Id="rId46" Type="http://schemas.openxmlformats.org/officeDocument/2006/relationships/hyperlink" Target="https://data.gov.ua/dataset/e7e5edfd-f7b6-4aaa-a02d-feba084021e7" TargetMode="External"/><Relationship Id="rId5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7" Type="http://schemas.openxmlformats.org/officeDocument/2006/relationships/fontTable" Target="fontTable.xm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https://data.gov.ua/dataset/367b781a-ebd8-4dcb-b133-3d69c1558763" TargetMode="External"/><Relationship Id="rId54" Type="http://schemas.openxmlformats.org/officeDocument/2006/relationships/hyperlink" Target="https://tax.gov.ua/media-tsentr/novini/449727.htm" TargetMode="External"/><Relationship Id="rId6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l.facebook.com/l.php?u=https%3A%2F%2Fbit.ly%2F2zeaaIQ%3Ffbclid%3DIwAR30VD4VPzF4BwYcfVmlvzPZMDPthbhR3vJlTrXdoBqumKFruwMAzjf7JH8&amp;h=AT0wYmjZYvVkOQ3lKABadbq7ooLBmbpB4ishylfRw4ZsgGv_-64Jws85hy9RqDuJq54-U5fqNHYC8bELwnIaCA5ogqb0P1fnZ-VwG-xggcIbX_QgSLi27flEKuk3W97zNS6CvFyxYg" TargetMode="External"/><Relationship Id="rId15" Type="http://schemas.openxmlformats.org/officeDocument/2006/relationships/hyperlink" Target="https://wiki.nazk.gov.ua/" TargetMode="External"/><Relationship Id="rId23" Type="http://schemas.openxmlformats.org/officeDocument/2006/relationships/hyperlink" Target="https://tax.gov.ua/baneryi/programni-rro/"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data.gov.ua/dataset/4c65d66d-1923-4682-980a-9c11ce7ffdfe" TargetMode="External"/><Relationship Id="rId49" Type="http://schemas.openxmlformats.org/officeDocument/2006/relationships/hyperlink" Target="https://data.gov.ua/dataset/5cb0cd73-215d-4d52-80fa-b84e59fa6025" TargetMode="External"/><Relationship Id="rId57" Type="http://schemas.openxmlformats.org/officeDocument/2006/relationships/hyperlink" Target="https://tax.gov.ua/media-tsentr/novini/449913.html" TargetMode="External"/><Relationship Id="rId10" Type="http://schemas.openxmlformats.org/officeDocument/2006/relationships/hyperlink" Target="https://l.facebook.com/l.php?u=https%3A%2F%2Fcabinet.tax.gov.ua%2F%3Ffbclid%3DIwAR2KJ6X3zCYA8Lg615IgGScpsUGq0SxPj3_qmCb3V5kzU6YtxqIF63teQ_s&amp;h=AT3BpPzJKBrixu6bu3nKDNdm6y03GKW_U_WPUgwQDsG_jc9EoqgdRpY1UVfnW1i_a1G_DbqdGWBGEZJ3ItMvkIOkT-C7GgbBYIOBT-uhc0wvntsUr1RjA1LoSvzkv5DwCcjk6uVq0g" TargetMode="External"/><Relationship Id="rId31" Type="http://schemas.openxmlformats.org/officeDocument/2006/relationships/hyperlink" Target="https://docs.dtkt.ua/doc/z0920-16" TargetMode="External"/><Relationship Id="rId44" Type="http://schemas.openxmlformats.org/officeDocument/2006/relationships/hyperlink" Target="https://data.gov.ua/dataset/4c3c066c-5333-4ea7-86f2-e7ee6ea4dbac" TargetMode="External"/><Relationship Id="rId52" Type="http://schemas.openxmlformats.org/officeDocument/2006/relationships/hyperlink" Target="https://tax.gov.ua/nove-pro-podatki--novini-/449725.html" TargetMode="External"/><Relationship Id="rId6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5" Type="http://schemas.openxmlformats.org/officeDocument/2006/relationships/hyperlink" Target="https://tax.gov.ua/media-tsentr/novini/450037.html" TargetMode="External"/><Relationship Id="rId4" Type="http://schemas.openxmlformats.org/officeDocument/2006/relationships/settings" Target="settings.xml"/><Relationship Id="rId9" Type="http://schemas.openxmlformats.org/officeDocument/2006/relationships/hyperlink" Target="https://bit.ly/2YyQsSw?fbclid=IwAR0fCMsKgdClHmiNGw-notqlB4jNccU36fjL98W8V3mfLlLHL-pxGrIdmJM" TargetMode="External"/><Relationship Id="rId13" Type="http://schemas.openxmlformats.org/officeDocument/2006/relationships/hyperlink" Target="https://cabinet.smida.gov.u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s://data.gov.ua/dataset/2888f31a-9a0d-4c77-b570-0895753fa9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67837</Words>
  <Characters>38668</Characters>
  <Application>Microsoft Office Word</Application>
  <DocSecurity>0</DocSecurity>
  <Lines>322</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2</cp:revision>
  <dcterms:created xsi:type="dcterms:W3CDTF">2021-02-11T08:18:00Z</dcterms:created>
  <dcterms:modified xsi:type="dcterms:W3CDTF">2021-02-11T08:18:00Z</dcterms:modified>
</cp:coreProperties>
</file>